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99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Пропишем команду ipconfig. В качестве вывода мы получим различные соединения, в том числе наше активное (последнее). Из получаемой информации видим ipv6 адрес, ipv4 адрес, маску подсети и основной шлюз (рис. 1).</w:t>
      </w:r>
    </w:p>
    <w:p>
      <w:pPr>
        <w:pStyle w:val="CaptionedFigure"/>
      </w:pPr>
      <w:r>
        <w:drawing>
          <wp:inline>
            <wp:extent cx="3733800" cy="4471384"/>
            <wp:effectExtent b="0" l="0" r="0" t="0"/>
            <wp:docPr descr="ipconfi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71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ipconfig</w:t>
      </w:r>
    </w:p>
    <w:p>
      <w:pPr>
        <w:pStyle w:val="BodyText"/>
      </w:pPr>
      <w:r>
        <w:t xml:space="preserve">Указав к ipconfig ключ /all, мы получим более подробную информацию, в том числе физический адрес (mac). В нашем случае mac адрес имеет вид 74-04-f1-d0-d0-45. Первые 3 байта - это идентификатор производителя, а остальные 3 - интерфейса. В первом байте (74) зашита информация о том, что адрес индивидуальный, и что является глобально администрируемым, поскольку последние 2 бита 74 в двоичной системе, если переводить из hex, равны нулям (рис. 2).</w:t>
      </w:r>
    </w:p>
    <w:p>
      <w:pPr>
        <w:pStyle w:val="CaptionedFigure"/>
      </w:pPr>
      <w:r>
        <w:drawing>
          <wp:inline>
            <wp:extent cx="3733800" cy="1253438"/>
            <wp:effectExtent b="0" l="0" r="0" t="0"/>
            <wp:docPr descr="ipconfig /al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ipconfig /all</w:t>
      </w:r>
    </w:p>
    <w:p>
      <w:pPr>
        <w:pStyle w:val="BodyText"/>
      </w:pPr>
      <w:r>
        <w:t xml:space="preserve">Откроем wireshark и выберем сетевое подключение, которое активно. В нашем случае, это беспроводная сеть (рис. 3).</w:t>
      </w:r>
    </w:p>
    <w:p>
      <w:pPr>
        <w:pStyle w:val="CaptionedFigure"/>
      </w:pPr>
      <w:r>
        <w:drawing>
          <wp:inline>
            <wp:extent cx="3733800" cy="2885660"/>
            <wp:effectExtent b="0" l="0" r="0" t="0"/>
            <wp:docPr descr="Выбор соединен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соединения</w:t>
      </w:r>
    </w:p>
    <w:p>
      <w:pPr>
        <w:pStyle w:val="BodyText"/>
      </w:pPr>
      <w:r>
        <w:t xml:space="preserve">Так выглядит сам интерфейс (рис. 4).</w:t>
      </w:r>
    </w:p>
    <w:p>
      <w:pPr>
        <w:pStyle w:val="CaptionedFigure"/>
      </w:pPr>
      <w:r>
        <w:drawing>
          <wp:inline>
            <wp:extent cx="3733800" cy="2881701"/>
            <wp:effectExtent b="0" l="0" r="0" t="0"/>
            <wp:docPr descr="Wireshark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Wireshark</w:t>
      </w:r>
    </w:p>
    <w:p>
      <w:pPr>
        <w:pStyle w:val="BodyText"/>
      </w:pPr>
      <w:r>
        <w:t xml:space="preserve">Попробуем пинганутся к шлюзу, адрес которого мы получили в самом начале (рис. 5).</w:t>
      </w:r>
    </w:p>
    <w:p>
      <w:pPr>
        <w:pStyle w:val="CaptionedFigure"/>
      </w:pPr>
      <w:r>
        <w:drawing>
          <wp:inline>
            <wp:extent cx="3733800" cy="1459271"/>
            <wp:effectExtent b="0" l="0" r="0" t="0"/>
            <wp:docPr descr="ping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ping</w:t>
      </w:r>
    </w:p>
    <w:p>
      <w:pPr>
        <w:pStyle w:val="BodyText"/>
      </w:pPr>
      <w:r>
        <w:t xml:space="preserve">Переходим обратно в wireshark и посмотрим на icmp пакеты. Поскольку было передано 4 пакета, то мы видим 8 записей (на каждый пакет получение и отправка) (рис. 6).</w:t>
      </w:r>
    </w:p>
    <w:p>
      <w:pPr>
        <w:pStyle w:val="CaptionedFigure"/>
      </w:pPr>
      <w:r>
        <w:drawing>
          <wp:inline>
            <wp:extent cx="3733800" cy="796585"/>
            <wp:effectExtent b="0" l="0" r="0" t="0"/>
            <wp:docPr descr="icmp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icmp</w:t>
      </w:r>
    </w:p>
    <w:p>
      <w:pPr>
        <w:pStyle w:val="BodyText"/>
      </w:pPr>
      <w:r>
        <w:t xml:space="preserve">Изучим самый первый, исходящий пакет. Как видим, длина фрейма составляет 74 байта, используется тип ethernet 2 и мы так же можем видеть физические адреса отправителя (то есть наш) и получателя (то есть шлюза). Оба адреса являются индивидуальными и глобально администрируемыми (рис. 7).</w:t>
      </w:r>
    </w:p>
    <w:p>
      <w:pPr>
        <w:pStyle w:val="CaptionedFigure"/>
      </w:pPr>
      <w:r>
        <w:drawing>
          <wp:inline>
            <wp:extent cx="3733800" cy="1637349"/>
            <wp:effectExtent b="0" l="0" r="0" t="0"/>
            <wp:docPr descr="Анализ исходящего пакет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Анализ исходящего пакета</w:t>
      </w:r>
    </w:p>
    <w:p>
      <w:pPr>
        <w:pStyle w:val="BodyText"/>
      </w:pPr>
      <w:r>
        <w:t xml:space="preserve">Теперь посмотрим на ответный фрейм. Он, по сути, практически не отличается от исходящего, только адреса отправителя и получателя поменяны местами (рис. 8).</w:t>
      </w:r>
    </w:p>
    <w:p>
      <w:pPr>
        <w:pStyle w:val="CaptionedFigure"/>
      </w:pPr>
      <w:r>
        <w:drawing>
          <wp:inline>
            <wp:extent cx="3733800" cy="1947093"/>
            <wp:effectExtent b="0" l="0" r="0" t="0"/>
            <wp:docPr descr="Анализ входящего пакет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Анализ входящего пакета</w:t>
      </w:r>
    </w:p>
    <w:p>
      <w:pPr>
        <w:pStyle w:val="BodyText"/>
      </w:pPr>
      <w:r>
        <w:t xml:space="preserve">Посмотрим теперь на arp пакеты. Как видим, в них не так много информации. Они отвечают за получение физического адреса. Так, мы видим, что первый arp пакет пытается получить адрес нашего устройства (рис. 9).</w:t>
      </w:r>
    </w:p>
    <w:p>
      <w:pPr>
        <w:pStyle w:val="CaptionedFigure"/>
      </w:pPr>
      <w:r>
        <w:drawing>
          <wp:inline>
            <wp:extent cx="3733800" cy="2972750"/>
            <wp:effectExtent b="0" l="0" r="0" t="0"/>
            <wp:docPr descr="arp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arp</w:t>
      </w:r>
    </w:p>
    <w:p>
      <w:pPr>
        <w:pStyle w:val="BodyText"/>
      </w:pPr>
      <w:r>
        <w:t xml:space="preserve">Второй arp пакет является обратным, то есть мы получаем адрес шлюза. В обоих случаях в заголовке ethernet 2 хранится физический адрес обоих устройств, но в первом случае тип является vlan, а во втором - arp (рис. 10).</w:t>
      </w:r>
    </w:p>
    <w:p>
      <w:pPr>
        <w:pStyle w:val="CaptionedFigure"/>
      </w:pPr>
      <w:r>
        <w:drawing>
          <wp:inline>
            <wp:extent cx="3733800" cy="2932582"/>
            <wp:effectExtent b="0" l="0" r="0" t="0"/>
            <wp:docPr descr="Второй arp пакет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Второй arp пакет</w:t>
      </w:r>
    </w:p>
    <w:p>
      <w:pPr>
        <w:pStyle w:val="BodyText"/>
      </w:pPr>
      <w:r>
        <w:t xml:space="preserve">Теперь пинганём яндекс (рис. 11).</w:t>
      </w:r>
    </w:p>
    <w:p>
      <w:pPr>
        <w:pStyle w:val="CaptionedFigure"/>
      </w:pPr>
      <w:r>
        <w:drawing>
          <wp:inline>
            <wp:extent cx="3733800" cy="1408262"/>
            <wp:effectExtent b="0" l="0" r="0" t="0"/>
            <wp:docPr descr="ping ya.ru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ping ya.ru</w:t>
      </w:r>
    </w:p>
    <w:p>
      <w:pPr>
        <w:pStyle w:val="BodyText"/>
      </w:pPr>
      <w:r>
        <w:t xml:space="preserve">Посмотрм на arp пакеты. Как видим, их 2. Как и в прошлый раз, клиент и шлюз пытаются обменяться физическими адресами (рис. 12).</w:t>
      </w:r>
    </w:p>
    <w:p>
      <w:pPr>
        <w:pStyle w:val="CaptionedFigure"/>
      </w:pPr>
      <w:r>
        <w:drawing>
          <wp:inline>
            <wp:extent cx="3733800" cy="2972691"/>
            <wp:effectExtent b="0" l="0" r="0" t="0"/>
            <wp:docPr descr="arp пакеты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2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arp пакеты</w:t>
      </w:r>
    </w:p>
    <w:p>
      <w:pPr>
        <w:pStyle w:val="BodyText"/>
      </w:pPr>
      <w:r>
        <w:t xml:space="preserve">Второй arp пакет отличается, как обычно, только направлением (рис. 13).</w:t>
      </w:r>
    </w:p>
    <w:p>
      <w:pPr>
        <w:pStyle w:val="CaptionedFigure"/>
      </w:pPr>
      <w:r>
        <w:drawing>
          <wp:inline>
            <wp:extent cx="3733800" cy="2922782"/>
            <wp:effectExtent b="0" l="0" r="0" t="0"/>
            <wp:docPr descr="Второй arp пакет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2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Второй arp пакет</w:t>
      </w:r>
    </w:p>
    <w:p>
      <w:pPr>
        <w:pStyle w:val="BodyText"/>
      </w:pPr>
      <w:r>
        <w:t xml:space="preserve">Теперь посмотрим на icmp пакеты. их как обычно 8. Как видим, тут уже есть небольшая разница. Теперь мы обращаемся не к шлюзу, а прямо к серверу яндекса. Мы можем видеть, что ip другой. Однако, в рамках ethernet 2 мы всё ещё общаемся со шлюзом (рис. 14).</w:t>
      </w:r>
    </w:p>
    <w:p>
      <w:pPr>
        <w:pStyle w:val="CaptionedFigure"/>
      </w:pPr>
      <w:r>
        <w:drawing>
          <wp:inline>
            <wp:extent cx="3733800" cy="3804714"/>
            <wp:effectExtent b="0" l="0" r="0" t="0"/>
            <wp:docPr descr="Исходящий пакет icmp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4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Исходящий пакет icmp</w:t>
      </w:r>
    </w:p>
    <w:p>
      <w:pPr>
        <w:pStyle w:val="BodyText"/>
      </w:pPr>
      <w:r>
        <w:t xml:space="preserve">Входящий пакет icmp, то есть, ответный, не будет сильно отличаться от входящего, только направлением (рис. 15).</w:t>
      </w:r>
    </w:p>
    <w:p>
      <w:pPr>
        <w:pStyle w:val="CaptionedFigure"/>
      </w:pPr>
      <w:r>
        <w:drawing>
          <wp:inline>
            <wp:extent cx="3733800" cy="2342308"/>
            <wp:effectExtent b="0" l="0" r="0" t="0"/>
            <wp:docPr descr="Входящий пакет icmp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Входящий пакет icmp</w:t>
      </w:r>
    </w:p>
    <w:p>
      <w:pPr>
        <w:pStyle w:val="BodyText"/>
      </w:pPr>
      <w:r>
        <w:t xml:space="preserve">Посетим сайт по протоколу http (рис. 16).</w:t>
      </w:r>
    </w:p>
    <w:p>
      <w:pPr>
        <w:pStyle w:val="CaptionedFigure"/>
      </w:pPr>
      <w:r>
        <w:drawing>
          <wp:inline>
            <wp:extent cx="3733800" cy="1061088"/>
            <wp:effectExtent b="0" l="0" r="0" t="0"/>
            <wp:docPr descr="Подключение по http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Подключение по http</w:t>
      </w:r>
    </w:p>
    <w:p>
      <w:pPr>
        <w:pStyle w:val="BodyText"/>
      </w:pPr>
      <w:r>
        <w:t xml:space="preserve">Посмотрим на http пакеты. Как видим, они есть и входящие, и исходящие. Работает http поверх tcp. Мы видим, что информация в разделе о tcp говорит о входящем и исходящем портах, о длине сегмента, флагах и чексумме (рис. 17).</w:t>
      </w:r>
    </w:p>
    <w:p>
      <w:pPr>
        <w:pStyle w:val="CaptionedFigure"/>
      </w:pPr>
      <w:r>
        <w:drawing>
          <wp:inline>
            <wp:extent cx="3733800" cy="3795720"/>
            <wp:effectExtent b="0" l="0" r="0" t="0"/>
            <wp:docPr descr="Исходящий http пакет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5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Исходящий http пакет</w:t>
      </w:r>
    </w:p>
    <w:p>
      <w:pPr>
        <w:pStyle w:val="BodyText"/>
      </w:pPr>
      <w:r>
        <w:t xml:space="preserve">Входящий пакет же будет отличаться тем, что длина сегмента и чексумма будут другие, а порты поменяются местами (рис. 18).</w:t>
      </w:r>
    </w:p>
    <w:p>
      <w:pPr>
        <w:pStyle w:val="CaptionedFigure"/>
      </w:pPr>
      <w:r>
        <w:drawing>
          <wp:inline>
            <wp:extent cx="3733800" cy="3767520"/>
            <wp:effectExtent b="0" l="0" r="0" t="0"/>
            <wp:docPr descr="Входящий http пакет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Входящий http пакет</w:t>
      </w:r>
    </w:p>
    <w:p>
      <w:pPr>
        <w:pStyle w:val="BodyText"/>
      </w:pPr>
      <w:r>
        <w:t xml:space="preserve">Теперь рассмотрим dns пакеты. Они уже работают по udp. Сам раздел по udp даёт не так много информации, как tcp, однако информация о портах, длине и чексумме присутствует (рис. 19).</w:t>
      </w:r>
    </w:p>
    <w:p>
      <w:pPr>
        <w:pStyle w:val="CaptionedFigure"/>
      </w:pPr>
      <w:r>
        <w:drawing>
          <wp:inline>
            <wp:extent cx="3733800" cy="3093719"/>
            <wp:effectExtent b="0" l="0" r="0" t="0"/>
            <wp:docPr descr="Исходящий dns пакет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3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Исходящий dns пакет</w:t>
      </w:r>
    </w:p>
    <w:p>
      <w:pPr>
        <w:pStyle w:val="BodyText"/>
      </w:pPr>
      <w:r>
        <w:t xml:space="preserve">Входящий пакет с точки зрения udp будет отличаться поменянными местами портами, чексуммой и длиной (рис. 20).</w:t>
      </w:r>
    </w:p>
    <w:p>
      <w:pPr>
        <w:pStyle w:val="CaptionedFigure"/>
      </w:pPr>
      <w:r>
        <w:drawing>
          <wp:inline>
            <wp:extent cx="3733800" cy="3120306"/>
            <wp:effectExtent b="0" l="0" r="0" t="0"/>
            <wp:docPr descr="Входящий dns пакет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Входящий dns пакет</w:t>
      </w:r>
    </w:p>
    <w:p>
      <w:pPr>
        <w:pStyle w:val="BodyText"/>
      </w:pPr>
      <w:r>
        <w:t xml:space="preserve">Теперь рассмотрим quic. Он работает поверх udp, и в рамках уровня udp содержит примерно ту же информацию, что и dns (рис. 21).</w:t>
      </w:r>
    </w:p>
    <w:p>
      <w:pPr>
        <w:pStyle w:val="CaptionedFigure"/>
      </w:pPr>
      <w:r>
        <w:drawing>
          <wp:inline>
            <wp:extent cx="3733800" cy="3761618"/>
            <wp:effectExtent b="0" l="0" r="0" t="0"/>
            <wp:docPr descr="Исходящий quic пакет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Исходящий quic пакет</w:t>
      </w:r>
    </w:p>
    <w:p>
      <w:pPr>
        <w:pStyle w:val="BodyText"/>
      </w:pPr>
      <w:r>
        <w:t xml:space="preserve">И различия между входящим и исходящим пакетом ровно такие же (рис. 22).</w:t>
      </w:r>
    </w:p>
    <w:p>
      <w:pPr>
        <w:pStyle w:val="CaptionedFigure"/>
      </w:pPr>
      <w:r>
        <w:drawing>
          <wp:inline>
            <wp:extent cx="3733800" cy="3143426"/>
            <wp:effectExtent b="0" l="0" r="0" t="0"/>
            <wp:docPr descr="Входящий quic пакет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Входящий quic пакет</w:t>
      </w:r>
    </w:p>
    <w:p>
      <w:pPr>
        <w:pStyle w:val="BodyText"/>
      </w:pPr>
      <w:r>
        <w:t xml:space="preserve">Теперь рассмотрим процесс хендшейка. Для этого перезагрузим http страницу и посмотрим, что происходит перед тем, как происходит http запрос get. Для начала, клиент отправляет серверу syn запрос, что мы можем видеть во флагах tcp (рис. 23).</w:t>
      </w:r>
    </w:p>
    <w:p>
      <w:pPr>
        <w:pStyle w:val="CaptionedFigure"/>
      </w:pPr>
      <w:r>
        <w:drawing>
          <wp:inline>
            <wp:extent cx="3733800" cy="3799087"/>
            <wp:effectExtent b="0" l="0" r="0" t="0"/>
            <wp:docPr descr="syn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syn</w:t>
      </w:r>
    </w:p>
    <w:p>
      <w:pPr>
        <w:pStyle w:val="BodyText"/>
      </w:pPr>
      <w:r>
        <w:t xml:space="preserve">Сервер, как бы, протягивает руку, давая ответ в виде syn и ack, в котором как бы говорит, что теперь знает о клиенте (рис. 24).</w:t>
      </w:r>
    </w:p>
    <w:p>
      <w:pPr>
        <w:pStyle w:val="CaptionedFigure"/>
      </w:pPr>
      <w:r>
        <w:drawing>
          <wp:inline>
            <wp:extent cx="3733800" cy="3764505"/>
            <wp:effectExtent b="0" l="0" r="0" t="0"/>
            <wp:docPr descr="syn + ack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6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syn + ack</w:t>
      </w:r>
    </w:p>
    <w:p>
      <w:pPr>
        <w:pStyle w:val="BodyText"/>
      </w:pPr>
      <w:r>
        <w:t xml:space="preserve">Клиенту остаётся пожать руку, сказав серверу, что тоже теперь о нём знает, при этом флаг syn больше не стоит, поскольку оба они теперь знают о друг друге, и запрос на синхронизацию больше не нужен (рис. 25).</w:t>
      </w:r>
    </w:p>
    <w:p>
      <w:pPr>
        <w:pStyle w:val="CaptionedFigure"/>
      </w:pPr>
      <w:r>
        <w:drawing>
          <wp:inline>
            <wp:extent cx="3733800" cy="3758324"/>
            <wp:effectExtent b="0" l="0" r="0" t="0"/>
            <wp:docPr descr="ack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8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ack</w:t>
      </w:r>
    </w:p>
    <w:p>
      <w:pPr>
        <w:pStyle w:val="BodyText"/>
      </w:pPr>
      <w:r>
        <w:t xml:space="preserve">Теперь посмотрим на график потока. Здесь можно явно увидеть процесс хендшейка прямо перед get запросом (рис. 26).</w:t>
      </w:r>
    </w:p>
    <w:p>
      <w:pPr>
        <w:pStyle w:val="CaptionedFigure"/>
      </w:pPr>
      <w:r>
        <w:drawing>
          <wp:inline>
            <wp:extent cx="3733800" cy="3383756"/>
            <wp:effectExtent b="0" l="0" r="0" t="0"/>
            <wp:docPr descr="Хендшейк на графике потока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Хендшейк на графике потока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были получены навыки анализа пакетов в wireshark</w:t>
      </w:r>
    </w:p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2025-10-11T17:55:07Z</dcterms:created>
  <dcterms:modified xsi:type="dcterms:W3CDTF">2025-10-11T17:55:07Z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