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0B1F3A"/>
          <w:sz w:val="64"/>
          <w:szCs w:val="64"/>
        </w:rPr>
        <w:t xml:space="preserve">SIMASET BMN</w:t>
      </w:r>
    </w:p>
    <w:p>
      <w:pPr>
        <w:spacing w:after="0" w:before="120"/>
        <w:jc w:val="center"/>
      </w:pPr>
      <w:r>
        <w:rPr>
          <w:b/>
          <w:bCs/>
          <w:color w:val="1D4ED8"/>
          <w:sz w:val="26"/>
          <w:szCs w:val="26"/>
        </w:rPr>
        <w:t xml:space="preserve">Integrated Asset &amp; BMN Lifecycle Management System</w:t>
      </w:r>
    </w:p>
    <w:p>
      <w:pPr>
        <w:spacing w:after="400" w:before="60"/>
        <w:jc w:val="center"/>
      </w:pPr>
      <w:r>
        <w:rPr>
          <w:i/>
          <w:iCs/>
          <w:color w:val="64748B"/>
          <w:sz w:val="22"/>
          <w:szCs w:val="22"/>
        </w:rPr>
        <w:t xml:space="preserve">Berbasis Prinsip ISO 55000 / ISO 55001</w:t>
      </w:r>
    </w:p>
    <w:p>
      <w:pPr>
        <w:pBdr>
          <w:top w:val="single" w:color="A9761F" w:sz="8"/>
          <w:bottom w:val="single" w:color="A9761F" w:sz="8"/>
        </w:pBdr>
        <w:spacing w:after="600" w:before="0"/>
        <w:jc w:val="center"/>
      </w:pPr>
      <w:r>
        <w:rPr>
          <w:b/>
          <w:bCs/>
          <w:color w:val="A9761F"/>
          <w:sz w:val="24"/>
          <w:szCs w:val="24"/>
        </w:rPr>
        <w:t xml:space="preserve">DOKUMENTASI FITUR, ALUR KERJA DAN TANGKAPAN LAYAR</w:t>
      </w:r>
    </w:p>
    <w:p>
      <w:pPr>
        <w:spacing w:after="600" w:before="600"/>
      </w:pP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Nama Sistem</w:t>
            </w:r>
          </w:p>
        </w:tc>
        <w:tc>
          <w:tcPr>
            <w:tcW w:type="pct" w:w="72%"/>
            <w:tcMar>
              <w:top w:type="dxa" w:w="80"/>
              <w:left w:type="dxa" w:w="120"/>
              <w:bottom w:type="dxa" w:w="80"/>
              <w:right w:type="dxa" w:w="120"/>
            </w:tcMar>
            <w:vAlign w:val="center"/>
          </w:tcPr>
          <w:p>
            <w:r>
              <w:rPr>
                <w:sz w:val="20"/>
                <w:szCs w:val="20"/>
              </w:rPr>
              <w:t xml:space="preserve">SIMASET BMN — Sistem Informasi Manajemen Aset BMN</w:t>
            </w:r>
          </w:p>
        </w:tc>
      </w:tr>
      <w:tr>
        <w:tc>
          <w:tcPr>
            <w:tcW w:type="pct" w:w="28%"/>
            <w:shd w:fill="F3F5F9" w:val="clear"/>
            <w:tcMar>
              <w:top w:type="dxa" w:w="80"/>
              <w:left w:type="dxa" w:w="120"/>
              <w:bottom w:type="dxa" w:w="80"/>
              <w:right w:type="dxa" w:w="120"/>
            </w:tcMar>
            <w:vAlign w:val="center"/>
          </w:tcPr>
          <w:p>
            <w:r>
              <w:rPr>
                <w:b/>
                <w:bCs/>
                <w:sz w:val="20"/>
                <w:szCs w:val="20"/>
              </w:rPr>
              <w:t xml:space="preserve">Jenis Dokumen</w:t>
            </w:r>
          </w:p>
        </w:tc>
        <w:tc>
          <w:tcPr>
            <w:tcW w:type="pct" w:w="72%"/>
            <w:tcMar>
              <w:top w:type="dxa" w:w="80"/>
              <w:left w:type="dxa" w:w="120"/>
              <w:bottom w:type="dxa" w:w="80"/>
              <w:right w:type="dxa" w:w="120"/>
            </w:tcMar>
            <w:vAlign w:val="center"/>
          </w:tcPr>
          <w:p>
            <w:r>
              <w:rPr>
                <w:sz w:val="20"/>
                <w:szCs w:val="20"/>
              </w:rPr>
              <w:t xml:space="preserve">Dokumentasi Fitur &amp; Alur Kerja Purwarupa UI/UX</w:t>
            </w:r>
          </w:p>
        </w:tc>
      </w:tr>
      <w:tr>
        <w:tc>
          <w:tcPr>
            <w:tcW w:type="pct" w:w="28%"/>
            <w:shd w:fill="F3F5F9" w:val="clear"/>
            <w:tcMar>
              <w:top w:type="dxa" w:w="80"/>
              <w:left w:type="dxa" w:w="120"/>
              <w:bottom w:type="dxa" w:w="80"/>
              <w:right w:type="dxa" w:w="120"/>
            </w:tcMar>
            <w:vAlign w:val="center"/>
          </w:tcPr>
          <w:p>
            <w:r>
              <w:rPr>
                <w:b/>
                <w:bCs/>
                <w:sz w:val="20"/>
                <w:szCs w:val="20"/>
              </w:rPr>
              <w:t xml:space="preserve">Versi Purwarupa</w:t>
            </w:r>
          </w:p>
        </w:tc>
        <w:tc>
          <w:tcPr>
            <w:tcW w:type="pct" w:w="72%"/>
            <w:tcMar>
              <w:top w:type="dxa" w:w="80"/>
              <w:left w:type="dxa" w:w="120"/>
              <w:bottom w:type="dxa" w:w="80"/>
              <w:right w:type="dxa" w:w="120"/>
            </w:tcMar>
            <w:vAlign w:val="center"/>
          </w:tcPr>
          <w:p>
            <w:r>
              <w:rPr>
                <w:sz w:val="20"/>
                <w:szCs w:val="20"/>
              </w:rPr>
              <w:t xml:space="preserve">2.0</w:t>
            </w:r>
          </w:p>
        </w:tc>
      </w:tr>
      <w:tr>
        <w:tc>
          <w:tcPr>
            <w:tcW w:type="pct" w:w="28%"/>
            <w:shd w:fill="F3F5F9" w:val="clear"/>
            <w:tcMar>
              <w:top w:type="dxa" w:w="80"/>
              <w:left w:type="dxa" w:w="120"/>
              <w:bottom w:type="dxa" w:w="80"/>
              <w:right w:type="dxa" w:w="120"/>
            </w:tcMar>
            <w:vAlign w:val="center"/>
          </w:tcPr>
          <w:p>
            <w:r>
              <w:rPr>
                <w:b/>
                <w:bCs/>
                <w:sz w:val="20"/>
                <w:szCs w:val="20"/>
              </w:rPr>
              <w:t xml:space="preserve">Disusun Berdasarkan</w:t>
            </w:r>
          </w:p>
        </w:tc>
        <w:tc>
          <w:tcPr>
            <w:tcW w:type="pct" w:w="72%"/>
            <w:tcMar>
              <w:top w:type="dxa" w:w="80"/>
              <w:left w:type="dxa" w:w="120"/>
              <w:bottom w:type="dxa" w:w="80"/>
              <w:right w:type="dxa" w:w="120"/>
            </w:tcMar>
            <w:vAlign w:val="center"/>
          </w:tcPr>
          <w:p>
            <w:r>
              <w:rPr>
                <w:sz w:val="20"/>
                <w:szCs w:val="20"/>
              </w:rPr>
              <w:t xml:space="preserve">SIMASET BMN ISO 55000 POLTEK SSN — Business Requirement &amp; Functional Specification v2.0</w:t>
            </w:r>
          </w:p>
        </w:tc>
      </w:tr>
      <w:tr>
        <w:tc>
          <w:tcPr>
            <w:tcW w:type="pct" w:w="28%"/>
            <w:shd w:fill="F3F5F9" w:val="clear"/>
            <w:tcMar>
              <w:top w:type="dxa" w:w="80"/>
              <w:left w:type="dxa" w:w="120"/>
              <w:bottom w:type="dxa" w:w="80"/>
              <w:right w:type="dxa" w:w="120"/>
            </w:tcMar>
            <w:vAlign w:val="center"/>
          </w:tcPr>
          <w:p>
            <w:r>
              <w:rPr>
                <w:b/>
                <w:bCs/>
                <w:sz w:val="20"/>
                <w:szCs w:val="20"/>
              </w:rPr>
              <w:t xml:space="preserve">Untuk Lingkungan</w:t>
            </w:r>
          </w:p>
        </w:tc>
        <w:tc>
          <w:tcPr>
            <w:tcW w:type="pct" w:w="72%"/>
            <w:tcMar>
              <w:top w:type="dxa" w:w="80"/>
              <w:left w:type="dxa" w:w="120"/>
              <w:bottom w:type="dxa" w:w="80"/>
              <w:right w:type="dxa" w:w="120"/>
            </w:tcMar>
            <w:vAlign w:val="center"/>
          </w:tcPr>
          <w:p>
            <w:r>
              <w:rPr>
                <w:sz w:val="20"/>
                <w:szCs w:val="20"/>
              </w:rPr>
              <w:t xml:space="preserve">Kampus Kedinasan Siber (Politeknik Siber dan Sandi Negara)</w:t>
            </w:r>
          </w:p>
        </w:tc>
      </w:tr>
      <w:tr>
        <w:tc>
          <w:tcPr>
            <w:tcW w:type="pct" w:w="28%"/>
            <w:shd w:fill="F3F5F9" w:val="clear"/>
            <w:tcMar>
              <w:top w:type="dxa" w:w="80"/>
              <w:left w:type="dxa" w:w="120"/>
              <w:bottom w:type="dxa" w:w="80"/>
              <w:right w:type="dxa" w:w="120"/>
            </w:tcMar>
            <w:vAlign w:val="center"/>
          </w:tcPr>
          <w:p>
            <w:r>
              <w:rPr>
                <w:b/>
                <w:bCs/>
                <w:sz w:val="20"/>
                <w:szCs w:val="20"/>
              </w:rPr>
              <w:t xml:space="preserve">URL Purwarupa</w:t>
            </w:r>
          </w:p>
        </w:tc>
        <w:tc>
          <w:tcPr>
            <w:tcW w:type="pct" w:w="72%"/>
            <w:tcMar>
              <w:top w:type="dxa" w:w="80"/>
              <w:left w:type="dxa" w:w="120"/>
              <w:bottom w:type="dxa" w:w="80"/>
              <w:right w:type="dxa" w:w="120"/>
            </w:tcMar>
            <w:vAlign w:val="center"/>
          </w:tcPr>
          <w:p>
            <w:r>
              <w:rPr>
                <w:sz w:val="20"/>
                <w:szCs w:val="20"/>
              </w:rPr>
              <w:t xml:space="preserve">https://simaset.semestateknologiutama.com</w:t>
            </w:r>
          </w:p>
        </w:tc>
      </w:tr>
      <w:tr>
        <w:tc>
          <w:tcPr>
            <w:tcW w:type="pct" w:w="28%"/>
            <w:shd w:fill="F3F5F9" w:val="clear"/>
            <w:tcMar>
              <w:top w:type="dxa" w:w="80"/>
              <w:left w:type="dxa" w:w="120"/>
              <w:bottom w:type="dxa" w:w="80"/>
              <w:right w:type="dxa" w:w="120"/>
            </w:tcMar>
            <w:vAlign w:val="center"/>
          </w:tcPr>
          <w:p>
            <w:r>
              <w:rPr>
                <w:b/>
                <w:bCs/>
                <w:sz w:val="20"/>
                <w:szCs w:val="20"/>
              </w:rPr>
              <w:t xml:space="preserve">Tanggal Dokumen</w:t>
            </w:r>
          </w:p>
        </w:tc>
        <w:tc>
          <w:tcPr>
            <w:tcW w:type="pct" w:w="72%"/>
            <w:tcMar>
              <w:top w:type="dxa" w:w="80"/>
              <w:left w:type="dxa" w:w="120"/>
              <w:bottom w:type="dxa" w:w="80"/>
              <w:right w:type="dxa" w:w="120"/>
            </w:tcMar>
            <w:vAlign w:val="center"/>
          </w:tcPr>
          <w:p>
            <w:r>
              <w:rPr>
                <w:sz w:val="20"/>
                <w:szCs w:val="20"/>
              </w:rPr>
              <w:t xml:space="preserve">29 Agustus 2026</w:t>
            </w:r>
          </w:p>
        </w:tc>
      </w:tr>
      <w:tr>
        <w:tc>
          <w:tcPr>
            <w:tcW w:type="pct" w:w="28%"/>
            <w:shd w:fill="F3F5F9" w:val="clear"/>
            <w:tcMar>
              <w:top w:type="dxa" w:w="80"/>
              <w:left w:type="dxa" w:w="120"/>
              <w:bottom w:type="dxa" w:w="80"/>
              <w:right w:type="dxa" w:w="120"/>
            </w:tcMar>
            <w:vAlign w:val="center"/>
          </w:tcPr>
          <w:p>
            <w:r>
              <w:rPr>
                <w:b/>
                <w:bCs/>
                <w:sz w:val="20"/>
                <w:szCs w:val="20"/>
              </w:rPr>
              <w:t xml:space="preserve">Status</w:t>
            </w:r>
          </w:p>
        </w:tc>
        <w:tc>
          <w:tcPr>
            <w:tcW w:type="pct" w:w="72%"/>
            <w:tcMar>
              <w:top w:type="dxa" w:w="80"/>
              <w:left w:type="dxa" w:w="120"/>
              <w:bottom w:type="dxa" w:w="80"/>
              <w:right w:type="dxa" w:w="120"/>
            </w:tcMar>
            <w:vAlign w:val="center"/>
          </w:tcPr>
          <w:p>
            <w:r>
              <w:rPr>
                <w:sz w:val="20"/>
                <w:szCs w:val="20"/>
              </w:rPr>
              <w:t xml:space="preserve">Purwarupa UI/UX — data yang ditampilkan bersifat simulasi</w:t>
            </w:r>
          </w:p>
        </w:tc>
      </w:tr>
    </w:tbl>
    <w:p>
      <w:pPr>
        <w:pStyle w:val="Heading1"/>
        <w:pageBreakBefore/>
      </w:pPr>
      <w:r>
        <w:rPr>
          <w:color w:val="0B1F3A"/>
        </w:rPr>
        <w:t xml:space="preserve">DAFTAR ISI</w:t>
      </w:r>
    </w:p>
    <w:p>
      <w:pPr>
        <w:spacing w:after="70"/>
      </w:pPr>
      <w:r>
        <w:rPr>
          <w:sz w:val="21"/>
          <w:szCs w:val="21"/>
        </w:rPr>
        <w:t xml:space="preserve">1. Pendahuluan</w:t>
      </w:r>
    </w:p>
    <w:p>
      <w:pPr>
        <w:spacing w:after="70"/>
      </w:pPr>
      <w:r>
        <w:rPr>
          <w:sz w:val="21"/>
          <w:szCs w:val="21"/>
        </w:rPr>
        <w:t xml:space="preserve">2. Ruang Lingkup dan Arsitektur Informasi Purwarupa</w:t>
      </w:r>
    </w:p>
    <w:p>
      <w:pPr>
        <w:spacing w:after="70"/>
      </w:pPr>
      <w:r>
        <w:rPr>
          <w:sz w:val="21"/>
          <w:szCs w:val="21"/>
        </w:rPr>
        <w:t xml:space="preserve">3. Alur Kerja Utama Lintas Modul</w:t>
      </w:r>
    </w:p>
    <w:p>
      <w:pPr>
        <w:spacing w:after="70"/>
      </w:pPr>
      <w:r>
        <w:rPr>
          <w:sz w:val="21"/>
          <w:szCs w:val="21"/>
        </w:rPr>
        <w:t xml:space="preserve">4. Autentikasi dan Akun Pengguna</w:t>
      </w:r>
    </w:p>
    <w:p>
      <w:pPr>
        <w:spacing w:after="70"/>
      </w:pPr>
      <w:r>
        <w:rPr>
          <w:sz w:val="21"/>
          <w:szCs w:val="21"/>
        </w:rPr>
        <w:t xml:space="preserve">5. Dashboard Eksekutif</w:t>
      </w:r>
    </w:p>
    <w:p>
      <w:pPr>
        <w:spacing w:after="70"/>
      </w:pPr>
      <w:r>
        <w:rPr>
          <w:sz w:val="21"/>
          <w:szCs w:val="21"/>
        </w:rPr>
        <w:t xml:space="preserve">6. Detail Fitur per Modul</w:t>
      </w:r>
    </w:p>
    <w:p>
      <w:pPr>
        <w:spacing w:after="70"/>
      </w:pPr>
      <w:r>
        <w:rPr>
          <w:sz w:val="21"/>
          <w:szCs w:val="21"/>
        </w:rPr>
        <w:t xml:space="preserve">    6.1 Master Data</w:t>
      </w:r>
    </w:p>
    <w:p>
      <w:pPr>
        <w:spacing w:after="70"/>
      </w:pPr>
      <w:r>
        <w:rPr>
          <w:sz w:val="21"/>
          <w:szCs w:val="21"/>
        </w:rPr>
        <w:t xml:space="preserve">    6.2 BMN Register</w:t>
      </w:r>
    </w:p>
    <w:p>
      <w:pPr>
        <w:spacing w:after="70"/>
      </w:pPr>
      <w:r>
        <w:rPr>
          <w:sz w:val="21"/>
          <w:szCs w:val="21"/>
        </w:rPr>
        <w:t xml:space="preserve">    6.3 Asset Lifecycle</w:t>
      </w:r>
    </w:p>
    <w:p>
      <w:pPr>
        <w:spacing w:after="70"/>
      </w:pPr>
      <w:r>
        <w:rPr>
          <w:sz w:val="21"/>
          <w:szCs w:val="21"/>
        </w:rPr>
        <w:t xml:space="preserve">    6.4 QR/Barcode &amp; Asset Tag</w:t>
      </w:r>
    </w:p>
    <w:p>
      <w:pPr>
        <w:spacing w:after="70"/>
      </w:pPr>
      <w:r>
        <w:rPr>
          <w:sz w:val="21"/>
          <w:szCs w:val="21"/>
        </w:rPr>
        <w:t xml:space="preserve">    6.5 Sensus &amp; Inventarisasi</w:t>
      </w:r>
    </w:p>
    <w:p>
      <w:pPr>
        <w:spacing w:after="70"/>
      </w:pPr>
      <w:r>
        <w:rPr>
          <w:sz w:val="21"/>
          <w:szCs w:val="21"/>
        </w:rPr>
        <w:t xml:space="preserve">    6.6 Mutasi / IMACD</w:t>
      </w:r>
    </w:p>
    <w:p>
      <w:pPr>
        <w:spacing w:after="70"/>
      </w:pPr>
      <w:r>
        <w:rPr>
          <w:sz w:val="21"/>
          <w:szCs w:val="21"/>
        </w:rPr>
        <w:t xml:space="preserve">    6.7 Custodian Management</w:t>
      </w:r>
    </w:p>
    <w:p>
      <w:pPr>
        <w:spacing w:after="70"/>
      </w:pPr>
      <w:r>
        <w:rPr>
          <w:sz w:val="21"/>
          <w:szCs w:val="21"/>
        </w:rPr>
        <w:t xml:space="preserve">    6.8 JML Lifecycle</w:t>
      </w:r>
    </w:p>
    <w:p>
      <w:pPr>
        <w:spacing w:after="70"/>
      </w:pPr>
      <w:r>
        <w:rPr>
          <w:sz w:val="21"/>
          <w:szCs w:val="21"/>
        </w:rPr>
        <w:t xml:space="preserve">    6.9 Maintenance &amp; Work Order</w:t>
      </w:r>
    </w:p>
    <w:p>
      <w:pPr>
        <w:spacing w:after="70"/>
      </w:pPr>
      <w:r>
        <w:rPr>
          <w:sz w:val="21"/>
          <w:szCs w:val="21"/>
        </w:rPr>
        <w:t xml:space="preserve">    6.10 Inspection &amp; Condition</w:t>
      </w:r>
    </w:p>
    <w:p>
      <w:pPr>
        <w:spacing w:after="70"/>
      </w:pPr>
      <w:r>
        <w:rPr>
          <w:sz w:val="21"/>
          <w:szCs w:val="21"/>
        </w:rPr>
        <w:t xml:space="preserve">    6.11 Risk &amp; Criticality</w:t>
      </w:r>
    </w:p>
    <w:p>
      <w:pPr>
        <w:spacing w:after="70"/>
      </w:pPr>
      <w:r>
        <w:rPr>
          <w:sz w:val="21"/>
          <w:szCs w:val="21"/>
        </w:rPr>
        <w:t xml:space="preserve">    6.12 Performance &amp; Asset Health</w:t>
      </w:r>
    </w:p>
    <w:p>
      <w:pPr>
        <w:spacing w:after="70"/>
      </w:pPr>
      <w:r>
        <w:rPr>
          <w:sz w:val="21"/>
          <w:szCs w:val="21"/>
        </w:rPr>
        <w:t xml:space="preserve">    6.13 Financial &amp; Lifecycle Cost</w:t>
      </w:r>
    </w:p>
    <w:p>
      <w:pPr>
        <w:spacing w:after="70"/>
      </w:pPr>
      <w:r>
        <w:rPr>
          <w:sz w:val="21"/>
          <w:szCs w:val="21"/>
        </w:rPr>
        <w:t xml:space="preserve">    6.14 SAKTI/SIMAN Reconciliation</w:t>
      </w:r>
    </w:p>
    <w:p>
      <w:pPr>
        <w:spacing w:after="70"/>
      </w:pPr>
      <w:r>
        <w:rPr>
          <w:sz w:val="21"/>
          <w:szCs w:val="21"/>
        </w:rPr>
        <w:t xml:space="preserve">    6.15 Cyber Asset Management</w:t>
      </w:r>
    </w:p>
    <w:p>
      <w:pPr>
        <w:spacing w:after="70"/>
      </w:pPr>
      <w:r>
        <w:rPr>
          <w:sz w:val="21"/>
          <w:szCs w:val="21"/>
        </w:rPr>
        <w:t xml:space="preserve">    6.16 Media Sanitization</w:t>
      </w:r>
    </w:p>
    <w:p>
      <w:pPr>
        <w:spacing w:after="70"/>
      </w:pPr>
      <w:r>
        <w:rPr>
          <w:sz w:val="21"/>
          <w:szCs w:val="21"/>
        </w:rPr>
        <w:t xml:space="preserve">    6.17 BMN Disposal</w:t>
      </w:r>
    </w:p>
    <w:p>
      <w:pPr>
        <w:spacing w:after="70"/>
      </w:pPr>
      <w:r>
        <w:rPr>
          <w:sz w:val="21"/>
          <w:szCs w:val="21"/>
        </w:rPr>
        <w:t xml:space="preserve">    6.18 ISO 55000/55001 Governance</w:t>
      </w:r>
    </w:p>
    <w:p>
      <w:pPr>
        <w:spacing w:after="70"/>
      </w:pPr>
      <w:r>
        <w:rPr>
          <w:sz w:val="21"/>
          <w:szCs w:val="21"/>
        </w:rPr>
        <w:t xml:space="preserve">    6.19 Audit &amp; Compliance</w:t>
      </w:r>
    </w:p>
    <w:p>
      <w:pPr>
        <w:spacing w:after="70"/>
      </w:pPr>
      <w:r>
        <w:rPr>
          <w:sz w:val="21"/>
          <w:szCs w:val="21"/>
        </w:rPr>
        <w:t xml:space="preserve">    6.20 Document Management</w:t>
      </w:r>
    </w:p>
    <w:p>
      <w:pPr>
        <w:spacing w:after="70"/>
      </w:pPr>
      <w:r>
        <w:rPr>
          <w:sz w:val="21"/>
          <w:szCs w:val="21"/>
        </w:rPr>
        <w:t xml:space="preserve">    6.21 Reporting &amp; Executive Dashboard</w:t>
      </w:r>
    </w:p>
    <w:p>
      <w:pPr>
        <w:spacing w:after="70"/>
      </w:pPr>
      <w:r>
        <w:rPr>
          <w:sz w:val="21"/>
          <w:szCs w:val="21"/>
        </w:rPr>
        <w:t xml:space="preserve">7. Matriks Peran × Modul</w:t>
      </w:r>
    </w:p>
    <w:p>
      <w:pPr>
        <w:spacing w:after="70"/>
      </w:pPr>
      <w:r>
        <w:rPr>
          <w:sz w:val="21"/>
          <w:szCs w:val="21"/>
        </w:rPr>
        <w:t xml:space="preserve">8. Catatan, Keterbatasan dan Tahap Lanjutan</w:t>
      </w:r>
    </w:p>
    <w:p>
      <w:pPr>
        <w:pStyle w:val="Heading1"/>
        <w:pageBreakBefore/>
        <w:spacing w:after="240" w:before="0"/>
      </w:pPr>
      <w:r>
        <w:rPr>
          <w:color w:val="0B1F3A"/>
        </w:rPr>
        <w:t xml:space="preserve">1. PENDAHULUAN</w:t>
      </w:r>
    </w:p>
    <w:p>
      <w:pPr>
        <w:spacing w:after="140"/>
      </w:pPr>
      <w:r>
        <w:rPr>
          <w:b w:val="false"/>
          <w:bCs w:val="false"/>
          <w:i w:val="false"/>
          <w:iCs w:val="false"/>
          <w:sz w:val="21"/>
          <w:szCs w:val="21"/>
        </w:rPr>
        <w:t xml:space="preserve">SIMASET BMN adalah platform manajemen aset end-to-end yang menggabungkan prinsip asset management (ISO 55000/55001) dengan kebutuhan penatausahaan Barang Milik Negara (BMN). Sistem dirancang agar organisasi dapat mengetahui bukan hanya apa yang dimiliki, tetapi juga lokasi, custodian, kondisi, risiko, biaya, kinerja, histori dan keputusan lifecycle setiap aset.</w:t>
      </w:r>
    </w:p>
    <w:p>
      <w:pPr>
        <w:spacing w:after="140"/>
      </w:pPr>
      <w:r>
        <w:rPr>
          <w:b w:val="false"/>
          <w:bCs w:val="false"/>
          <w:i w:val="false"/>
          <w:iCs w:val="false"/>
          <w:sz w:val="21"/>
          <w:szCs w:val="21"/>
        </w:rPr>
        <w:t xml:space="preserve">Dokumen ini menjelaskan secara rinci fitur-fitur yang telah diwujudkan pada purwarupa (prototype) antarmuka SIMASET BMN — mencakup deskripsi tiap modul, alur kerja yang didukung, tampilan yang dibangun pada purwarupa, serta tangkapan layar aktual dari aplikasi yang telah dideploy.</w:t>
      </w:r>
    </w:p>
    <w:p>
      <w:pPr>
        <w:pStyle w:val="Heading3"/>
        <w:spacing w:after="100" w:before="200"/>
      </w:pPr>
      <w:r>
        <w:rPr>
          <w:color w:val="1D4ED8"/>
        </w:rPr>
        <w:t xml:space="preserve">Cakupan Purwarupa</w:t>
      </w:r>
    </w:p>
    <w:p>
      <w:pPr>
        <w:pStyle w:val="ListParagraph"/>
        <w:numPr>
          <w:ilvl w:val="0"/>
          <w:numId w:val="1"/>
        </w:numPr>
        <w:spacing w:after="60"/>
      </w:pPr>
      <w:r>
        <w:rPr>
          <w:sz w:val="21"/>
          <w:szCs w:val="21"/>
        </w:rPr>
        <w:t xml:space="preserve">Front-end interaktif (HTML/CSS/JavaScript) tanpa basis data/backend sungguhan — seluruh data adalah data simulasi yang dibangkitkan mengikuti struktur data dictionary pada dokumen spesifikasi.</w:t>
      </w:r>
    </w:p>
    <w:p>
      <w:pPr>
        <w:pStyle w:val="ListParagraph"/>
        <w:numPr>
          <w:ilvl w:val="0"/>
          <w:numId w:val="1"/>
        </w:numPr>
        <w:spacing w:after="60"/>
      </w:pPr>
      <w:r>
        <w:rPr>
          <w:sz w:val="21"/>
          <w:szCs w:val="21"/>
        </w:rPr>
        <w:t xml:space="preserve">21 modul fungsional sesuai Bab 9 dokumen BRD, ditambah Dashboard Eksekutif sebagai halaman utama.</w:t>
      </w:r>
    </w:p>
    <w:p>
      <w:pPr>
        <w:pStyle w:val="ListParagraph"/>
        <w:numPr>
          <w:ilvl w:val="0"/>
          <w:numId w:val="1"/>
        </w:numPr>
        <w:spacing w:after="60"/>
      </w:pPr>
      <w:r>
        <w:rPr>
          <w:sz w:val="21"/>
          <w:szCs w:val="21"/>
        </w:rPr>
        <w:t xml:space="preserve">Sepuluh peran pengguna (role) dengan akun demo untuk simulasi login.</w:t>
      </w:r>
    </w:p>
    <w:p>
      <w:pPr>
        <w:pStyle w:val="ListParagraph"/>
        <w:numPr>
          <w:ilvl w:val="0"/>
          <w:numId w:val="1"/>
        </w:numPr>
        <w:spacing w:after="60"/>
      </w:pPr>
      <w:r>
        <w:rPr>
          <w:sz w:val="21"/>
          <w:szCs w:val="21"/>
        </w:rPr>
        <w:t xml:space="preserve">Telah dideploy dan dapat diakses pada https://simaset.semestateknologiutama.com.</w:t>
      </w:r>
    </w:p>
    <w:tbl>
      <w:tblPr>
        <w:tblW w:type="pct" w:w="100%"/>
        <w:tblBorders>
          <w:top w:val="single" w:color="FDE68A" w:sz="4"/>
          <w:left w:val="single" w:color="FDE68A" w:sz="4"/>
          <w:bottom w:val="single" w:color="FDE68A" w:sz="4"/>
          <w:right w:val="single" w:color="FDE68A" w:sz="4"/>
          <w:insideH w:val="single" w:color="auto" w:sz="4"/>
          <w:insideV w:val="single" w:color="auto" w:sz="4"/>
        </w:tblBorders>
      </w:tblPr>
      <w:tblGrid>
        <w:gridCol w:w="100"/>
      </w:tblGrid>
      <w:tr>
        <w:tc>
          <w:tcPr>
            <w:shd w:fill="FFFBEB" w:val="clear"/>
            <w:tcMar>
              <w:top w:type="dxa" w:w="120"/>
              <w:left w:type="dxa" w:w="160"/>
              <w:bottom w:type="dxa" w:w="120"/>
              <w:right w:type="dxa" w:w="160"/>
            </w:tcMar>
          </w:tcPr>
          <w:p>
            <w:r>
              <w:rPr>
                <w:b/>
                <w:bCs/>
                <w:color w:val="92400E"/>
                <w:sz w:val="20"/>
                <w:szCs w:val="20"/>
              </w:rPr>
              <w:t xml:space="preserve">Catatan: </w:t>
            </w:r>
            <w:r>
              <w:rPr>
                <w:color w:val="92400E"/>
                <w:sz w:val="20"/>
                <w:szCs w:val="20"/>
              </w:rPr>
              <w:t xml:space="preserve">Purwarupa ini merupakan alat bantu visualisasi kebutuhan (requirement) dan interaksi (UX) sebelum tahap pengembangan teknis (SRS, ERD fisik, API, backend dan basis data sesungguhnya).</w:t>
            </w:r>
          </w:p>
        </w:tc>
      </w:tr>
    </w:tbl>
    <w:p>
      <w:pPr>
        <w:pStyle w:val="Heading1"/>
        <w:pageBreakBefore/>
        <w:spacing w:after="240" w:before="0"/>
      </w:pPr>
      <w:r>
        <w:rPr>
          <w:color w:val="0B1F3A"/>
        </w:rPr>
        <w:t xml:space="preserve">2. RUANG LINGKUP DAN ARSITEKTUR INFORMASI PURWARUPA</w:t>
      </w:r>
    </w:p>
    <w:p>
      <w:pPr>
        <w:spacing w:after="140"/>
      </w:pPr>
      <w:r>
        <w:rPr>
          <w:b w:val="false"/>
          <w:bCs w:val="false"/>
          <w:i w:val="false"/>
          <w:iCs w:val="false"/>
          <w:sz w:val="21"/>
          <w:szCs w:val="21"/>
        </w:rPr>
        <w:t xml:space="preserve">Navigasi purwarupa disusun sebagai sidebar kiri yang mengelompokkan 21 modul ke dalam 8 kelompok fungsional, agar pengguna dapat menavigasi tanpa harus menghafal struktur teknis:</w:t>
      </w:r>
    </w:p>
    <w:p>
      <w:pPr>
        <w:pStyle w:val="ListParagraph"/>
        <w:numPr>
          <w:ilvl w:val="0"/>
          <w:numId w:val="1"/>
        </w:numPr>
        <w:spacing w:after="60"/>
      </w:pPr>
      <w:r>
        <w:rPr>
          <w:sz w:val="21"/>
          <w:szCs w:val="21"/>
        </w:rPr>
        <w:t xml:space="preserve">Utama — Dashboard Eksekutif.</w:t>
      </w:r>
    </w:p>
    <w:p>
      <w:pPr>
        <w:pStyle w:val="ListParagraph"/>
        <w:numPr>
          <w:ilvl w:val="0"/>
          <w:numId w:val="1"/>
        </w:numPr>
        <w:spacing w:after="60"/>
      </w:pPr>
      <w:r>
        <w:rPr>
          <w:sz w:val="21"/>
          <w:szCs w:val="21"/>
        </w:rPr>
        <w:t xml:space="preserve">Master &amp; Register — Master Data, BMN Register, Asset Lifecycle, QR/Barcode &amp; Asset Tag.</w:t>
      </w:r>
    </w:p>
    <w:p>
      <w:pPr>
        <w:pStyle w:val="ListParagraph"/>
        <w:numPr>
          <w:ilvl w:val="0"/>
          <w:numId w:val="1"/>
        </w:numPr>
        <w:spacing w:after="60"/>
      </w:pPr>
      <w:r>
        <w:rPr>
          <w:sz w:val="21"/>
          <w:szCs w:val="21"/>
        </w:rPr>
        <w:t xml:space="preserve">Operasional Lapangan — Sensus &amp; Inventarisasi, Mutasi/IMACD, Custodian Management, JML Lifecycle.</w:t>
      </w:r>
    </w:p>
    <w:p>
      <w:pPr>
        <w:pStyle w:val="ListParagraph"/>
        <w:numPr>
          <w:ilvl w:val="0"/>
          <w:numId w:val="1"/>
        </w:numPr>
        <w:spacing w:after="60"/>
      </w:pPr>
      <w:r>
        <w:rPr>
          <w:sz w:val="21"/>
          <w:szCs w:val="21"/>
        </w:rPr>
        <w:t xml:space="preserve">Pemeliharaan &amp; Kondisi — Maintenance &amp; Work Order, Inspection &amp; Condition.</w:t>
      </w:r>
    </w:p>
    <w:p>
      <w:pPr>
        <w:pStyle w:val="ListParagraph"/>
        <w:numPr>
          <w:ilvl w:val="0"/>
          <w:numId w:val="1"/>
        </w:numPr>
        <w:spacing w:after="60"/>
      </w:pPr>
      <w:r>
        <w:rPr>
          <w:sz w:val="21"/>
          <w:szCs w:val="21"/>
        </w:rPr>
        <w:t xml:space="preserve">Risiko &amp; Kinerja — Risk &amp; Criticality, Performance &amp; Asset Health, Financial &amp; Lifecycle Cost.</w:t>
      </w:r>
    </w:p>
    <w:p>
      <w:pPr>
        <w:pStyle w:val="ListParagraph"/>
        <w:numPr>
          <w:ilvl w:val="0"/>
          <w:numId w:val="1"/>
        </w:numPr>
        <w:spacing w:after="60"/>
      </w:pPr>
      <w:r>
        <w:rPr>
          <w:sz w:val="21"/>
          <w:szCs w:val="21"/>
        </w:rPr>
        <w:t xml:space="preserve">BMN &amp; Kepatuhan — SAKTI/SIMAN Reconciliation, BMN Disposal.</w:t>
      </w:r>
    </w:p>
    <w:p>
      <w:pPr>
        <w:pStyle w:val="ListParagraph"/>
        <w:numPr>
          <w:ilvl w:val="0"/>
          <w:numId w:val="1"/>
        </w:numPr>
        <w:spacing w:after="60"/>
      </w:pPr>
      <w:r>
        <w:rPr>
          <w:sz w:val="21"/>
          <w:szCs w:val="21"/>
        </w:rPr>
        <w:t xml:space="preserve">Keamanan Siber — Cyber Asset Management, Media Sanitization.</w:t>
      </w:r>
    </w:p>
    <w:p>
      <w:pPr>
        <w:pStyle w:val="ListParagraph"/>
        <w:numPr>
          <w:ilvl w:val="0"/>
          <w:numId w:val="1"/>
        </w:numPr>
        <w:spacing w:after="60"/>
      </w:pPr>
      <w:r>
        <w:rPr>
          <w:sz w:val="21"/>
          <w:szCs w:val="21"/>
        </w:rPr>
        <w:t xml:space="preserve">Governance &amp; Audit — ISO 55000/55001 Governance, Audit &amp; Compliance, Document Management.</w:t>
      </w:r>
    </w:p>
    <w:p>
      <w:pPr>
        <w:pStyle w:val="ListParagraph"/>
        <w:numPr>
          <w:ilvl w:val="0"/>
          <w:numId w:val="1"/>
        </w:numPr>
        <w:spacing w:after="60"/>
      </w:pPr>
      <w:r>
        <w:rPr>
          <w:sz w:val="21"/>
          <w:szCs w:val="21"/>
        </w:rPr>
        <w:t xml:space="preserve">Pelaporan — Reporting &amp; Executive Dashboard.</w:t>
      </w:r>
    </w:p>
    <w:p>
      <w:pPr>
        <w:pStyle w:val="Heading3"/>
        <w:spacing w:after="100" w:before="200"/>
      </w:pPr>
      <w:r>
        <w:rPr>
          <w:color w:val="1D4ED8"/>
        </w:rPr>
        <w:t xml:space="preserve">Pola Tampilan yang Konsisten</w:t>
      </w:r>
    </w:p>
    <w:p>
      <w:pPr>
        <w:spacing w:after="140"/>
      </w:pPr>
      <w:r>
        <w:rPr>
          <w:b w:val="false"/>
          <w:bCs w:val="false"/>
          <w:i w:val="false"/>
          <w:iCs w:val="false"/>
          <w:sz w:val="21"/>
          <w:szCs w:val="21"/>
        </w:rPr>
        <w:t xml:space="preserve">Agar mudah dipelajari pengguna, sebagian besar modul transaksional mengikuti pola tampilan yang sama:</w:t>
      </w:r>
    </w:p>
    <w:p>
      <w:pPr>
        <w:pStyle w:val="ListParagraph"/>
        <w:numPr>
          <w:ilvl w:val="0"/>
          <w:numId w:val="2"/>
        </w:numPr>
        <w:spacing w:after="60"/>
      </w:pPr>
      <w:r>
        <w:rPr>
          <w:sz w:val="21"/>
          <w:szCs w:val="21"/>
        </w:rPr>
        <w:t xml:space="preserve">Kartu KPI di bagian atas halaman — merangkum metrik penting modul tersebut secara sekilas.</w:t>
      </w:r>
    </w:p>
    <w:p>
      <w:pPr>
        <w:pStyle w:val="ListParagraph"/>
        <w:numPr>
          <w:ilvl w:val="0"/>
          <w:numId w:val="2"/>
        </w:numPr>
        <w:spacing w:after="60"/>
      </w:pPr>
      <w:r>
        <w:rPr>
          <w:sz w:val="21"/>
          <w:szCs w:val="21"/>
        </w:rPr>
        <w:t xml:space="preserve">Panel filter dan pencarian — memungkinkan penyaringan data berdasarkan kategori, status atau atribut lain.</w:t>
      </w:r>
    </w:p>
    <w:p>
      <w:pPr>
        <w:pStyle w:val="ListParagraph"/>
        <w:numPr>
          <w:ilvl w:val="0"/>
          <w:numId w:val="2"/>
        </w:numPr>
        <w:spacing w:after="60"/>
      </w:pPr>
      <w:r>
        <w:rPr>
          <w:sz w:val="21"/>
          <w:szCs w:val="21"/>
        </w:rPr>
        <w:t xml:space="preserve">Tabel data dengan paginasi — menampilkan daftar record dengan kolom relevan dan badge status berwarna.</w:t>
      </w:r>
    </w:p>
    <w:p>
      <w:pPr>
        <w:pStyle w:val="ListParagraph"/>
        <w:numPr>
          <w:ilvl w:val="0"/>
          <w:numId w:val="2"/>
        </w:numPr>
        <w:spacing w:after="60"/>
      </w:pPr>
      <w:r>
        <w:rPr>
          <w:sz w:val="21"/>
          <w:szCs w:val="21"/>
        </w:rPr>
        <w:t xml:space="preserve">Drawer (panel geser) detail — muncul saat satu baris tabel diklik, menampilkan informasi lengkap record tersebut; pada modul tertentu (BMN Register) detail disusun dalam beberapa tab.</w:t>
      </w:r>
    </w:p>
    <w:p>
      <w:pPr>
        <w:spacing w:after="140"/>
      </w:pPr>
      <w:r>
        <w:rPr>
          <w:b w:val="false"/>
          <w:bCs w:val="false"/>
          <w:i w:val="false"/>
          <w:iCs w:val="false"/>
          <w:sz w:val="21"/>
          <w:szCs w:val="21"/>
        </w:rPr>
        <w:t xml:space="preserve">Beberapa modul memiliki tampilan kustom karena sifat datanya berjenjang (misalnya Sensus memiliki rencana dan hasil scan, Rekonsiliasi memiliki batch dan item, Governance memiliki beberapa artefak berbeda) — modul-modul ini dijelaskan tersendiri pada Bab 6.</w:t>
      </w:r>
    </w:p>
    <w:p>
      <w:pPr>
        <w:pStyle w:val="Heading1"/>
        <w:pageBreakBefore/>
        <w:spacing w:after="240" w:before="0"/>
      </w:pPr>
      <w:r>
        <w:rPr>
          <w:color w:val="0B1F3A"/>
        </w:rPr>
        <w:t xml:space="preserve">3. ALUR KERJA UTAMA LINTAS MODUL</w:t>
      </w:r>
    </w:p>
    <w:p>
      <w:pPr>
        <w:spacing w:after="140"/>
      </w:pPr>
      <w:r>
        <w:rPr>
          <w:b w:val="false"/>
          <w:bCs w:val="false"/>
          <w:i w:val="false"/>
          <w:iCs w:val="false"/>
          <w:sz w:val="21"/>
          <w:szCs w:val="21"/>
        </w:rPr>
        <w:t xml:space="preserve">Tujuh alur kerja berikut menjadi rujukan lintas modul sebagaimana didefinisikan pada dokumen spesifikasi, dan tercermin pada urutan interaksi di purwarupa:</w:t>
      </w:r>
    </w:p>
    <w:p>
      <w:pPr>
        <w:pStyle w:val="Heading3"/>
        <w:spacing w:after="100" w:before="200"/>
      </w:pPr>
      <w:r>
        <w:rPr>
          <w:color w:val="1D4ED8"/>
        </w:rPr>
        <w:t xml:space="preserve">Procurement-to-Asset</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Requirement   →   Business Case   →   Approval   →   Procurement   →   Receiving   →   Verification   →   Register   →   Tag   →   Assignment</w:t>
            </w:r>
          </w:p>
        </w:tc>
      </w:tr>
    </w:tbl>
    <w:p>
      <w:pPr>
        <w:pStyle w:val="Heading3"/>
        <w:spacing w:after="100" w:before="200"/>
      </w:pPr>
      <w:r>
        <w:rPr>
          <w:color w:val="1D4ED8"/>
        </w:rPr>
        <w:t xml:space="preserve">Sensus</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Plan   →   Assign   →   Scan   →   Match   →   Verify   →   Condition   →   Evidence   →   Exception   →   Close</w:t>
            </w:r>
          </w:p>
        </w:tc>
      </w:tr>
    </w:tbl>
    <w:p>
      <w:pPr>
        <w:pStyle w:val="Heading3"/>
        <w:spacing w:after="100" w:before="200"/>
      </w:pPr>
      <w:r>
        <w:rPr>
          <w:color w:val="1D4ED8"/>
        </w:rPr>
        <w:t xml:space="preserve">Mutasi/IMACD</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Request   →   Verify   →   Approve   →   Move   →   Scan   →   Update   →   Evidence   →   Close</w:t>
            </w:r>
          </w:p>
        </w:tc>
      </w:tr>
    </w:tbl>
    <w:p>
      <w:pPr>
        <w:pStyle w:val="Heading3"/>
        <w:spacing w:after="100" w:before="200"/>
      </w:pPr>
      <w:r>
        <w:rPr>
          <w:color w:val="1D4ED8"/>
        </w:rPr>
        <w:t xml:space="preserve">Preventive Maintenance</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Plan   →   Schedule   →   WO   →   Execute   →   Test   →   Verify   →   Close   →   KPI</w:t>
            </w:r>
          </w:p>
        </w:tc>
      </w:tr>
    </w:tbl>
    <w:p>
      <w:pPr>
        <w:pStyle w:val="Heading3"/>
        <w:spacing w:after="100" w:before="200"/>
      </w:pPr>
      <w:r>
        <w:rPr>
          <w:color w:val="1D4ED8"/>
        </w:rPr>
        <w:t xml:space="preserve">Corrective Maintenance</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Damage Report   →   Triage   →   WO   →   Repair   →   Test   →   Verify   →   Close</w:t>
            </w:r>
          </w:p>
        </w:tc>
      </w:tr>
    </w:tbl>
    <w:p>
      <w:pPr>
        <w:pStyle w:val="Heading3"/>
        <w:spacing w:after="100" w:before="200"/>
      </w:pPr>
      <w:r>
        <w:rPr>
          <w:color w:val="1D4ED8"/>
        </w:rPr>
        <w:t xml:space="preserve">Reconciliation</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Export   →   Import   →   Mapping   →   Matching   →   Exception   →   Verify   →   Sign-off</w:t>
            </w:r>
          </w:p>
        </w:tc>
      </w:tr>
    </w:tbl>
    <w:p>
      <w:pPr>
        <w:pStyle w:val="Heading3"/>
        <w:spacing w:after="100" w:before="200"/>
      </w:pPr>
      <w:r>
        <w:rPr>
          <w:color w:val="1D4ED8"/>
        </w:rPr>
        <w:t xml:space="preserve">Disposal</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Assessment   →   Recommendation   →   Approval   →   Legal Process   →   Sanitization (bila berlaku)   →   Evidence   →   Reconcile   →   Archive</w:t>
            </w:r>
          </w:p>
        </w:tc>
      </w:tr>
    </w:tbl>
    <w:p>
      <w:pPr>
        <w:pStyle w:val="Heading1"/>
        <w:pageBreakBefore/>
        <w:spacing w:after="240" w:before="0"/>
      </w:pPr>
      <w:r>
        <w:rPr>
          <w:color w:val="0B1F3A"/>
        </w:rPr>
        <w:t xml:space="preserve">4. AUTENTIKASI DAN AKUN PENGGUNA</w:t>
      </w:r>
    </w:p>
    <w:p>
      <w:pPr>
        <w:spacing w:after="140"/>
      </w:pPr>
      <w:r>
        <w:rPr>
          <w:b w:val="false"/>
          <w:bCs w:val="false"/>
          <w:i w:val="false"/>
          <w:iCs w:val="false"/>
          <w:sz w:val="21"/>
          <w:szCs w:val="21"/>
        </w:rPr>
        <w:t xml:space="preserve">Halaman login menjadi pintu masuk purwarupa, menampilkan identitas visual SIMASET BMN, ringkasan cakupan sistem (21 modul, 10 peran pengguna, keselarasan ISO 55000/55001) dan formulir masuk.</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login SIMASET BMN — panel kiri berisi identitas dan ringkasan sistem, panel kanan formulir masuk.</w:t>
      </w:r>
    </w:p>
    <w:p>
      <w:pPr>
        <w:spacing w:after="140"/>
      </w:pPr>
      <w:r>
        <w:rPr>
          <w:b w:val="false"/>
          <w:bCs w:val="false"/>
          <w:i w:val="false"/>
          <w:iCs w:val="false"/>
          <w:sz w:val="21"/>
          <w:szCs w:val="21"/>
        </w:rPr>
        <w:t xml:space="preserve">Untuk mempermudah simulasi tanpa memerlukan proses pendaftaran, tersedia panel "Gunakan akun demo" yang dapat diklik untuk mengisi email dan kata sandi secara otomatis sesuai peran yang dipilih.</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Panel akun demo — sepuluh peran pengguna dapat dipilih untuk mengisi formulir login secara otomatis.</w:t>
      </w:r>
    </w:p>
    <w:p>
      <w:pPr>
        <w:pStyle w:val="Heading3"/>
        <w:spacing w:after="100" w:before="200"/>
      </w:pPr>
      <w:r>
        <w:rPr>
          <w:color w:val="1D4ED8"/>
        </w:rPr>
        <w:t xml:space="preserve">Daftar Akun Demo</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Super Admin</w:t>
            </w:r>
          </w:p>
        </w:tc>
        <w:tc>
          <w:tcPr>
            <w:tcW w:type="pct" w:w="72%"/>
            <w:tcMar>
              <w:top w:type="dxa" w:w="80"/>
              <w:left w:type="dxa" w:w="120"/>
              <w:bottom w:type="dxa" w:w="80"/>
              <w:right w:type="dxa" w:w="120"/>
            </w:tcMar>
            <w:vAlign w:val="center"/>
          </w:tcPr>
          <w:p>
            <w:r>
              <w:rPr>
                <w:sz w:val="20"/>
                <w:szCs w:val="20"/>
              </w:rPr>
              <w:t xml:space="preserve">admin@simaset.go.id</w:t>
            </w:r>
          </w:p>
        </w:tc>
      </w:tr>
      <w:tr>
        <w:tc>
          <w:tcPr>
            <w:tcW w:type="pct" w:w="28%"/>
            <w:shd w:fill="F3F5F9" w:val="clear"/>
            <w:tcMar>
              <w:top w:type="dxa" w:w="80"/>
              <w:left w:type="dxa" w:w="120"/>
              <w:bottom w:type="dxa" w:w="80"/>
              <w:right w:type="dxa" w:w="120"/>
            </w:tcMar>
            <w:vAlign w:val="center"/>
          </w:tcPr>
          <w:p>
            <w:r>
              <w:rPr>
                <w:b/>
                <w:bCs/>
                <w:sz w:val="20"/>
                <w:szCs w:val="20"/>
              </w:rPr>
              <w:t xml:space="preserve">Asset Manager</w:t>
            </w:r>
          </w:p>
        </w:tc>
        <w:tc>
          <w:tcPr>
            <w:tcW w:type="pct" w:w="72%"/>
            <w:tcMar>
              <w:top w:type="dxa" w:w="80"/>
              <w:left w:type="dxa" w:w="120"/>
              <w:bottom w:type="dxa" w:w="80"/>
              <w:right w:type="dxa" w:w="120"/>
            </w:tcMar>
            <w:vAlign w:val="center"/>
          </w:tcPr>
          <w:p>
            <w:r>
              <w:rPr>
                <w:sz w:val="20"/>
                <w:szCs w:val="20"/>
              </w:rPr>
              <w:t xml:space="preserve">asset.manager@simaset.go.id</w:t>
            </w:r>
          </w:p>
        </w:tc>
      </w:tr>
      <w:tr>
        <w:tc>
          <w:tcPr>
            <w:tcW w:type="pct" w:w="28%"/>
            <w:shd w:fill="F3F5F9" w:val="clear"/>
            <w:tcMar>
              <w:top w:type="dxa" w:w="80"/>
              <w:left w:type="dxa" w:w="120"/>
              <w:bottom w:type="dxa" w:w="80"/>
              <w:right w:type="dxa" w:w="120"/>
            </w:tcMar>
            <w:vAlign w:val="center"/>
          </w:tcPr>
          <w:p>
            <w:r>
              <w:rPr>
                <w:b/>
                <w:bCs/>
                <w:sz w:val="20"/>
                <w:szCs w:val="20"/>
              </w:rPr>
              <w:t xml:space="preserve">BMN Officer</w:t>
            </w:r>
          </w:p>
        </w:tc>
        <w:tc>
          <w:tcPr>
            <w:tcW w:type="pct" w:w="72%"/>
            <w:tcMar>
              <w:top w:type="dxa" w:w="80"/>
              <w:left w:type="dxa" w:w="120"/>
              <w:bottom w:type="dxa" w:w="80"/>
              <w:right w:type="dxa" w:w="120"/>
            </w:tcMar>
            <w:vAlign w:val="center"/>
          </w:tcPr>
          <w:p>
            <w:r>
              <w:rPr>
                <w:sz w:val="20"/>
                <w:szCs w:val="20"/>
              </w:rPr>
              <w:t xml:space="preserve">bmn.officer@simaset.go.id</w:t>
            </w:r>
          </w:p>
        </w:tc>
      </w:tr>
      <w:tr>
        <w:tc>
          <w:tcPr>
            <w:tcW w:type="pct" w:w="28%"/>
            <w:shd w:fill="F3F5F9" w:val="clear"/>
            <w:tcMar>
              <w:top w:type="dxa" w:w="80"/>
              <w:left w:type="dxa" w:w="120"/>
              <w:bottom w:type="dxa" w:w="80"/>
              <w:right w:type="dxa" w:w="120"/>
            </w:tcMar>
            <w:vAlign w:val="center"/>
          </w:tcPr>
          <w:p>
            <w:r>
              <w:rPr>
                <w:b/>
                <w:bCs/>
                <w:sz w:val="20"/>
                <w:szCs w:val="20"/>
              </w:rPr>
              <w:t xml:space="preserve">Finance</w:t>
            </w:r>
          </w:p>
        </w:tc>
        <w:tc>
          <w:tcPr>
            <w:tcW w:type="pct" w:w="72%"/>
            <w:tcMar>
              <w:top w:type="dxa" w:w="80"/>
              <w:left w:type="dxa" w:w="120"/>
              <w:bottom w:type="dxa" w:w="80"/>
              <w:right w:type="dxa" w:w="120"/>
            </w:tcMar>
            <w:vAlign w:val="center"/>
          </w:tcPr>
          <w:p>
            <w:r>
              <w:rPr>
                <w:sz w:val="20"/>
                <w:szCs w:val="20"/>
              </w:rPr>
              <w:t xml:space="preserve">finance@simaset.go.id</w:t>
            </w:r>
          </w:p>
        </w:tc>
      </w:tr>
      <w:tr>
        <w:tc>
          <w:tcPr>
            <w:tcW w:type="pct" w:w="28%"/>
            <w:shd w:fill="F3F5F9" w:val="clear"/>
            <w:tcMar>
              <w:top w:type="dxa" w:w="80"/>
              <w:left w:type="dxa" w:w="120"/>
              <w:bottom w:type="dxa" w:w="80"/>
              <w:right w:type="dxa" w:w="120"/>
            </w:tcMar>
            <w:vAlign w:val="center"/>
          </w:tcPr>
          <w:p>
            <w:r>
              <w:rPr>
                <w:b/>
                <w:bCs/>
                <w:sz w:val="20"/>
                <w:szCs w:val="20"/>
              </w:rPr>
              <w:t xml:space="preserve">Maintenance</w:t>
            </w:r>
          </w:p>
        </w:tc>
        <w:tc>
          <w:tcPr>
            <w:tcW w:type="pct" w:w="72%"/>
            <w:tcMar>
              <w:top w:type="dxa" w:w="80"/>
              <w:left w:type="dxa" w:w="120"/>
              <w:bottom w:type="dxa" w:w="80"/>
              <w:right w:type="dxa" w:w="120"/>
            </w:tcMar>
            <w:vAlign w:val="center"/>
          </w:tcPr>
          <w:p>
            <w:r>
              <w:rPr>
                <w:sz w:val="20"/>
                <w:szCs w:val="20"/>
              </w:rPr>
              <w:t xml:space="preserve">maintenance@simaset.go.id</w:t>
            </w:r>
          </w:p>
        </w:tc>
      </w:tr>
      <w:tr>
        <w:tc>
          <w:tcPr>
            <w:tcW w:type="pct" w:w="28%"/>
            <w:shd w:fill="F3F5F9" w:val="clear"/>
            <w:tcMar>
              <w:top w:type="dxa" w:w="80"/>
              <w:left w:type="dxa" w:w="120"/>
              <w:bottom w:type="dxa" w:w="80"/>
              <w:right w:type="dxa" w:w="120"/>
            </w:tcMar>
            <w:vAlign w:val="center"/>
          </w:tcPr>
          <w:p>
            <w:r>
              <w:rPr>
                <w:b/>
                <w:bCs/>
                <w:sz w:val="20"/>
                <w:szCs w:val="20"/>
              </w:rPr>
              <w:t xml:space="preserve">Inspector</w:t>
            </w:r>
          </w:p>
        </w:tc>
        <w:tc>
          <w:tcPr>
            <w:tcW w:type="pct" w:w="72%"/>
            <w:tcMar>
              <w:top w:type="dxa" w:w="80"/>
              <w:left w:type="dxa" w:w="120"/>
              <w:bottom w:type="dxa" w:w="80"/>
              <w:right w:type="dxa" w:w="120"/>
            </w:tcMar>
            <w:vAlign w:val="center"/>
          </w:tcPr>
          <w:p>
            <w:r>
              <w:rPr>
                <w:sz w:val="20"/>
                <w:szCs w:val="20"/>
              </w:rPr>
              <w:t xml:space="preserve">inspector@simaset.go.id</w:t>
            </w:r>
          </w:p>
        </w:tc>
      </w:tr>
      <w:tr>
        <w:tc>
          <w:tcPr>
            <w:tcW w:type="pct" w:w="28%"/>
            <w:shd w:fill="F3F5F9" w:val="clear"/>
            <w:tcMar>
              <w:top w:type="dxa" w:w="80"/>
              <w:left w:type="dxa" w:w="120"/>
              <w:bottom w:type="dxa" w:w="80"/>
              <w:right w:type="dxa" w:w="120"/>
            </w:tcMar>
            <w:vAlign w:val="center"/>
          </w:tcPr>
          <w:p>
            <w:r>
              <w:rPr>
                <w:b/>
                <w:bCs/>
                <w:sz w:val="20"/>
                <w:szCs w:val="20"/>
              </w:rPr>
              <w:t xml:space="preserve">Custodian</w:t>
            </w:r>
          </w:p>
        </w:tc>
        <w:tc>
          <w:tcPr>
            <w:tcW w:type="pct" w:w="72%"/>
            <w:tcMar>
              <w:top w:type="dxa" w:w="80"/>
              <w:left w:type="dxa" w:w="120"/>
              <w:bottom w:type="dxa" w:w="80"/>
              <w:right w:type="dxa" w:w="120"/>
            </w:tcMar>
            <w:vAlign w:val="center"/>
          </w:tcPr>
          <w:p>
            <w:r>
              <w:rPr>
                <w:sz w:val="20"/>
                <w:szCs w:val="20"/>
              </w:rPr>
              <w:t xml:space="preserve">custodian@simaset.go.id</w:t>
            </w:r>
          </w:p>
        </w:tc>
      </w:tr>
      <w:tr>
        <w:tc>
          <w:tcPr>
            <w:tcW w:type="pct" w:w="28%"/>
            <w:shd w:fill="F3F5F9" w:val="clear"/>
            <w:tcMar>
              <w:top w:type="dxa" w:w="80"/>
              <w:left w:type="dxa" w:w="120"/>
              <w:bottom w:type="dxa" w:w="80"/>
              <w:right w:type="dxa" w:w="120"/>
            </w:tcMar>
            <w:vAlign w:val="center"/>
          </w:tcPr>
          <w:p>
            <w:r>
              <w:rPr>
                <w:b/>
                <w:bCs/>
                <w:sz w:val="20"/>
                <w:szCs w:val="20"/>
              </w:rPr>
              <w:t xml:space="preserve">Cyber Officer</w:t>
            </w:r>
          </w:p>
        </w:tc>
        <w:tc>
          <w:tcPr>
            <w:tcW w:type="pct" w:w="72%"/>
            <w:tcMar>
              <w:top w:type="dxa" w:w="80"/>
              <w:left w:type="dxa" w:w="120"/>
              <w:bottom w:type="dxa" w:w="80"/>
              <w:right w:type="dxa" w:w="120"/>
            </w:tcMar>
            <w:vAlign w:val="center"/>
          </w:tcPr>
          <w:p>
            <w:r>
              <w:rPr>
                <w:sz w:val="20"/>
                <w:szCs w:val="20"/>
              </w:rPr>
              <w:t xml:space="preserve">cyber.officer@simaset.go.id</w:t>
            </w:r>
          </w:p>
        </w:tc>
      </w:tr>
      <w:tr>
        <w:tc>
          <w:tcPr>
            <w:tcW w:type="pct" w:w="28%"/>
            <w:shd w:fill="F3F5F9" w:val="clear"/>
            <w:tcMar>
              <w:top w:type="dxa" w:w="80"/>
              <w:left w:type="dxa" w:w="120"/>
              <w:bottom w:type="dxa" w:w="80"/>
              <w:right w:type="dxa" w:w="120"/>
            </w:tcMar>
            <w:vAlign w:val="center"/>
          </w:tcPr>
          <w:p>
            <w:r>
              <w:rPr>
                <w:b/>
                <w:bCs/>
                <w:sz w:val="20"/>
                <w:szCs w:val="20"/>
              </w:rPr>
              <w:t xml:space="preserve">Auditor</w:t>
            </w:r>
          </w:p>
        </w:tc>
        <w:tc>
          <w:tcPr>
            <w:tcW w:type="pct" w:w="72%"/>
            <w:tcMar>
              <w:top w:type="dxa" w:w="80"/>
              <w:left w:type="dxa" w:w="120"/>
              <w:bottom w:type="dxa" w:w="80"/>
              <w:right w:type="dxa" w:w="120"/>
            </w:tcMar>
            <w:vAlign w:val="center"/>
          </w:tcPr>
          <w:p>
            <w:r>
              <w:rPr>
                <w:sz w:val="20"/>
                <w:szCs w:val="20"/>
              </w:rPr>
              <w:t xml:space="preserve">auditor@simaset.go.id</w:t>
            </w:r>
          </w:p>
        </w:tc>
      </w:tr>
      <w:tr>
        <w:tc>
          <w:tcPr>
            <w:tcW w:type="pct" w:w="28%"/>
            <w:shd w:fill="F3F5F9" w:val="clear"/>
            <w:tcMar>
              <w:top w:type="dxa" w:w="80"/>
              <w:left w:type="dxa" w:w="120"/>
              <w:bottom w:type="dxa" w:w="80"/>
              <w:right w:type="dxa" w:w="120"/>
            </w:tcMar>
            <w:vAlign w:val="center"/>
          </w:tcPr>
          <w:p>
            <w:r>
              <w:rPr>
                <w:b/>
                <w:bCs/>
                <w:sz w:val="20"/>
                <w:szCs w:val="20"/>
              </w:rPr>
              <w:t xml:space="preserve">Management</w:t>
            </w:r>
          </w:p>
        </w:tc>
        <w:tc>
          <w:tcPr>
            <w:tcW w:type="pct" w:w="72%"/>
            <w:tcMar>
              <w:top w:type="dxa" w:w="80"/>
              <w:left w:type="dxa" w:w="120"/>
              <w:bottom w:type="dxa" w:w="80"/>
              <w:right w:type="dxa" w:w="120"/>
            </w:tcMar>
            <w:vAlign w:val="center"/>
          </w:tcPr>
          <w:p>
            <w:r>
              <w:rPr>
                <w:sz w:val="20"/>
                <w:szCs w:val="20"/>
              </w:rPr>
              <w:t xml:space="preserve">management@simaset.go.id</w:t>
            </w:r>
          </w:p>
        </w:tc>
      </w:tr>
    </w:tbl>
    <w:p>
      <w:pPr>
        <w:spacing w:after="140"/>
      </w:pPr>
      <w:r>
        <w:rPr>
          <w:b w:val="false"/>
          <w:bCs w:val="false"/>
          <w:i/>
          <w:iCs/>
          <w:sz w:val="21"/>
          <w:szCs w:val="21"/>
        </w:rPr>
        <w:t xml:space="preserve">Kata sandi seluruh akun demo: simaset123. Sesi login disimpan sementara pada browser (session storage) — murni simulasi front-end, belum terhubung ke sistem otentikasi/backend sungguhan.</w:t>
      </w:r>
    </w:p>
    <w:p>
      <w:pPr>
        <w:pStyle w:val="Heading1"/>
        <w:pageBreakBefore/>
        <w:spacing w:after="240" w:before="0"/>
      </w:pPr>
      <w:r>
        <w:rPr>
          <w:color w:val="0B1F3A"/>
        </w:rPr>
        <w:t xml:space="preserve">5. DASHBOARD EKSEKUTIF</w:t>
      </w:r>
    </w:p>
    <w:p>
      <w:pPr>
        <w:spacing w:after="140"/>
      </w:pPr>
      <w:r>
        <w:rPr>
          <w:b w:val="false"/>
          <w:bCs w:val="false"/>
          <w:i w:val="false"/>
          <w:iCs w:val="false"/>
          <w:sz w:val="21"/>
          <w:szCs w:val="21"/>
        </w:rPr>
        <w:t xml:space="preserve">Dashboard Eksekutif menjadi halaman pertama yang tampil setelah login, dirancang untuk pengambil keputusan (Management/Asset Manager) memahami kondisi keseluruhan portofolio aset dalam sekali pandang.</w:t>
      </w:r>
    </w:p>
    <w:p>
      <w:pPr>
        <w:pStyle w:val="Heading3"/>
        <w:spacing w:after="100" w:before="200"/>
      </w:pPr>
      <w:r>
        <w:rPr>
          <w:color w:val="1D4ED8"/>
        </w:rPr>
        <w:t xml:space="preserve">Komponen Dashboard</w:t>
      </w:r>
    </w:p>
    <w:p>
      <w:pPr>
        <w:pStyle w:val="ListParagraph"/>
        <w:numPr>
          <w:ilvl w:val="0"/>
          <w:numId w:val="1"/>
        </w:numPr>
        <w:spacing w:after="60"/>
      </w:pPr>
      <w:r>
        <w:rPr>
          <w:sz w:val="21"/>
          <w:szCs w:val="21"/>
        </w:rPr>
        <w:t xml:space="preserve">Enam kartu KPI: Total Aset Terdaftar, rata-rata Asset Health Index (AHI), jumlah Aset Kritis, Risiko High/Critical, Anomali Sensus, dan PM Compliance.</w:t>
      </w:r>
    </w:p>
    <w:p>
      <w:pPr>
        <w:pStyle w:val="ListParagraph"/>
        <w:numPr>
          <w:ilvl w:val="0"/>
          <w:numId w:val="1"/>
        </w:numPr>
        <w:spacing w:after="60"/>
      </w:pPr>
      <w:r>
        <w:rPr>
          <w:sz w:val="21"/>
          <w:szCs w:val="21"/>
        </w:rPr>
        <w:t xml:space="preserve">Grafik donat Distribusi Aset per Kategori.</w:t>
      </w:r>
    </w:p>
    <w:p>
      <w:pPr>
        <w:pStyle w:val="ListParagraph"/>
        <w:numPr>
          <w:ilvl w:val="0"/>
          <w:numId w:val="1"/>
        </w:numPr>
        <w:spacing w:after="60"/>
      </w:pPr>
      <w:r>
        <w:rPr>
          <w:sz w:val="21"/>
          <w:szCs w:val="21"/>
        </w:rPr>
        <w:t xml:space="preserve">Grafik batang Distribusi Kondisi Aset (skor 1–5).</w:t>
      </w:r>
    </w:p>
    <w:p>
      <w:pPr>
        <w:pStyle w:val="ListParagraph"/>
        <w:numPr>
          <w:ilvl w:val="0"/>
          <w:numId w:val="1"/>
        </w:numPr>
        <w:spacing w:after="60"/>
      </w:pPr>
      <w:r>
        <w:rPr>
          <w:sz w:val="21"/>
          <w:szCs w:val="21"/>
        </w:rPr>
        <w:t xml:space="preserve">Grafik batang horizontal Rekomendasi Lifecycle Decision (KEEP/MAINTAIN/REFURBISH/REPLACE/DISPOSE).</w:t>
      </w:r>
    </w:p>
    <w:p>
      <w:pPr>
        <w:pStyle w:val="ListParagraph"/>
        <w:numPr>
          <w:ilvl w:val="0"/>
          <w:numId w:val="1"/>
        </w:numPr>
        <w:spacing w:after="60"/>
      </w:pPr>
      <w:r>
        <w:rPr>
          <w:sz w:val="21"/>
          <w:szCs w:val="21"/>
        </w:rPr>
        <w:t xml:space="preserve">Grafik polar Sebaran Level Risiko (Low/Medium/High/Critical).</w:t>
      </w:r>
    </w:p>
    <w:p>
      <w:pPr>
        <w:pStyle w:val="ListParagraph"/>
        <w:numPr>
          <w:ilvl w:val="0"/>
          <w:numId w:val="1"/>
        </w:numPr>
        <w:spacing w:after="60"/>
      </w:pPr>
      <w:r>
        <w:rPr>
          <w:sz w:val="21"/>
          <w:szCs w:val="21"/>
        </w:rPr>
        <w:t xml:space="preserve">Linimasa Aktivitas Terbaru — gabungan event mutasi, work order selesai dan pengajuan disposal lintas modul.</w:t>
      </w:r>
    </w:p>
    <w:p>
      <w:pPr>
        <w:pStyle w:val="ListParagraph"/>
        <w:numPr>
          <w:ilvl w:val="0"/>
          <w:numId w:val="1"/>
        </w:numPr>
        <w:spacing w:after="60"/>
      </w:pPr>
      <w:r>
        <w:rPr>
          <w:sz w:val="21"/>
          <w:szCs w:val="21"/>
        </w:rPr>
        <w:t xml:space="preserve">Panel Ringkasan Kepatuhan — status temuan audit terbuka, rekonsiliasi signed-off, sertifikat sanitasi terverifikasi dan pencapaian objective KPI governance.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086475"/>
                          </a:xfrm>
                          <a:prstGeom prst="rect">
                            <a:avLst/>
                          </a:prstGeom>
                        </pic:spPr>
                      </pic:pic>
                    </a:graphicData>
                  </a:graphic>
                </wp:inline>
              </w:drawing>
            </w:r>
          </w:p>
        </w:tc>
      </w:tr>
    </w:tbl>
    <w:p>
      <w:pPr>
        <w:spacing w:after="200" w:before="80"/>
        <w:jc w:val="center"/>
      </w:pPr>
      <w:r>
        <w:rPr>
          <w:i/>
          <w:iCs/>
          <w:color w:val="64748B"/>
          <w:sz w:val="18"/>
          <w:szCs w:val="18"/>
        </w:rPr>
        <w:t xml:space="preserve">Dashboard Eksekutif — KPI, grafik distribusi aset/kondisi/risiko/keputusan lifecycle, aktivitas terbaru dan ringkasan kepatuhan.</w:t>
      </w:r>
    </w:p>
    <w:p>
      <w:pPr>
        <w:pStyle w:val="Heading1"/>
        <w:pageBreakBefore/>
        <w:spacing w:after="240" w:before="0"/>
      </w:pPr>
      <w:r>
        <w:rPr>
          <w:color w:val="0B1F3A"/>
        </w:rPr>
        <w:t xml:space="preserve">6. DETAIL FITUR PER MODUL</w:t>
      </w:r>
    </w:p>
    <w:p>
      <w:pPr>
        <w:spacing w:after="140"/>
      </w:pPr>
      <w:r>
        <w:rPr>
          <w:b w:val="false"/>
          <w:bCs w:val="false"/>
          <w:i w:val="false"/>
          <w:iCs w:val="false"/>
          <w:sz w:val="21"/>
          <w:szCs w:val="21"/>
        </w:rPr>
        <w:t xml:space="preserve">Bagian ini menjelaskan seluruh 21 modul secara berurutan mengikuti struktur modul pada dokumen spesifikasi. Setiap modul dijelaskan melalui lima aspek: fokus modul, fitur utama, alur kerja, tampilan pada purwarupa, dan tangkapan layar.</w:t>
      </w:r>
    </w:p>
    <w:p>
      <w:pPr>
        <w:pStyle w:val="Heading2"/>
        <w:spacing w:after="120" w:before="300"/>
      </w:pPr>
      <w:r>
        <w:rPr>
          <w:color w:val="0B1F3A"/>
        </w:rPr>
        <w:t xml:space="preserve">6.1  Master Data</w:t>
      </w:r>
    </w:p>
    <w:p>
      <w:pPr>
        <w:spacing w:after="140"/>
      </w:pPr>
      <w:r>
        <w:rPr>
          <w:b w:val="false"/>
          <w:bCs w:val="false"/>
          <w:i/>
          <w:iCs/>
          <w:sz w:val="21"/>
          <w:szCs w:val="21"/>
        </w:rPr>
        <w:t xml:space="preserve">Fondasi referensi seluruh transaksi pada SIMASET BMN.</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Data organisasi, unit kerja, site, gedung, lantai, ruang dan laboratorium.</w:t>
      </w:r>
    </w:p>
    <w:p>
      <w:pPr>
        <w:pStyle w:val="ListParagraph"/>
        <w:numPr>
          <w:ilvl w:val="0"/>
          <w:numId w:val="1"/>
        </w:numPr>
        <w:spacing w:after="60"/>
      </w:pPr>
      <w:r>
        <w:rPr>
          <w:sz w:val="21"/>
          <w:szCs w:val="21"/>
        </w:rPr>
        <w:t xml:space="preserve">Kategori/sub-kategori aset, skala kondisi, tingkat criticality dan klasifikasi keamanan.</w:t>
      </w:r>
    </w:p>
    <w:p>
      <w:pPr>
        <w:pStyle w:val="ListParagraph"/>
        <w:numPr>
          <w:ilvl w:val="0"/>
          <w:numId w:val="1"/>
        </w:numPr>
        <w:spacing w:after="60"/>
      </w:pPr>
      <w:r>
        <w:rPr>
          <w:sz w:val="21"/>
          <w:szCs w:val="21"/>
        </w:rPr>
        <w:t xml:space="preserve">Referensi vendor, brand/model, checklist inspeksi, jenis maintenance dan parameter KPI.</w:t>
      </w:r>
    </w:p>
    <w:p>
      <w:pPr>
        <w:pStyle w:val="ListParagraph"/>
        <w:numPr>
          <w:ilvl w:val="0"/>
          <w:numId w:val="1"/>
        </w:numPr>
        <w:spacing w:after="60"/>
      </w:pPr>
      <w:r>
        <w:rPr>
          <w:sz w:val="21"/>
          <w:szCs w:val="21"/>
        </w:rPr>
        <w:t xml:space="preserve">Parameter workflow, penomoran dokumen/ID, ambang batas notifikasi dan jenis dokumen.</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Admin/Asset Manager menetapkan referensi   →   Referensi dipakai otomatis oleh seluruh modul transaksional   →   Perubahan master tercatat pada log perubahan</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Purwarupa menampilkan ringkasan jumlah gedung, titik lokasi dan kategori sebagai kartu KPI, dilengkapi tabel referensi Gedung &amp; Lokasi, Kategori Aset (dengan jumlah aset per kategori) serta daftar Unit Kerja dalam bentuk chip.</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Admin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Log perubahan master data</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62325"/>
                          </a:xfrm>
                          <a:prstGeom prst="rect">
                            <a:avLst/>
                          </a:prstGeom>
                        </pic:spPr>
                      </pic:pic>
                    </a:graphicData>
                  </a:graphic>
                </wp:inline>
              </w:drawing>
            </w:r>
          </w:p>
        </w:tc>
      </w:tr>
    </w:tbl>
    <w:p>
      <w:pPr>
        <w:spacing w:after="200" w:before="80"/>
        <w:jc w:val="center"/>
      </w:pPr>
      <w:r>
        <w:rPr>
          <w:i/>
          <w:iCs/>
          <w:color w:val="64748B"/>
          <w:sz w:val="18"/>
          <w:szCs w:val="18"/>
        </w:rPr>
        <w:t xml:space="preserve">Halaman Master Data — ringkasan gedung, lokasi, kategori aset dan unit kerja.</w:t>
      </w:r>
    </w:p>
    <w:p>
      <w:pPr>
        <w:pStyle w:val="Heading2"/>
        <w:pageBreakBefore/>
        <w:spacing w:after="120" w:before="0"/>
      </w:pPr>
      <w:r>
        <w:rPr>
          <w:color w:val="0B1F3A"/>
        </w:rPr>
        <w:t xml:space="preserve">6.2  BMN Register</w:t>
      </w:r>
    </w:p>
    <w:p>
      <w:pPr>
        <w:spacing w:after="140"/>
      </w:pPr>
      <w:r>
        <w:rPr>
          <w:b w:val="false"/>
          <w:bCs w:val="false"/>
          <w:i/>
          <w:iCs/>
          <w:sz w:val="21"/>
          <w:szCs w:val="21"/>
        </w:rPr>
        <w:t xml:space="preserve">Register operasional utama seluruh aset BMN.</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Identitas lengkap: Asset ID, Kode Satker, Kode Barang, NUP dan BMN UID.</w:t>
      </w:r>
    </w:p>
    <w:p>
      <w:pPr>
        <w:pStyle w:val="ListParagraph"/>
        <w:numPr>
          <w:ilvl w:val="0"/>
          <w:numId w:val="1"/>
        </w:numPr>
        <w:spacing w:after="60"/>
      </w:pPr>
      <w:r>
        <w:rPr>
          <w:sz w:val="21"/>
          <w:szCs w:val="21"/>
        </w:rPr>
        <w:t xml:space="preserve">Spesifikasi teknis: serial number, merk, model, tahun perolehan dan masa garansi.</w:t>
      </w:r>
    </w:p>
    <w:p>
      <w:pPr>
        <w:pStyle w:val="ListParagraph"/>
        <w:numPr>
          <w:ilvl w:val="0"/>
          <w:numId w:val="1"/>
        </w:numPr>
        <w:spacing w:after="60"/>
      </w:pPr>
      <w:r>
        <w:rPr>
          <w:sz w:val="21"/>
          <w:szCs w:val="21"/>
        </w:rPr>
        <w:t xml:space="preserve">Lokasi presisi, custodian, kondisi, status lifecycle, foto dan dokumen pendukung.</w:t>
      </w:r>
    </w:p>
    <w:p>
      <w:pPr>
        <w:pStyle w:val="ListParagraph"/>
        <w:numPr>
          <w:ilvl w:val="0"/>
          <w:numId w:val="1"/>
        </w:numPr>
        <w:spacing w:after="60"/>
      </w:pPr>
      <w:r>
        <w:rPr>
          <w:sz w:val="21"/>
          <w:szCs w:val="21"/>
        </w:rPr>
        <w:t xml:space="preserve">Tautan langsung ke riwayat maintenance, risiko, Asset Health Index dan dokumen terkait.</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Requirement   →   Business Case   →   Approval   →   Procurement   →   Receiving   →   Verification   →   Register   →   Tag   →   Assignment</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register dilengkapi KPI (total aset, kondisi baik ke atas, aset kritis, sedang maintenance), filter kategori/status/criticality, dan pencarian. Klik satu baris membuka drawer detail beraset lima tab: Ringkasan, Lokasi &amp; Custodian, Riwayat, Risiko dan Dokumen — ini adalah tampilan detail paling lengkap pada purwarupa karena BMN Register menjadi pusat rujukan seluruh modul lain.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BMN Officer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Register aset dan histori perubahan</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Daftar BMN Register dengan KPI, filter dan tabel aset.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aset — tab Ringkasan (identitas BMN, spesifikasi, status &amp; Asset Health Index).</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aset — tab Lokasi &amp; Custodian.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aset — tab Riwayat (linimasa maintenance dan inspeksi).</w:t>
      </w:r>
    </w:p>
    <w:p>
      <w:pPr>
        <w:pStyle w:val="Heading2"/>
        <w:pageBreakBefore/>
        <w:spacing w:after="120" w:before="0"/>
      </w:pPr>
      <w:r>
        <w:rPr>
          <w:color w:val="0B1F3A"/>
        </w:rPr>
        <w:t xml:space="preserve">6.3  Asset Lifecycle</w:t>
      </w:r>
    </w:p>
    <w:p>
      <w:pPr>
        <w:spacing w:after="140"/>
      </w:pPr>
      <w:r>
        <w:rPr>
          <w:b w:val="false"/>
          <w:bCs w:val="false"/>
          <w:i/>
          <w:iCs/>
          <w:sz w:val="21"/>
          <w:szCs w:val="21"/>
        </w:rPr>
        <w:t xml:space="preserve">Mengelola perjalanan aset dari perencanaan hingga disposal.</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Planning, requirement dan penyusunan business case.</w:t>
      </w:r>
    </w:p>
    <w:p>
      <w:pPr>
        <w:pStyle w:val="ListParagraph"/>
        <w:numPr>
          <w:ilvl w:val="0"/>
          <w:numId w:val="1"/>
        </w:numPr>
        <w:spacing w:after="60"/>
      </w:pPr>
      <w:r>
        <w:rPr>
          <w:sz w:val="21"/>
          <w:szCs w:val="21"/>
        </w:rPr>
        <w:t xml:space="preserve">Acquisition, receiving dan verification saat aset diterima.</w:t>
      </w:r>
    </w:p>
    <w:p>
      <w:pPr>
        <w:pStyle w:val="ListParagraph"/>
        <w:numPr>
          <w:ilvl w:val="0"/>
          <w:numId w:val="1"/>
        </w:numPr>
        <w:spacing w:after="60"/>
      </w:pPr>
      <w:r>
        <w:rPr>
          <w:sz w:val="21"/>
          <w:szCs w:val="21"/>
        </w:rPr>
        <w:t xml:space="preserve">Assignment, operasi, inspeksi dan maintenance selama masa pakai.</w:t>
      </w:r>
    </w:p>
    <w:p>
      <w:pPr>
        <w:pStyle w:val="ListParagraph"/>
        <w:numPr>
          <w:ilvl w:val="0"/>
          <w:numId w:val="1"/>
        </w:numPr>
        <w:spacing w:after="60"/>
      </w:pPr>
      <w:r>
        <w:rPr>
          <w:sz w:val="21"/>
          <w:szCs w:val="21"/>
        </w:rPr>
        <w:t xml:space="preserve">Renewal/replacement hingga disposal di akhir siklus hidup.</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Planning   →   Acquisition   →   Assignment   →   Operation   →   Maintenance   →   Renewal/Replacement   →   Disposal</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Halaman ini menyajikan status lifecycle seluruh aset (In Use, Reserved, Under Maintenance, In Storage, Disposed) sebagai bar proporsi, serta tabel riwayat event lifecycle terbaru yang menggabungkan data Mutasi, JML dan Disposal lintas modul.</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Riwayat lifecycle aset</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410200"/>
                          </a:xfrm>
                          <a:prstGeom prst="rect">
                            <a:avLst/>
                          </a:prstGeom>
                        </pic:spPr>
                      </pic:pic>
                    </a:graphicData>
                  </a:graphic>
                </wp:inline>
              </w:drawing>
            </w:r>
          </w:p>
        </w:tc>
      </w:tr>
    </w:tbl>
    <w:p>
      <w:pPr>
        <w:spacing w:after="200" w:before="80"/>
        <w:jc w:val="center"/>
      </w:pPr>
      <w:r>
        <w:rPr>
          <w:i/>
          <w:iCs/>
          <w:color w:val="64748B"/>
          <w:sz w:val="18"/>
          <w:szCs w:val="18"/>
        </w:rPr>
        <w:t xml:space="preserve">Halaman Asset Lifecycle — distribusi status dan riwayat event lifecycle terbaru.</w:t>
      </w:r>
    </w:p>
    <w:p>
      <w:pPr>
        <w:pStyle w:val="Heading2"/>
        <w:pageBreakBefore/>
        <w:spacing w:after="120" w:before="0"/>
      </w:pPr>
      <w:r>
        <w:rPr>
          <w:color w:val="0B1F3A"/>
        </w:rPr>
        <w:t xml:space="preserve">6.4  QR/Barcode &amp; Asset Tag</w:t>
      </w:r>
    </w:p>
    <w:p>
      <w:pPr>
        <w:spacing w:after="140"/>
      </w:pPr>
      <w:r>
        <w:rPr>
          <w:b w:val="false"/>
          <w:bCs w:val="false"/>
          <w:i/>
          <w:iCs/>
          <w:sz w:val="21"/>
          <w:szCs w:val="21"/>
        </w:rPr>
        <w:t xml:space="preserve">Identitas fisik aset di lapangan.</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Generate tag secara satuan maupun batch dengan template label.</w:t>
      </w:r>
    </w:p>
    <w:p>
      <w:pPr>
        <w:pStyle w:val="ListParagraph"/>
        <w:numPr>
          <w:ilvl w:val="0"/>
          <w:numId w:val="1"/>
        </w:numPr>
        <w:spacing w:after="60"/>
      </w:pPr>
      <w:r>
        <w:rPr>
          <w:sz w:val="21"/>
          <w:szCs w:val="21"/>
        </w:rPr>
        <w:t xml:space="preserve">Payload QR memetakan tag ke record internal (Asset ID/BMN UID).</w:t>
      </w:r>
    </w:p>
    <w:p>
      <w:pPr>
        <w:pStyle w:val="ListParagraph"/>
        <w:numPr>
          <w:ilvl w:val="0"/>
          <w:numId w:val="1"/>
        </w:numPr>
        <w:spacing w:after="60"/>
      </w:pPr>
      <w:r>
        <w:rPr>
          <w:sz w:val="21"/>
          <w:szCs w:val="21"/>
        </w:rPr>
        <w:t xml:space="preserve">Label memuat logo, NUP dan nama barang tanpa mencantumkan informasi sensitif.</w:t>
      </w:r>
    </w:p>
    <w:p>
      <w:pPr>
        <w:pStyle w:val="ListParagraph"/>
        <w:numPr>
          <w:ilvl w:val="0"/>
          <w:numId w:val="1"/>
        </w:numPr>
        <w:spacing w:after="60"/>
      </w:pPr>
      <w:r>
        <w:rPr>
          <w:sz w:val="21"/>
          <w:szCs w:val="21"/>
        </w:rPr>
        <w:t xml:space="preserve">Pilihan material label: standard, durable, tamper-evident, atau tahan cuaca/panas.</w:t>
      </w:r>
    </w:p>
    <w:p>
      <w:pPr>
        <w:pStyle w:val="ListParagraph"/>
        <w:numPr>
          <w:ilvl w:val="0"/>
          <w:numId w:val="1"/>
        </w:numPr>
        <w:spacing w:after="60"/>
      </w:pPr>
      <w:r>
        <w:rPr>
          <w:sz w:val="21"/>
          <w:szCs w:val="21"/>
        </w:rPr>
        <w:t xml:space="preserve">Pencatatan status tag: terpasang, cetak ulang, rusak, atau belum dicetak.</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Generate tag (satuan/batch)   →   Cetak label   →   Tempelkan pada aset   →   Verifikasi via scan   →   Cetak ulang/penggantian bila rusak</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register tag menampilkan KPI jumlah tag diterbitkan, terpasang, perlu cetak ulang dan belum dicetak, dengan filter material dan status.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BMN Officer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Register tag dan log cetak</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QR/Barcode &amp; Asset Tag — register tag dan status pencetakan.</w:t>
      </w:r>
    </w:p>
    <w:p>
      <w:pPr>
        <w:pStyle w:val="Heading2"/>
        <w:pageBreakBefore/>
        <w:spacing w:after="120" w:before="0"/>
      </w:pPr>
      <w:r>
        <w:rPr>
          <w:color w:val="0B1F3A"/>
        </w:rPr>
        <w:t xml:space="preserve">6.5  Sensus &amp; Inventarisasi</w:t>
      </w:r>
    </w:p>
    <w:p>
      <w:pPr>
        <w:spacing w:after="140"/>
      </w:pPr>
      <w:r>
        <w:rPr>
          <w:b w:val="false"/>
          <w:bCs w:val="false"/>
          <w:i/>
          <w:iCs/>
          <w:sz w:val="21"/>
          <w:szCs w:val="21"/>
        </w:rPr>
        <w:t xml:space="preserve">Pemeriksaan fisik digital berbasis mobile.</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Penyusunan rencana sensus per area dan penugasan petugas.</w:t>
      </w:r>
    </w:p>
    <w:p>
      <w:pPr>
        <w:pStyle w:val="ListParagraph"/>
        <w:numPr>
          <w:ilvl w:val="0"/>
          <w:numId w:val="1"/>
        </w:numPr>
        <w:spacing w:after="60"/>
      </w:pPr>
      <w:r>
        <w:rPr>
          <w:sz w:val="21"/>
          <w:szCs w:val="21"/>
        </w:rPr>
        <w:t xml:space="preserve">Pencatatan hasil scan: serial, lokasi, foto, waktu dan kondisi.</w:t>
      </w:r>
    </w:p>
    <w:p>
      <w:pPr>
        <w:pStyle w:val="ListParagraph"/>
        <w:numPr>
          <w:ilvl w:val="0"/>
          <w:numId w:val="1"/>
        </w:numPr>
        <w:spacing w:after="60"/>
      </w:pPr>
      <w:r>
        <w:rPr>
          <w:sz w:val="21"/>
          <w:szCs w:val="21"/>
        </w:rPr>
        <w:t xml:space="preserve">Mode offline-first dengan sinkronisasi saat kembali daring.</w:t>
      </w:r>
    </w:p>
    <w:p>
      <w:pPr>
        <w:pStyle w:val="ListParagraph"/>
        <w:numPr>
          <w:ilvl w:val="0"/>
          <w:numId w:val="1"/>
        </w:numPr>
        <w:spacing w:after="60"/>
      </w:pPr>
      <w:r>
        <w:rPr>
          <w:sz w:val="21"/>
          <w:szCs w:val="21"/>
        </w:rPr>
        <w:t xml:space="preserve">Deteksi anomali: not found, moved, untagged, duplicate, mismatch, unassigned, damaged.</w:t>
      </w:r>
    </w:p>
    <w:p>
      <w:pPr>
        <w:pStyle w:val="ListParagraph"/>
        <w:numPr>
          <w:ilvl w:val="0"/>
          <w:numId w:val="1"/>
        </w:numPr>
        <w:spacing w:after="60"/>
      </w:pPr>
      <w:r>
        <w:rPr>
          <w:sz w:val="21"/>
          <w:szCs w:val="21"/>
        </w:rPr>
        <w:t xml:space="preserve">Recheck dan verifikasi supervisor sebelum penerbitan berita acara.</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Plan   →   Assign   →   Scan   →   Match   →   Verify   →   Condition   →   Evidence   →   Exception   →   Close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Halaman menampilkan KPI (rencana sensus, total aset discan, completion rate, anomali ditemukan), tabel Rencana Sensus dengan progress bar, serta panel Antrian Anomali yang merangkum seluruh temuan lintas sensus untuk investigasi. Klik satu rencana sensus membuka drawer berisi hasil scan lengkap.</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Inspector / BMN Officer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sensus dan anomali</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728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7286625"/>
                          </a:xfrm>
                          <a:prstGeom prst="rect">
                            <a:avLst/>
                          </a:prstGeom>
                        </pic:spPr>
                      </pic:pic>
                    </a:graphicData>
                  </a:graphic>
                </wp:inline>
              </w:drawing>
            </w:r>
          </w:p>
        </w:tc>
      </w:tr>
    </w:tbl>
    <w:p>
      <w:pPr>
        <w:spacing w:after="200" w:before="80"/>
        <w:jc w:val="center"/>
      </w:pPr>
      <w:r>
        <w:rPr>
          <w:i/>
          <w:iCs/>
          <w:color w:val="64748B"/>
          <w:sz w:val="18"/>
          <w:szCs w:val="18"/>
        </w:rPr>
        <w:t xml:space="preserve">Halaman Sensus &amp; Inventarisasi — rencana sensus dan antrian anomali.</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rencana sensus — ringkasan dan hasil scan per aset.</w:t>
      </w:r>
    </w:p>
    <w:p>
      <w:pPr>
        <w:pStyle w:val="Heading2"/>
        <w:pageBreakBefore/>
        <w:spacing w:after="120" w:before="0"/>
      </w:pPr>
      <w:r>
        <w:rPr>
          <w:color w:val="0B1F3A"/>
        </w:rPr>
        <w:t xml:space="preserve">6.6  Mutasi / IMACD</w:t>
      </w:r>
    </w:p>
    <w:p>
      <w:pPr>
        <w:spacing w:after="140"/>
      </w:pPr>
      <w:r>
        <w:rPr>
          <w:b w:val="false"/>
          <w:bCs w:val="false"/>
          <w:i/>
          <w:iCs/>
          <w:sz w:val="21"/>
          <w:szCs w:val="21"/>
        </w:rPr>
        <w:t xml:space="preserve">Kontrol Install, Move, Add, Change dan disposal-related change.</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Permintaan perubahan lengkap dengan alasan, lokasi dan custodian lama/baru.</w:t>
      </w:r>
    </w:p>
    <w:p>
      <w:pPr>
        <w:pStyle w:val="ListParagraph"/>
        <w:numPr>
          <w:ilvl w:val="0"/>
          <w:numId w:val="1"/>
        </w:numPr>
        <w:spacing w:after="60"/>
      </w:pPr>
      <w:r>
        <w:rPr>
          <w:sz w:val="21"/>
          <w:szCs w:val="21"/>
        </w:rPr>
        <w:t xml:space="preserve">Approval matrix sebelum perubahan dieksekusi.</w:t>
      </w:r>
    </w:p>
    <w:p>
      <w:pPr>
        <w:pStyle w:val="ListParagraph"/>
        <w:numPr>
          <w:ilvl w:val="0"/>
          <w:numId w:val="1"/>
        </w:numPr>
        <w:spacing w:after="60"/>
      </w:pPr>
      <w:r>
        <w:rPr>
          <w:sz w:val="21"/>
          <w:szCs w:val="21"/>
        </w:rPr>
        <w:t xml:space="preserve">Perpindahan fisik disertai scan/evidence sebagai bukti.</w:t>
      </w:r>
    </w:p>
    <w:p>
      <w:pPr>
        <w:pStyle w:val="ListParagraph"/>
        <w:numPr>
          <w:ilvl w:val="0"/>
          <w:numId w:val="1"/>
        </w:numPr>
        <w:spacing w:after="60"/>
      </w:pPr>
      <w:r>
        <w:rPr>
          <w:sz w:val="21"/>
          <w:szCs w:val="21"/>
        </w:rPr>
        <w:t xml:space="preserve">Histori mutasi tidak pernah dihapus — menjadi jejak audit.</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Request   →   Verify   →   Approve   →   Move   →   Scan   →   Update   →   Evidence   →   Close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permintaan mutasi menampilkan KPI total permintaan, menunggu persetujuan, selesai dan ditolak, dengan filter jenis perubahan dan status.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Requestor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Riwayat mutasi (movement history)</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Mutasi/IMACD — daftar permintaan perubahan dan status persetujuan.</w:t>
      </w:r>
    </w:p>
    <w:p>
      <w:pPr>
        <w:pStyle w:val="Heading2"/>
        <w:pageBreakBefore/>
        <w:spacing w:after="120" w:before="0"/>
      </w:pPr>
      <w:r>
        <w:rPr>
          <w:color w:val="0B1F3A"/>
        </w:rPr>
        <w:t xml:space="preserve">6.7  Custodian Management</w:t>
      </w:r>
    </w:p>
    <w:p>
      <w:pPr>
        <w:spacing w:after="140"/>
      </w:pPr>
      <w:r>
        <w:rPr>
          <w:b w:val="false"/>
          <w:bCs w:val="false"/>
          <w:i/>
          <w:iCs/>
          <w:sz w:val="21"/>
          <w:szCs w:val="21"/>
        </w:rPr>
        <w:t xml:space="preserve">Akuntabilitas aset pada penanggung jawabnya.</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Assignment aset ke custodian beserta acknowledgement, handover dan return.</w:t>
      </w:r>
    </w:p>
    <w:p>
      <w:pPr>
        <w:pStyle w:val="ListParagraph"/>
        <w:numPr>
          <w:ilvl w:val="0"/>
          <w:numId w:val="1"/>
        </w:numPr>
        <w:spacing w:after="60"/>
      </w:pPr>
      <w:r>
        <w:rPr>
          <w:sz w:val="21"/>
          <w:szCs w:val="21"/>
        </w:rPr>
        <w:t xml:space="preserve">Portofolio aset per custodian (jumlah aset yang menjadi tanggung jawabnya).</w:t>
      </w:r>
    </w:p>
    <w:p>
      <w:pPr>
        <w:pStyle w:val="ListParagraph"/>
        <w:numPr>
          <w:ilvl w:val="0"/>
          <w:numId w:val="1"/>
        </w:numPr>
        <w:spacing w:after="60"/>
      </w:pPr>
      <w:r>
        <w:rPr>
          <w:sz w:val="21"/>
          <w:szCs w:val="21"/>
        </w:rPr>
        <w:t xml:space="preserve">Notifikasi/alert untuk custodian tidak aktif atau keterlambatan pengembalian aset.</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Assignment   →   Acknowledgement   →   Handover   →   Return / Alert bila overdue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custodian menampilkan KPI total custodian, custodian aktif, rata-rata aset per custodian dan jumlah unit kerja terdaftar, lengkap dengan jumlah aset yang menjadi tanggung jawab masing-masing.</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Asset Officer / Custodian</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Berita acara serah terima custodian</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Custodian Management — daftar penanggung jawab aset dan portofolionya.</w:t>
      </w:r>
    </w:p>
    <w:p>
      <w:pPr>
        <w:pStyle w:val="Heading2"/>
        <w:pageBreakBefore/>
        <w:spacing w:after="120" w:before="0"/>
      </w:pPr>
      <w:r>
        <w:rPr>
          <w:color w:val="0B1F3A"/>
        </w:rPr>
        <w:t xml:space="preserve">6.8  JML Lifecycle</w:t>
      </w:r>
    </w:p>
    <w:p>
      <w:pPr>
        <w:spacing w:after="140"/>
      </w:pPr>
      <w:r>
        <w:rPr>
          <w:b w:val="false"/>
          <w:bCs w:val="false"/>
          <w:i/>
          <w:iCs/>
          <w:sz w:val="21"/>
          <w:szCs w:val="21"/>
        </w:rPr>
        <w:t xml:space="preserve">Joiner–Mover–Leaver: siklus personel terhadap aset yang digunakan.</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Joiner: alokasi aset, handover dan acknowledgement saat personel baru bergabung.</w:t>
      </w:r>
    </w:p>
    <w:p>
      <w:pPr>
        <w:pStyle w:val="ListParagraph"/>
        <w:numPr>
          <w:ilvl w:val="0"/>
          <w:numId w:val="1"/>
        </w:numPr>
        <w:spacing w:after="60"/>
      </w:pPr>
      <w:r>
        <w:rPr>
          <w:sz w:val="21"/>
          <w:szCs w:val="21"/>
        </w:rPr>
        <w:t xml:space="preserve">Mover: verifikasi dan transfer aset saat personel berpindah unit/lokasi.</w:t>
      </w:r>
    </w:p>
    <w:p>
      <w:pPr>
        <w:pStyle w:val="ListParagraph"/>
        <w:numPr>
          <w:ilvl w:val="0"/>
          <w:numId w:val="1"/>
        </w:numPr>
        <w:spacing w:after="60"/>
      </w:pPr>
      <w:r>
        <w:rPr>
          <w:sz w:val="21"/>
          <w:szCs w:val="21"/>
        </w:rPr>
        <w:t xml:space="preserve">Leaver: pengembalian aset, pengecekan kondisi, sanitisasi bila diperlukan, dan clearance.</w:t>
      </w:r>
    </w:p>
    <w:p>
      <w:pPr>
        <w:pStyle w:val="ListParagraph"/>
        <w:numPr>
          <w:ilvl w:val="0"/>
          <w:numId w:val="1"/>
        </w:numPr>
        <w:spacing w:after="60"/>
      </w:pPr>
      <w:r>
        <w:rPr>
          <w:sz w:val="21"/>
          <w:szCs w:val="21"/>
        </w:rPr>
        <w:t xml:space="preserve">Proses batch untuk momentum kenaikan tingkat taruna atau kelulusan.</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Joiner: Allocation → Handover → Acknowledgement   →   Mover: Verify → Transfer → Acknowledgement   →   Leaver: Return → Condition Check → Sanitization (bila perlu) → Clearance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event JML menampilkan KPI total event, jumlah Joiner, Leaver dan yang masih menunggu proses, dengan badge warna berbeda per jenis event (Joiner/Mover/Leaver).</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HR / Asset Officer / Custodian</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Dokumen clearance</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JML Lifecycle — event Joiner, Mover dan Leaver terhadap aset.</w:t>
      </w:r>
    </w:p>
    <w:p>
      <w:pPr>
        <w:pStyle w:val="Heading2"/>
        <w:pageBreakBefore/>
        <w:spacing w:after="120" w:before="0"/>
      </w:pPr>
      <w:r>
        <w:rPr>
          <w:color w:val="0B1F3A"/>
        </w:rPr>
        <w:t xml:space="preserve">6.9  Maintenance &amp; Work Order</w:t>
      </w:r>
    </w:p>
    <w:p>
      <w:pPr>
        <w:spacing w:after="140"/>
      </w:pPr>
      <w:r>
        <w:rPr>
          <w:b w:val="false"/>
          <w:bCs w:val="false"/>
          <w:i/>
          <w:iCs/>
          <w:sz w:val="21"/>
          <w:szCs w:val="21"/>
        </w:rPr>
        <w:t xml:space="preserve">Preventive dan corrective maintenance.</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Penjadwalan preventive maintenance berbasis waktu, meter, jam operasi, kilometer, cycle, atau kondisi.</w:t>
      </w:r>
    </w:p>
    <w:p>
      <w:pPr>
        <w:pStyle w:val="ListParagraph"/>
        <w:numPr>
          <w:ilvl w:val="0"/>
          <w:numId w:val="1"/>
        </w:numPr>
        <w:spacing w:after="60"/>
      </w:pPr>
      <w:r>
        <w:rPr>
          <w:sz w:val="21"/>
          <w:szCs w:val="21"/>
        </w:rPr>
        <w:t xml:space="preserve">Work Order mencatat problem, prioritas, teknisi, suku cadang, biaya tenaga kerja dan downtime.</w:t>
      </w:r>
    </w:p>
    <w:p>
      <w:pPr>
        <w:pStyle w:val="ListParagraph"/>
        <w:numPr>
          <w:ilvl w:val="0"/>
          <w:numId w:val="1"/>
        </w:numPr>
        <w:spacing w:after="60"/>
      </w:pPr>
      <w:r>
        <w:rPr>
          <w:sz w:val="21"/>
          <w:szCs w:val="21"/>
        </w:rPr>
        <w:t xml:space="preserve">Keterlibatan vendor eksternal, SLA, serta penandaan status overdue.</w:t>
      </w:r>
    </w:p>
    <w:p>
      <w:pPr>
        <w:pStyle w:val="ListParagraph"/>
        <w:numPr>
          <w:ilvl w:val="0"/>
          <w:numId w:val="1"/>
        </w:numPr>
        <w:spacing w:after="60"/>
      </w:pPr>
      <w:r>
        <w:rPr>
          <w:sz w:val="21"/>
          <w:szCs w:val="21"/>
        </w:rPr>
        <w:t xml:space="preserve">Riwayat maintenance menjadi input bagi perhitungan Asset Health dan keputusan lifecycle.</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Preventive: Plan → Schedule → WO → Execute → Test → Verify → Close → KPI   →   Corrective: Damage Report → Triage → WO → Repair → Test → Verify → Close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Work Order menampilkan KPI total WO, PM Compliance (%), jumlah overdue dan total biaya tahun berjalan, dengan filter tipe (Preventive/Corrective), status dan prioritas.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Maintenance</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Work Order / PM</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Maintenance &amp; Work Order — daftar WO, biaya dan status penyelesaian.</w:t>
      </w:r>
    </w:p>
    <w:p>
      <w:pPr>
        <w:pStyle w:val="Heading2"/>
        <w:pageBreakBefore/>
        <w:spacing w:after="120" w:before="0"/>
      </w:pPr>
      <w:r>
        <w:rPr>
          <w:color w:val="0B1F3A"/>
        </w:rPr>
        <w:t xml:space="preserve">6.10  Inspection &amp; Condition</w:t>
      </w:r>
    </w:p>
    <w:p>
      <w:pPr>
        <w:spacing w:after="140"/>
      </w:pPr>
      <w:r>
        <w:rPr>
          <w:b w:val="false"/>
          <w:bCs w:val="false"/>
          <w:i/>
          <w:iCs/>
          <w:sz w:val="21"/>
          <w:szCs w:val="21"/>
        </w:rPr>
        <w:t xml:space="preserve">Penilaian kondisi aset dan kalibrasi.</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Checklist inspeksi per kategori aset.</w:t>
      </w:r>
    </w:p>
    <w:p>
      <w:pPr>
        <w:pStyle w:val="ListParagraph"/>
        <w:numPr>
          <w:ilvl w:val="0"/>
          <w:numId w:val="1"/>
        </w:numPr>
        <w:spacing w:after="60"/>
      </w:pPr>
      <w:r>
        <w:rPr>
          <w:sz w:val="21"/>
          <w:szCs w:val="21"/>
        </w:rPr>
        <w:t xml:space="preserve">Penilaian skor 1–5 pada enam parameter: kondisi fisik, performa, reliabilitas, keselamatan, maintenance dan dokumentasi.</w:t>
      </w:r>
    </w:p>
    <w:p>
      <w:pPr>
        <w:pStyle w:val="ListParagraph"/>
        <w:numPr>
          <w:ilvl w:val="0"/>
          <w:numId w:val="1"/>
        </w:numPr>
        <w:spacing w:after="60"/>
      </w:pPr>
      <w:r>
        <w:rPr>
          <w:sz w:val="21"/>
          <w:szCs w:val="21"/>
        </w:rPr>
        <w:t xml:space="preserve">Pencatatan temuan (finding), rekomendasi tindak lanjut dan evidence pendukung.</w:t>
      </w:r>
    </w:p>
    <w:p>
      <w:pPr>
        <w:pStyle w:val="ListParagraph"/>
        <w:numPr>
          <w:ilvl w:val="0"/>
          <w:numId w:val="1"/>
        </w:numPr>
        <w:spacing w:after="60"/>
      </w:pPr>
      <w:r>
        <w:rPr>
          <w:sz w:val="21"/>
          <w:szCs w:val="21"/>
        </w:rPr>
        <w:t xml:space="preserve">Jadwal dan sertifikat kalibrasi untuk peralatan laboratorium.</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Pilih aset &amp; checklist   →   Lakukan penilaian per parameter (skor 1–5)   →   Catat temuan &amp; evidence   →   Terbitkan rekomendasi   →   Tindak lanjut (lanjut operasi / maintenance / replacement)</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inspeksi menampilkan KPI total inspeksi, rata-rata skor fisik, jumlah yang perlu perbaikan segera dan rekomendasi replacement. Drawer detail memvisualisasikan keenam skor sebagai indikator titik (score dots) 1–5 yang mudah dibaca.</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Inspector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kondisi / kalibrasi</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Inspection &amp; Condition — daftar hasil inspeksi.</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inspeksi — visualisasi skor enam parameter penilaian.</w:t>
      </w:r>
    </w:p>
    <w:p>
      <w:pPr>
        <w:pStyle w:val="Heading2"/>
        <w:pageBreakBefore/>
        <w:spacing w:after="120" w:before="0"/>
      </w:pPr>
      <w:r>
        <w:rPr>
          <w:color w:val="0B1F3A"/>
        </w:rPr>
        <w:t xml:space="preserve">6.11  Risk &amp; Criticality</w:t>
      </w:r>
    </w:p>
    <w:p>
      <w:pPr>
        <w:spacing w:after="140"/>
      </w:pPr>
      <w:r>
        <w:rPr>
          <w:b w:val="false"/>
          <w:bCs w:val="false"/>
          <w:i/>
          <w:iCs/>
          <w:sz w:val="21"/>
          <w:szCs w:val="21"/>
        </w:rPr>
        <w:t xml:space="preserve">Risiko dan dampak kegagalan aset.</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Pencatatan risk event, penyebab, konsekuensi dan kontrol yang telah diterapkan.</w:t>
      </w:r>
    </w:p>
    <w:p>
      <w:pPr>
        <w:pStyle w:val="ListParagraph"/>
        <w:numPr>
          <w:ilvl w:val="0"/>
          <w:numId w:val="1"/>
        </w:numPr>
        <w:spacing w:after="60"/>
      </w:pPr>
      <w:r>
        <w:rPr>
          <w:sz w:val="21"/>
          <w:szCs w:val="21"/>
        </w:rPr>
        <w:t xml:space="preserve">Skoring risiko dari perkalian likelihood × consequence dengan ambang batas yang dapat dikonfigurasi.</w:t>
      </w:r>
    </w:p>
    <w:p>
      <w:pPr>
        <w:pStyle w:val="ListParagraph"/>
        <w:numPr>
          <w:ilvl w:val="0"/>
          <w:numId w:val="1"/>
        </w:numPr>
        <w:spacing w:after="60"/>
      </w:pPr>
      <w:r>
        <w:rPr>
          <w:sz w:val="21"/>
          <w:szCs w:val="21"/>
        </w:rPr>
        <w:t xml:space="preserve">Penilaian criticality dari sisi safety, operasional, finansial, layanan dan kepatuhan.</w:t>
      </w:r>
    </w:p>
    <w:p>
      <w:pPr>
        <w:pStyle w:val="ListParagraph"/>
        <w:numPr>
          <w:ilvl w:val="0"/>
          <w:numId w:val="1"/>
        </w:numPr>
        <w:spacing w:after="60"/>
      </w:pPr>
      <w:r>
        <w:rPr>
          <w:sz w:val="21"/>
          <w:szCs w:val="21"/>
        </w:rPr>
        <w:t xml:space="preserve">Pencatatan tindakan mitigasi (treatment) dan residual risk setelah kontrol diterapkan.</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Identifikasi risk event   →   Skoring Likelihood × Consequence   →   Penentuan level risiko &amp; criticality   →   Tetapkan kontrol/treatment   →   Catat residual risk   →   Review berkala oleh risk owner</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risk register menampilkan KPI total risiko, risiko Critical, risiko High dan risiko dengan residual rendah. Drawer detail menampilkan matriks Likelihood × Consequence = Skor secara visual.</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Risk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Risk register</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Risk &amp; Criticality — risk register dengan level dan residual risk.</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risiko — matriks Likelihood × Consequence.</w:t>
      </w:r>
    </w:p>
    <w:p>
      <w:pPr>
        <w:pStyle w:val="Heading2"/>
        <w:pageBreakBefore/>
        <w:spacing w:after="120" w:before="0"/>
      </w:pPr>
      <w:r>
        <w:rPr>
          <w:color w:val="0B1F3A"/>
        </w:rPr>
        <w:t xml:space="preserve">6.12  Performance &amp; Asset Health</w:t>
      </w:r>
    </w:p>
    <w:p>
      <w:pPr>
        <w:spacing w:after="140"/>
      </w:pPr>
      <w:r>
        <w:rPr>
          <w:b w:val="false"/>
          <w:bCs w:val="false"/>
          <w:i/>
          <w:iCs/>
          <w:sz w:val="21"/>
          <w:szCs w:val="21"/>
        </w:rPr>
        <w:t xml:space="preserve">Kinerja dan kesehatan aset.</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Pengukuran availability, MTBF (Mean Time Between Failures) dan MTTR (Mean Time To Repair).</w:t>
      </w:r>
    </w:p>
    <w:p>
      <w:pPr>
        <w:pStyle w:val="ListParagraph"/>
        <w:numPr>
          <w:ilvl w:val="0"/>
          <w:numId w:val="1"/>
        </w:numPr>
        <w:spacing w:after="60"/>
      </w:pPr>
      <w:r>
        <w:rPr>
          <w:sz w:val="21"/>
          <w:szCs w:val="21"/>
        </w:rPr>
        <w:t xml:space="preserve">Perhitungan Asset Health Index (AHI) berdasarkan faktor yang ditetapkan organisasi: condition, age, performance, risk, maintenance dan criticality.</w:t>
      </w:r>
    </w:p>
    <w:p>
      <w:pPr>
        <w:pStyle w:val="ListParagraph"/>
        <w:numPr>
          <w:ilvl w:val="0"/>
          <w:numId w:val="1"/>
        </w:numPr>
        <w:spacing w:after="60"/>
      </w:pPr>
      <w:r>
        <w:rPr>
          <w:sz w:val="21"/>
          <w:szCs w:val="21"/>
        </w:rPr>
        <w:t xml:space="preserve">Perbandingan target vs aktual serta tren dari waktu ke waktu.</w:t>
      </w:r>
    </w:p>
    <w:p>
      <w:pPr>
        <w:pStyle w:val="ListParagraph"/>
        <w:numPr>
          <w:ilvl w:val="0"/>
          <w:numId w:val="1"/>
        </w:numPr>
        <w:spacing w:after="60"/>
      </w:pPr>
      <w:r>
        <w:rPr>
          <w:sz w:val="21"/>
          <w:szCs w:val="21"/>
        </w:rPr>
        <w:t xml:space="preserve">Rekomendasi keputusan lifecycle: KEEP, MAINTAIN, REFURBISH, REPLACE atau DISPOSE.</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Kumpulkan data availability, MTBF, MTTR, utilization   →   Hitung AHI dari bobot multi-faktor   →   Bandingkan target vs aktual   →   Terbitkan rekomendasi keputusan lifecycle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menampilkan KPI rata-rata AHI seluruh sampel aset, jumlah rekomendasi REPLACE, DISPOSE, serta KEEP/MAINTAIN. Drawer detail memvisualisasikan Availability, Utilization dan AHI sebagai progress bar berwarna dengan badge rekomendasi keputusan.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Asset Manager / Management</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KPI / AHI</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Performance &amp; Asset Health — daftar KPI dan rekomendasi lifecycle.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performa aset — indikator Availability, Utilization dan Asset Health Index.</w:t>
      </w:r>
    </w:p>
    <w:p>
      <w:pPr>
        <w:pStyle w:val="Heading2"/>
        <w:pageBreakBefore/>
        <w:spacing w:after="120" w:before="0"/>
      </w:pPr>
      <w:r>
        <w:rPr>
          <w:color w:val="0B1F3A"/>
        </w:rPr>
        <w:t xml:space="preserve">6.13  Financial &amp; Lifecycle Cost</w:t>
      </w:r>
    </w:p>
    <w:p>
      <w:pPr>
        <w:spacing w:after="140"/>
      </w:pPr>
      <w:r>
        <w:rPr>
          <w:b w:val="false"/>
          <w:bCs w:val="false"/>
          <w:i/>
          <w:iCs/>
          <w:sz w:val="21"/>
          <w:szCs w:val="21"/>
        </w:rPr>
        <w:t xml:space="preserve">Biaya lifecycle tanpa menggantikan Book of Record finansial resmi.</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Pencatatan biaya per tahap: acquisition, installation, operation, maintenance, upgrade dan disposal.</w:t>
      </w:r>
    </w:p>
    <w:p>
      <w:pPr>
        <w:pStyle w:val="ListParagraph"/>
        <w:numPr>
          <w:ilvl w:val="0"/>
          <w:numId w:val="1"/>
        </w:numPr>
        <w:spacing w:after="60"/>
      </w:pPr>
      <w:r>
        <w:rPr>
          <w:sz w:val="21"/>
          <w:szCs w:val="21"/>
        </w:rPr>
        <w:t xml:space="preserve">Agregasi Total Cost of Ownership (TCO) dan Life Cycle Cost (LCC).</w:t>
      </w:r>
    </w:p>
    <w:p>
      <w:pPr>
        <w:pStyle w:val="ListParagraph"/>
        <w:numPr>
          <w:ilvl w:val="0"/>
          <w:numId w:val="1"/>
        </w:numPr>
        <w:spacing w:after="60"/>
      </w:pPr>
      <w:r>
        <w:rPr>
          <w:sz w:val="21"/>
          <w:szCs w:val="21"/>
        </w:rPr>
        <w:t xml:space="preserve">Analisis biaya per aset, per kategori maupun per unit kerja.</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Catat transaksi biaya per tahap lifecycle   →   Agregasi otomatis ke TCO/LCC per aset   →   Rekap biaya per kategori/unit/periode   →   Sajikan pada laporan keuangan aset</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biaya menampilkan KPI total biaya lifecycle, biaya maintenance, biaya acquisition dan jumlah transaksi, dengan filter jenis biaya dan periode.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Finance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biaya</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Financial &amp; Lifecycle Cost — rekap TCO/LCC per aset.</w:t>
      </w:r>
    </w:p>
    <w:p>
      <w:pPr>
        <w:pStyle w:val="Heading2"/>
        <w:pageBreakBefore/>
        <w:spacing w:after="120" w:before="0"/>
      </w:pPr>
      <w:r>
        <w:rPr>
          <w:color w:val="0B1F3A"/>
        </w:rPr>
        <w:t xml:space="preserve">6.14  SAKTI/SIMAN Reconciliation</w:t>
      </w:r>
    </w:p>
    <w:p>
      <w:pPr>
        <w:spacing w:after="140"/>
      </w:pPr>
      <w:r>
        <w:rPr>
          <w:b w:val="false"/>
          <w:bCs w:val="false"/>
          <w:i/>
          <w:iCs/>
          <w:sz w:val="21"/>
          <w:szCs w:val="21"/>
        </w:rPr>
        <w:t xml:space="preserve">Mencocokkan sumber resmi (SAKTI/SIMAN) dengan data operasional SIMASET.</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Import data dari file CSV/Excel hasil ekspor SAKTI/SIMAN beserta mapping kolom dan validasi.</w:t>
      </w:r>
    </w:p>
    <w:p>
      <w:pPr>
        <w:pStyle w:val="ListParagraph"/>
        <w:numPr>
          <w:ilvl w:val="0"/>
          <w:numId w:val="1"/>
        </w:numPr>
        <w:spacing w:after="60"/>
      </w:pPr>
      <w:r>
        <w:rPr>
          <w:sz w:val="21"/>
          <w:szCs w:val="21"/>
        </w:rPr>
        <w:t xml:space="preserve">Pencocokan exact-match berdasarkan kombinasi Kode Satker + Kode Barang + NUP.</w:t>
      </w:r>
    </w:p>
    <w:p>
      <w:pPr>
        <w:pStyle w:val="ListParagraph"/>
        <w:numPr>
          <w:ilvl w:val="0"/>
          <w:numId w:val="1"/>
        </w:numPr>
        <w:spacing w:after="60"/>
      </w:pPr>
      <w:r>
        <w:rPr>
          <w:sz w:val="21"/>
          <w:szCs w:val="21"/>
        </w:rPr>
        <w:t xml:space="preserve">Pembandingan atribut: serial, lokasi, custodian dan kondisi.</w:t>
      </w:r>
    </w:p>
    <w:p>
      <w:pPr>
        <w:pStyle w:val="ListParagraph"/>
        <w:numPr>
          <w:ilvl w:val="0"/>
          <w:numId w:val="1"/>
        </w:numPr>
        <w:spacing w:after="60"/>
      </w:pPr>
      <w:r>
        <w:rPr>
          <w:sz w:val="21"/>
          <w:szCs w:val="21"/>
        </w:rPr>
        <w:t xml:space="preserve">Antrian exception (unmatched, mismatch, duplicate, missing) dan sign-off periode.</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Export   →   Import   →   Mapping   →   Matching   →   Exception   →   Verify   →   Sign-off</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batch rekonsiliasi menampilkan KPI jumlah batch, total item, matched dan exception, dengan progress bar tingkat kecocokan per batch. Klik satu batch membuka drawer berisi seluruh item beserta status match dan catatan exception.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BMN Officer / Approver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rekonsiliasi</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SAKTI/SIMAN Reconciliation — daftar batch rekonsiliasi.</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batch — item dan exception hasil pencocokan (Matched/Unmatched/Mismatch/Duplicate).</w:t>
      </w:r>
    </w:p>
    <w:p>
      <w:pPr>
        <w:pStyle w:val="Heading2"/>
        <w:pageBreakBefore/>
        <w:spacing w:after="120" w:before="0"/>
      </w:pPr>
      <w:r>
        <w:rPr>
          <w:color w:val="0B1F3A"/>
        </w:rPr>
        <w:t xml:space="preserve">6.15  Cyber Asset Management</w:t>
      </w:r>
    </w:p>
    <w:p>
      <w:pPr>
        <w:spacing w:after="140"/>
      </w:pPr>
      <w:r>
        <w:rPr>
          <w:b w:val="false"/>
          <w:bCs w:val="false"/>
          <w:i/>
          <w:iCs/>
          <w:sz w:val="21"/>
          <w:szCs w:val="21"/>
        </w:rPr>
        <w:t xml:space="preserve">Kontrol aset siber dan kripto.</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Klasifikasi sensitivitas aset (Terbatas, Rahasia, Sangat Rahasia).</w:t>
      </w:r>
    </w:p>
    <w:p>
      <w:pPr>
        <w:pStyle w:val="ListParagraph"/>
        <w:numPr>
          <w:ilvl w:val="0"/>
          <w:numId w:val="1"/>
        </w:numPr>
        <w:spacing w:after="60"/>
      </w:pPr>
      <w:r>
        <w:rPr>
          <w:sz w:val="21"/>
          <w:szCs w:val="21"/>
        </w:rPr>
        <w:t xml:space="preserve">Cakupan HSM, perangkat kripto, cyber range, forensic equipment dan security appliance.</w:t>
      </w:r>
    </w:p>
    <w:p>
      <w:pPr>
        <w:pStyle w:val="ListParagraph"/>
        <w:numPr>
          <w:ilvl w:val="0"/>
          <w:numId w:val="1"/>
        </w:numPr>
        <w:spacing w:after="60"/>
      </w:pPr>
      <w:r>
        <w:rPr>
          <w:sz w:val="21"/>
          <w:szCs w:val="21"/>
        </w:rPr>
        <w:t xml:space="preserve">Custodian dan otorisasi khusus, serta monitoring pergerakan aset sensitif.</w:t>
      </w:r>
    </w:p>
    <w:p>
      <w:pPr>
        <w:pStyle w:val="ListParagraph"/>
        <w:numPr>
          <w:ilvl w:val="0"/>
          <w:numId w:val="1"/>
        </w:numPr>
        <w:spacing w:after="60"/>
      </w:pPr>
      <w:r>
        <w:rPr>
          <w:sz w:val="21"/>
          <w:szCs w:val="21"/>
        </w:rPr>
        <w:t xml:space="preserve">Access log dan penerapan segregation of duties.</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Register &amp; klasifikasi sensitivitas   →   Tetapkan custodian &amp; otorisasi   →   Monitoring pergerakan aset   →   Pencatatan access log   →   Review berkala</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Halaman menampilkan KPI jumlah aset siber, klasifikasi Sangat Rahasia, akses 30 hari terakhir dan total access log. Klik baris aset membuka drawer berisi access log spesifik aset tersebut; panel Access Log Terbaru merangkum aktivitas lintas seluruh aset siber.</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Security Officer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Register aset sensitif &amp; access log</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5562600"/>
                          </a:xfrm>
                          <a:prstGeom prst="rect">
                            <a:avLst/>
                          </a:prstGeom>
                        </pic:spPr>
                      </pic:pic>
                    </a:graphicData>
                  </a:graphic>
                </wp:inline>
              </w:drawing>
            </w:r>
          </w:p>
        </w:tc>
      </w:tr>
    </w:tbl>
    <w:p>
      <w:pPr>
        <w:spacing w:after="200" w:before="80"/>
        <w:jc w:val="center"/>
      </w:pPr>
      <w:r>
        <w:rPr>
          <w:i/>
          <w:iCs/>
          <w:color w:val="64748B"/>
          <w:sz w:val="18"/>
          <w:szCs w:val="18"/>
        </w:rPr>
        <w:t xml:space="preserve">Halaman Cyber Asset Management — register aset siber/kripto dan access log terbaru.</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Drawer detail aset siber — informasi klasifikasi dan access log spesifik.</w:t>
      </w:r>
    </w:p>
    <w:p>
      <w:pPr>
        <w:pStyle w:val="Heading2"/>
        <w:pageBreakBefore/>
        <w:spacing w:after="120" w:before="0"/>
      </w:pPr>
      <w:r>
        <w:rPr>
          <w:color w:val="0B1F3A"/>
        </w:rPr>
        <w:t xml:space="preserve">6.16  Media Sanitization</w:t>
      </w:r>
    </w:p>
    <w:p>
      <w:pPr>
        <w:spacing w:after="140"/>
      </w:pPr>
      <w:r>
        <w:rPr>
          <w:b w:val="false"/>
          <w:bCs w:val="false"/>
          <w:i/>
          <w:iCs/>
          <w:sz w:val="21"/>
          <w:szCs w:val="21"/>
        </w:rPr>
        <w:t xml:space="preserve">Sanitasi media sebagai gerbang teknis sebelum disposal atau transfer.</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Pencatatan security assessment untuk menentukan tingkat sensitivitas data pada media.</w:t>
      </w:r>
    </w:p>
    <w:p>
      <w:pPr>
        <w:pStyle w:val="ListParagraph"/>
        <w:numPr>
          <w:ilvl w:val="0"/>
          <w:numId w:val="1"/>
        </w:numPr>
        <w:spacing w:after="60"/>
      </w:pPr>
      <w:r>
        <w:rPr>
          <w:sz w:val="21"/>
          <w:szCs w:val="21"/>
        </w:rPr>
        <w:t xml:space="preserve">Pemilihan metode sanitisasi sesuai karakter media dan kebijakan internal.</w:t>
      </w:r>
    </w:p>
    <w:p>
      <w:pPr>
        <w:pStyle w:val="ListParagraph"/>
        <w:numPr>
          <w:ilvl w:val="0"/>
          <w:numId w:val="1"/>
        </w:numPr>
        <w:spacing w:after="60"/>
      </w:pPr>
      <w:r>
        <w:rPr>
          <w:sz w:val="21"/>
          <w:szCs w:val="21"/>
        </w:rPr>
        <w:t xml:space="preserve">Evidence eksekusi, verifikasi keberhasilan dan penerbitan sertifikat.</w:t>
      </w:r>
    </w:p>
    <w:p>
      <w:pPr>
        <w:pStyle w:val="ListParagraph"/>
        <w:numPr>
          <w:ilvl w:val="0"/>
          <w:numId w:val="1"/>
        </w:numPr>
        <w:spacing w:after="60"/>
      </w:pPr>
      <w:r>
        <w:rPr>
          <w:sz w:val="21"/>
          <w:szCs w:val="21"/>
        </w:rPr>
        <w:t xml:space="preserve">Pemetaan metode terhadap standar NIST SP 800-88 Rev. 2.</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Assessment   →   Authorization   →   Sanitize   →   Verify   →   Certify   →   Release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menampilkan KPI total sanitasi, jumlah lulus verifikasi, menunggu verifikasi, serta acuan standar (NIST SP 800-88 Rev. 2) yang digunakan, dengan filter metode dan status verifikasi.</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Security Officer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Sertifikat sanitasi</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Media Sanitization — daftar sanitasi media dan status verifikasi.</w:t>
      </w:r>
    </w:p>
    <w:p>
      <w:pPr>
        <w:pStyle w:val="Heading2"/>
        <w:pageBreakBefore/>
        <w:spacing w:after="120" w:before="0"/>
      </w:pPr>
      <w:r>
        <w:rPr>
          <w:color w:val="0B1F3A"/>
        </w:rPr>
        <w:t xml:space="preserve">6.17  BMN Disposal</w:t>
      </w:r>
    </w:p>
    <w:p>
      <w:pPr>
        <w:spacing w:after="140"/>
      </w:pPr>
      <w:r>
        <w:rPr>
          <w:b w:val="false"/>
          <w:bCs w:val="false"/>
          <w:i/>
          <w:iCs/>
          <w:sz w:val="21"/>
          <w:szCs w:val="21"/>
        </w:rPr>
        <w:t xml:space="preserve">Akhir lifecycle aset dengan pemisahan technical assessment dan legal disposal.</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Technical assessment berdasarkan usia, kondisi, risiko, biaya dan performa.</w:t>
      </w:r>
    </w:p>
    <w:p>
      <w:pPr>
        <w:pStyle w:val="ListParagraph"/>
        <w:numPr>
          <w:ilvl w:val="0"/>
          <w:numId w:val="1"/>
        </w:numPr>
        <w:spacing w:after="60"/>
      </w:pPr>
      <w:r>
        <w:rPr>
          <w:sz w:val="21"/>
          <w:szCs w:val="21"/>
        </w:rPr>
        <w:t xml:space="preserve">Proposal dan persetujuan internal sebelum proses legal dimulai.</w:t>
      </w:r>
    </w:p>
    <w:p>
      <w:pPr>
        <w:pStyle w:val="ListParagraph"/>
        <w:numPr>
          <w:ilvl w:val="0"/>
          <w:numId w:val="1"/>
        </w:numPr>
        <w:spacing w:after="60"/>
      </w:pPr>
      <w:r>
        <w:rPr>
          <w:sz w:val="21"/>
          <w:szCs w:val="21"/>
        </w:rPr>
        <w:t xml:space="preserve">Jalur lelang, hibah, pemusnahan atau mekanisme lain sesuai status BMN dan kewenangan yang berlaku.</w:t>
      </w:r>
    </w:p>
    <w:p>
      <w:pPr>
        <w:pStyle w:val="ListParagraph"/>
        <w:numPr>
          <w:ilvl w:val="0"/>
          <w:numId w:val="1"/>
        </w:numPr>
        <w:spacing w:after="60"/>
      </w:pPr>
      <w:r>
        <w:rPr>
          <w:sz w:val="21"/>
          <w:szCs w:val="21"/>
        </w:rPr>
        <w:t xml:space="preserve">Evidence, pembaruan status dan rekonsiliasi pasca-disposal.</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Assessment   →   Recommendation   →   Approval   →   Legal Process   →   Sanitization (bila berlaku)   →   Evidence   →   Reconcile   →   Archive</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menampilkan KPI total pengajuan disposal, disetujui, menunggu persetujuan dan metode lelang, dengan filter metode dan status persetujuan.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Asset/BMN Officer + Authorized Approver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Disposal dossier</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BMN Disposal — daftar pengajuan disposal dan status persetujuan.</w:t>
      </w:r>
    </w:p>
    <w:p>
      <w:pPr>
        <w:pStyle w:val="Heading2"/>
        <w:pageBreakBefore/>
        <w:spacing w:after="120" w:before="0"/>
      </w:pPr>
      <w:r>
        <w:rPr>
          <w:color w:val="0B1F3A"/>
        </w:rPr>
        <w:t xml:space="preserve">6.18  ISO 55000/55001 Governance</w:t>
      </w:r>
    </w:p>
    <w:p>
      <w:pPr>
        <w:spacing w:after="140"/>
      </w:pPr>
      <w:r>
        <w:rPr>
          <w:b w:val="false"/>
          <w:bCs w:val="false"/>
          <w:i/>
          <w:iCs/>
          <w:sz w:val="21"/>
          <w:szCs w:val="21"/>
        </w:rPr>
        <w:t xml:space="preserve">Policy, objectives, SAMP, rencana dan continual improvement.</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Repository Asset Management Policy lengkap versi dan status persetujuan.</w:t>
      </w:r>
    </w:p>
    <w:p>
      <w:pPr>
        <w:pStyle w:val="ListParagraph"/>
        <w:numPr>
          <w:ilvl w:val="0"/>
          <w:numId w:val="1"/>
        </w:numPr>
        <w:spacing w:after="60"/>
      </w:pPr>
      <w:r>
        <w:rPr>
          <w:sz w:val="21"/>
          <w:szCs w:val="21"/>
        </w:rPr>
        <w:t xml:space="preserve">Objectives dan KPI organisasi dengan target vs aktual.</w:t>
      </w:r>
    </w:p>
    <w:p>
      <w:pPr>
        <w:pStyle w:val="ListParagraph"/>
        <w:numPr>
          <w:ilvl w:val="0"/>
          <w:numId w:val="1"/>
        </w:numPr>
        <w:spacing w:after="60"/>
      </w:pPr>
      <w:r>
        <w:rPr>
          <w:sz w:val="21"/>
          <w:szCs w:val="21"/>
        </w:rPr>
        <w:t xml:space="preserve">Strategic Asset Management Plan (SAMP) dan Asset Management Plan (program, sumber daya, target).</w:t>
      </w:r>
    </w:p>
    <w:p>
      <w:pPr>
        <w:pStyle w:val="ListParagraph"/>
        <w:numPr>
          <w:ilvl w:val="0"/>
          <w:numId w:val="1"/>
        </w:numPr>
        <w:spacing w:after="60"/>
      </w:pPr>
      <w:r>
        <w:rPr>
          <w:sz w:val="21"/>
          <w:szCs w:val="21"/>
        </w:rPr>
        <w:t xml:space="preserve">Risk &amp; Opportunity, Performance Evaluation, Internal Audit dan Management Review.</w:t>
      </w:r>
    </w:p>
    <w:p>
      <w:pPr>
        <w:pStyle w:val="ListParagraph"/>
        <w:numPr>
          <w:ilvl w:val="0"/>
          <w:numId w:val="1"/>
        </w:numPr>
        <w:spacing w:after="60"/>
      </w:pPr>
      <w:r>
        <w:rPr>
          <w:sz w:val="21"/>
          <w:szCs w:val="21"/>
        </w:rPr>
        <w:t xml:space="preserve">Continual Improvement Register yang terhubung ke KPI/risk/finding.</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Susun/perbarui Policy   →   Tetapkan Objectives &amp; KPI   →   Susun SAMP &amp; Asset Management Plan   →   Catat Risk &amp; Opportunity   →   Performance Evaluation   →   Internal Audit   →   Management Review   →   Improvement Register</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Halaman menyajikan panel Asset Management Policy dan SAMP/Asset Management Plan berdampingan, progress bar target vs aktual untuk setiap Objective/KPI, serta tabel Management Review dan Continual Improvement Register.</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Management / Asset Manager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Evidence governance</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105275"/>
                          </a:xfrm>
                          <a:prstGeom prst="rect">
                            <a:avLst/>
                          </a:prstGeom>
                        </pic:spPr>
                      </pic:pic>
                    </a:graphicData>
                  </a:graphic>
                </wp:inline>
              </w:drawing>
            </w:r>
          </w:p>
        </w:tc>
      </w:tr>
    </w:tbl>
    <w:p>
      <w:pPr>
        <w:spacing w:after="200" w:before="80"/>
        <w:jc w:val="center"/>
      </w:pPr>
      <w:r>
        <w:rPr>
          <w:i/>
          <w:iCs/>
          <w:color w:val="64748B"/>
          <w:sz w:val="18"/>
          <w:szCs w:val="18"/>
        </w:rPr>
        <w:t xml:space="preserve">Halaman ISO 55000/55001 Governance — policy, objectives, SAMP, management review dan improvement register.</w:t>
      </w:r>
    </w:p>
    <w:p>
      <w:pPr>
        <w:pStyle w:val="Heading2"/>
        <w:pageBreakBefore/>
        <w:spacing w:after="120" w:before="0"/>
      </w:pPr>
      <w:r>
        <w:rPr>
          <w:color w:val="0B1F3A"/>
        </w:rPr>
        <w:t xml:space="preserve">6.19  Audit &amp; Compliance</w:t>
      </w:r>
    </w:p>
    <w:p>
      <w:pPr>
        <w:spacing w:after="140"/>
      </w:pPr>
      <w:r>
        <w:rPr>
          <w:b w:val="false"/>
          <w:bCs w:val="false"/>
          <w:i/>
          <w:iCs/>
          <w:sz w:val="21"/>
          <w:szCs w:val="21"/>
        </w:rPr>
        <w:t xml:space="preserve">Audit, temuan dan Corrective Action / Preventive Action (CAPA).</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Audit plan, ruang lingkup, checklist dan evidence.</w:t>
      </w:r>
    </w:p>
    <w:p>
      <w:pPr>
        <w:pStyle w:val="ListParagraph"/>
        <w:numPr>
          <w:ilvl w:val="0"/>
          <w:numId w:val="1"/>
        </w:numPr>
        <w:spacing w:after="60"/>
      </w:pPr>
      <w:r>
        <w:rPr>
          <w:sz w:val="21"/>
          <w:szCs w:val="21"/>
        </w:rPr>
        <w:t xml:space="preserve">Pencatatan severity temuan (Observation/Minor/Major), root cause dan corrective action.</w:t>
      </w:r>
    </w:p>
    <w:p>
      <w:pPr>
        <w:pStyle w:val="ListParagraph"/>
        <w:numPr>
          <w:ilvl w:val="0"/>
          <w:numId w:val="1"/>
        </w:numPr>
        <w:spacing w:after="60"/>
      </w:pPr>
      <w:r>
        <w:rPr>
          <w:sz w:val="21"/>
          <w:szCs w:val="21"/>
        </w:rPr>
        <w:t xml:space="preserve">Due date, verifikasi, penutupan (closure) dan penandaan temuan berulang (repeat finding).</w:t>
      </w:r>
    </w:p>
    <w:p>
      <w:pPr>
        <w:pStyle w:val="ListParagraph"/>
        <w:numPr>
          <w:ilvl w:val="0"/>
          <w:numId w:val="1"/>
        </w:numPr>
        <w:spacing w:after="60"/>
      </w:pPr>
      <w:r>
        <w:rPr>
          <w:sz w:val="21"/>
          <w:szCs w:val="21"/>
        </w:rPr>
        <w:t xml:space="preserve">Audit trail atas transaksi kritis.</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Susun audit plan &amp; scope   →   Kumpulkan checklist &amp; evidence   →   Catat temuan (severity &amp; root cause)   →   Tetapkan corrective action, PIC &amp; due date   →   Verifikasi &amp; closure   →   Tandai repeat finding bila berulang</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menampilkan KPI total temuan, status Open, Closed dan temuan berulang, dengan filter severity dan status.</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Auditor / Process Owner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audit / CAPA</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Audit &amp; Compliance — daftar temuan, severity dan status CAPA.</w:t>
      </w:r>
    </w:p>
    <w:p>
      <w:pPr>
        <w:pStyle w:val="Heading2"/>
        <w:pageBreakBefore/>
        <w:spacing w:after="120" w:before="0"/>
      </w:pPr>
      <w:r>
        <w:rPr>
          <w:color w:val="0B1F3A"/>
        </w:rPr>
        <w:t xml:space="preserve">6.20  Document Management</w:t>
      </w:r>
    </w:p>
    <w:p>
      <w:pPr>
        <w:spacing w:after="140"/>
      </w:pPr>
      <w:r>
        <w:rPr>
          <w:b w:val="false"/>
          <w:bCs w:val="false"/>
          <w:i/>
          <w:iCs/>
          <w:sz w:val="21"/>
          <w:szCs w:val="21"/>
        </w:rPr>
        <w:t xml:space="preserve">Dokumen yang terhubung ke aset atau transaksi.</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Mengelola BAST, kontrak, garansi, manual, sertifikat, laporan inspeksi, laporan maintenance dan sertifikat sanitasi.</w:t>
      </w:r>
    </w:p>
    <w:p>
      <w:pPr>
        <w:pStyle w:val="ListParagraph"/>
        <w:numPr>
          <w:ilvl w:val="0"/>
          <w:numId w:val="1"/>
        </w:numPr>
        <w:spacing w:after="60"/>
      </w:pPr>
      <w:r>
        <w:rPr>
          <w:sz w:val="21"/>
          <w:szCs w:val="21"/>
        </w:rPr>
        <w:t xml:space="preserve">Versioning dokumen, alert masa berlaku (expiry) dan kontrol akses.</w:t>
      </w:r>
    </w:p>
    <w:p>
      <w:pPr>
        <w:pStyle w:val="ListParagraph"/>
        <w:numPr>
          <w:ilvl w:val="0"/>
          <w:numId w:val="1"/>
        </w:numPr>
        <w:spacing w:after="60"/>
      </w:pPr>
      <w:r>
        <w:rPr>
          <w:sz w:val="21"/>
          <w:szCs w:val="21"/>
        </w:rPr>
        <w:t xml:space="preserve">Setiap dokumen ditautkan langsung ke Asset ID atau Transaction ID terkait.</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Unggah dokumen   →   Tetapkan jenis &amp; versi   →   Tautkan ke Asset/Transaction ID   →   Kontrol akses &amp; notifikasi masa berlaku</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Tabel menampilkan KPI total dokumen, dokumen yang akan/sudah kedaluwarsa, jumlah jenis dokumen dan unggahan bulan berjalan, dengan filter jenis dokumen.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Document / Asset Officer</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Register dokumen</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Document Management — register dokumen terkait aset/transaksi.</w:t>
      </w:r>
    </w:p>
    <w:p>
      <w:pPr>
        <w:pStyle w:val="Heading2"/>
        <w:pageBreakBefore/>
        <w:spacing w:after="120" w:before="0"/>
      </w:pPr>
      <w:r>
        <w:rPr>
          <w:color w:val="0B1F3A"/>
        </w:rPr>
        <w:t xml:space="preserve">6.21  Reporting &amp; Executive Dashboard</w:t>
      </w:r>
    </w:p>
    <w:p>
      <w:pPr>
        <w:spacing w:after="140"/>
      </w:pPr>
      <w:r>
        <w:rPr>
          <w:b w:val="false"/>
          <w:bCs w:val="false"/>
          <w:i/>
          <w:iCs/>
          <w:sz w:val="21"/>
          <w:szCs w:val="21"/>
        </w:rPr>
        <w:t xml:space="preserve">Pelaporan dan dukungan keputusan.</w:t>
      </w:r>
    </w:p>
    <w:p>
      <w:pPr>
        <w:pStyle w:val="Heading3"/>
        <w:spacing w:after="100" w:before="200"/>
      </w:pPr>
      <w:r>
        <w:rPr>
          <w:color w:val="1D4ED8"/>
        </w:rPr>
        <w:t xml:space="preserve">Fitur Utama</w:t>
      </w:r>
    </w:p>
    <w:p>
      <w:pPr>
        <w:pStyle w:val="ListParagraph"/>
        <w:numPr>
          <w:ilvl w:val="0"/>
          <w:numId w:val="1"/>
        </w:numPr>
        <w:spacing w:after="60"/>
      </w:pPr>
      <w:r>
        <w:rPr>
          <w:sz w:val="21"/>
          <w:szCs w:val="21"/>
        </w:rPr>
        <w:t xml:space="preserve">Laporan register, sensus, rekonsiliasi, kondisi, mutasi dan maintenance.</w:t>
      </w:r>
    </w:p>
    <w:p>
      <w:pPr>
        <w:pStyle w:val="ListParagraph"/>
        <w:numPr>
          <w:ilvl w:val="0"/>
          <w:numId w:val="1"/>
        </w:numPr>
        <w:spacing w:after="60"/>
      </w:pPr>
      <w:r>
        <w:rPr>
          <w:sz w:val="21"/>
          <w:szCs w:val="21"/>
        </w:rPr>
        <w:t xml:space="preserve">Laporan finansial, biaya lifecycle, garansi, kalibrasi dan disposal.</w:t>
      </w:r>
    </w:p>
    <w:p>
      <w:pPr>
        <w:pStyle w:val="ListParagraph"/>
        <w:numPr>
          <w:ilvl w:val="0"/>
          <w:numId w:val="1"/>
        </w:numPr>
        <w:spacing w:after="60"/>
      </w:pPr>
      <w:r>
        <w:rPr>
          <w:sz w:val="21"/>
          <w:szCs w:val="21"/>
        </w:rPr>
        <w:t xml:space="preserve">KPI eksekutif dengan kemampuan drill-down.</w:t>
      </w:r>
    </w:p>
    <w:p>
      <w:pPr>
        <w:pStyle w:val="ListParagraph"/>
        <w:numPr>
          <w:ilvl w:val="0"/>
          <w:numId w:val="1"/>
        </w:numPr>
        <w:spacing w:after="60"/>
      </w:pPr>
      <w:r>
        <w:rPr>
          <w:sz w:val="21"/>
          <w:szCs w:val="21"/>
        </w:rPr>
        <w:t xml:space="preserve">Ekspor laporan dalam format PDF, Excel dan CSV.</w:t>
      </w:r>
    </w:p>
    <w:p>
      <w:pPr>
        <w:pStyle w:val="Heading3"/>
        <w:spacing w:after="100" w:before="200"/>
      </w:pPr>
      <w:r>
        <w:rPr>
          <w:color w:val="1D4ED8"/>
        </w:rPr>
        <w:t xml:space="preserve">Alur Kerja</w:t>
      </w:r>
    </w:p>
    <w:tbl>
      <w:tblPr>
        <w:tblW w:type="pct" w:w="100%"/>
        <w:tblBorders>
          <w:top w:val="single" w:color="BFDBFE" w:sz="4"/>
          <w:left w:val="single" w:color="BFDBFE" w:sz="4"/>
          <w:bottom w:val="single" w:color="BFDBFE" w:sz="4"/>
          <w:right w:val="single" w:color="BFDBFE"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1E3A8A"/>
                <w:sz w:val="20"/>
                <w:szCs w:val="20"/>
              </w:rPr>
              <w:t xml:space="preserve">Pilih jenis laporan   →   Tentukan filter periode/unit/kategori   →   Tinjau ringkasan &amp; drill-down   →   Ekspor PDF/Excel/CSV</w:t>
            </w:r>
          </w:p>
        </w:tc>
      </w:tr>
    </w:tbl>
    <w:p>
      <w:pPr>
        <w:pStyle w:val="Heading3"/>
        <w:spacing w:after="100" w:before="200"/>
      </w:pPr>
      <w:r>
        <w:rPr>
          <w:color w:val="1D4ED8"/>
        </w:rPr>
        <w:t xml:space="preserve">Tampilan pada Purwarupa</w:t>
      </w:r>
    </w:p>
    <w:p>
      <w:pPr>
        <w:spacing w:after="140"/>
      </w:pPr>
      <w:r>
        <w:rPr>
          <w:b w:val="false"/>
          <w:bCs w:val="false"/>
          <w:i w:val="false"/>
          <w:iCs w:val="false"/>
          <w:sz w:val="21"/>
          <w:szCs w:val="21"/>
        </w:rPr>
        <w:t xml:space="preserve">Halaman menyajikan katalog laporan siap pakai (8 jenis laporan pada data simulasi) lengkap dengan kategori, periode dan unit terkait, sebagai pelengkap Dashboard Eksekutif yang menjadi halaman utama setelah login.</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3F5F9" w:val="clear"/>
            <w:tcMar>
              <w:top w:type="dxa" w:w="80"/>
              <w:left w:type="dxa" w:w="120"/>
              <w:bottom w:type="dxa" w:w="80"/>
              <w:right w:type="dxa" w:w="120"/>
            </w:tcMar>
            <w:vAlign w:val="center"/>
          </w:tcPr>
          <w:p>
            <w:r>
              <w:rPr>
                <w:b/>
                <w:bCs/>
                <w:sz w:val="20"/>
                <w:szCs w:val="20"/>
              </w:rPr>
              <w:t xml:space="preserve">Peran Utama</w:t>
            </w:r>
          </w:p>
        </w:tc>
        <w:tc>
          <w:tcPr>
            <w:tcW w:type="pct" w:w="72%"/>
            <w:tcMar>
              <w:top w:type="dxa" w:w="80"/>
              <w:left w:type="dxa" w:w="120"/>
              <w:bottom w:type="dxa" w:w="80"/>
              <w:right w:type="dxa" w:w="120"/>
            </w:tcMar>
            <w:vAlign w:val="center"/>
          </w:tcPr>
          <w:p>
            <w:r>
              <w:rPr>
                <w:sz w:val="20"/>
                <w:szCs w:val="20"/>
              </w:rPr>
              <w:t xml:space="preserve">Management / Pengguna berwenang</w:t>
            </w:r>
          </w:p>
        </w:tc>
      </w:tr>
      <w:tr>
        <w:tc>
          <w:tcPr>
            <w:tcW w:type="pct" w:w="28%"/>
            <w:shd w:fill="F3F5F9" w:val="clear"/>
            <w:tcMar>
              <w:top w:type="dxa" w:w="80"/>
              <w:left w:type="dxa" w:w="120"/>
              <w:bottom w:type="dxa" w:w="80"/>
              <w:right w:type="dxa" w:w="120"/>
            </w:tcMar>
            <w:vAlign w:val="center"/>
          </w:tcPr>
          <w:p>
            <w:r>
              <w:rPr>
                <w:b/>
                <w:bCs/>
                <w:sz w:val="20"/>
                <w:szCs w:val="20"/>
              </w:rPr>
              <w:t xml:space="preserve">Output / Evidence</w:t>
            </w:r>
          </w:p>
        </w:tc>
        <w:tc>
          <w:tcPr>
            <w:tcW w:type="pct" w:w="72%"/>
            <w:tcMar>
              <w:top w:type="dxa" w:w="80"/>
              <w:left w:type="dxa" w:w="120"/>
              <w:bottom w:type="dxa" w:w="80"/>
              <w:right w:type="dxa" w:w="120"/>
            </w:tcMar>
            <w:vAlign w:val="center"/>
          </w:tcPr>
          <w:p>
            <w:r>
              <w:rPr>
                <w:sz w:val="20"/>
                <w:szCs w:val="20"/>
              </w:rPr>
              <w:t xml:space="preserve">Laporan eksekutif</w:t>
            </w:r>
          </w:p>
        </w:tc>
      </w:tr>
    </w:tbl>
    <w:p>
      <w:pPr>
        <w:pStyle w:val="Heading3"/>
        <w:spacing w:after="100" w:before="200"/>
      </w:pPr>
      <w:r>
        <w:rPr>
          <w:color w:val="1D4ED8"/>
        </w:rPr>
        <w:t xml:space="preserve">Tangkapan Layar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FFFFF" w:val="clear"/>
            <w:tcMar>
              <w:top w:type="dxa" w:w="120"/>
              <w:left w:type="dxa" w:w="160"/>
              <w:bottom w:type="dxa" w:w="120"/>
              <w:right w:type="dxa" w:w="160"/>
            </w:tcMar>
          </w:tcPr>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tc>
      </w:tr>
    </w:tbl>
    <w:p>
      <w:pPr>
        <w:spacing w:after="200" w:before="80"/>
        <w:jc w:val="center"/>
      </w:pPr>
      <w:r>
        <w:rPr>
          <w:i/>
          <w:iCs/>
          <w:color w:val="64748B"/>
          <w:sz w:val="18"/>
          <w:szCs w:val="18"/>
        </w:rPr>
        <w:t xml:space="preserve">Halaman Reporting &amp; Executive Dashboard — katalog laporan siap ekspor.</w:t>
      </w:r>
    </w:p>
    <w:p>
      <w:pPr>
        <w:pStyle w:val="Heading1"/>
        <w:pageBreakBefore/>
        <w:spacing w:after="240" w:before="0"/>
      </w:pPr>
      <w:r>
        <w:rPr>
          <w:color w:val="0B1F3A"/>
        </w:rPr>
        <w:t xml:space="preserve">7. MATRIKS PERAN × MODUL</w:t>
      </w:r>
    </w:p>
    <w:p>
      <w:pPr>
        <w:spacing w:after="140"/>
      </w:pPr>
      <w:r>
        <w:rPr>
          <w:b w:val="false"/>
          <w:bCs w:val="false"/>
          <w:i w:val="false"/>
          <w:iCs w:val="false"/>
          <w:sz w:val="21"/>
          <w:szCs w:val="21"/>
        </w:rPr>
        <w:t xml:space="preserve">Matriks berikut merangkum kewenangan tiap peran terhadap kelompok modul utama, mengikuti dokumen spesifikasi. R = Read, W = Write, RW = Read/Write, A = Approve/Authorize.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gridCol w:w="100"/>
        <w:gridCol w:w="100"/>
        <w:gridCol w:w="100"/>
        <w:gridCol w:w="100"/>
        <w:gridCol w:w="100"/>
        <w:gridCol w:w="100"/>
        <w:gridCol w:w="100"/>
      </w:tblGrid>
      <w:tr>
        <w:tc>
          <w:tcPr>
            <w:shd w:fill="0B1F3A" w:val="clear"/>
            <w:tcMar>
              <w:top w:type="dxa" w:w="60"/>
              <w:left w:type="dxa" w:w="80"/>
              <w:bottom w:type="dxa" w:w="60"/>
              <w:right w:type="dxa" w:w="80"/>
            </w:tcMar>
            <w:vAlign w:val="center"/>
          </w:tcPr>
          <w:p>
            <w:pPr>
              <w:jc w:val="center"/>
            </w:pPr>
            <w:r>
              <w:rPr>
                <w:b/>
                <w:bCs/>
                <w:color w:val="FFFFFF"/>
                <w:sz w:val="18"/>
                <w:szCs w:val="18"/>
              </w:rPr>
              <w:t xml:space="preserve">Modul</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Asset</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BMN</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Maint</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Inspect</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Cust</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Cyber</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Audit</w:t>
            </w:r>
          </w:p>
        </w:tc>
        <w:tc>
          <w:tcPr>
            <w:shd w:fill="0B1F3A" w:val="clear"/>
            <w:tcMar>
              <w:top w:type="dxa" w:w="60"/>
              <w:left w:type="dxa" w:w="80"/>
              <w:bottom w:type="dxa" w:w="60"/>
              <w:right w:type="dxa" w:w="80"/>
            </w:tcMar>
            <w:vAlign w:val="center"/>
          </w:tcPr>
          <w:p>
            <w:pPr>
              <w:jc w:val="center"/>
            </w:pPr>
            <w:r>
              <w:rPr>
                <w:b/>
                <w:bCs/>
                <w:color w:val="FFFFFF"/>
                <w:sz w:val="18"/>
                <w:szCs w:val="18"/>
              </w:rPr>
              <w:t xml:space="preserve">Mgmt</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Register</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Sensus</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Maintenance</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Risk</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Reconciliation</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Cyber</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Sanitization</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r>
      <w:tr>
        <w:tc>
          <w:tcPr>
            <w:tcMar>
              <w:top w:type="dxa" w:w="60"/>
              <w:left w:type="dxa" w:w="80"/>
              <w:bottom w:type="dxa" w:w="60"/>
              <w:right w:type="dxa" w:w="80"/>
            </w:tcMar>
            <w:vAlign w:val="center"/>
          </w:tcPr>
          <w:p>
            <w:pPr>
              <w:jc w:val="left"/>
            </w:pPr>
            <w:r>
              <w:rPr>
                <w:b w:val="false"/>
                <w:bCs w:val="false"/>
                <w:color w:val="0F172A"/>
                <w:sz w:val="18"/>
                <w:szCs w:val="18"/>
              </w:rPr>
              <w:t xml:space="preserve">Disposal</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c>
          <w:tcPr>
            <w:tcMar>
              <w:top w:type="dxa" w:w="60"/>
              <w:left w:type="dxa" w:w="80"/>
              <w:bottom w:type="dxa" w:w="60"/>
              <w:right w:type="dxa" w:w="80"/>
            </w:tcMar>
            <w:vAlign w:val="center"/>
          </w:tcPr>
          <w:p>
            <w:pPr>
              <w:jc w:val="left"/>
            </w:pPr>
            <w:r>
              <w:rPr>
                <w:b w:val="false"/>
                <w:bCs w:val="false"/>
                <w:color w:val="0F172A"/>
                <w:sz w:val="18"/>
                <w:szCs w:val="18"/>
              </w:rPr>
              <w:t xml:space="preserve">R</w:t>
            </w:r>
          </w:p>
        </w:tc>
        <w:tc>
          <w:tcPr>
            <w:tcMar>
              <w:top w:type="dxa" w:w="60"/>
              <w:left w:type="dxa" w:w="80"/>
              <w:bottom w:type="dxa" w:w="60"/>
              <w:right w:type="dxa" w:w="80"/>
            </w:tcMar>
            <w:vAlign w:val="center"/>
          </w:tcPr>
          <w:p>
            <w:pPr>
              <w:jc w:val="left"/>
            </w:pPr>
            <w:r>
              <w:rPr>
                <w:b w:val="false"/>
                <w:bCs w:val="false"/>
                <w:color w:val="0F172A"/>
                <w:sz w:val="18"/>
                <w:szCs w:val="18"/>
              </w:rPr>
              <w:t xml:space="preserve">A</w:t>
            </w:r>
          </w:p>
        </w:tc>
      </w:tr>
    </w:tbl>
    <w:p>
      <w:pPr>
        <w:spacing w:after="140"/>
      </w:pPr>
      <w:r>
        <w:rPr>
          <w:b w:val="false"/>
          <w:bCs w:val="false"/>
          <w:i/>
          <w:iCs/>
          <w:sz w:val="21"/>
          <w:szCs w:val="21"/>
        </w:rPr>
        <w:t xml:space="preserve">Catatan: matriks final harus mengikuti struktur kewenangan formal organisasi saat implementasi sesungguhnya.</w:t>
      </w:r>
    </w:p>
    <w:p>
      <w:pPr>
        <w:pStyle w:val="Heading1"/>
        <w:pageBreakBefore/>
        <w:spacing w:after="240" w:before="0"/>
      </w:pPr>
      <w:r>
        <w:rPr>
          <w:color w:val="0B1F3A"/>
        </w:rPr>
        <w:t xml:space="preserve">8. CATATAN, KETERBATASAN DAN TAHAP LANJUTAN</w:t>
      </w:r>
    </w:p>
    <w:p>
      <w:pPr>
        <w:pStyle w:val="Heading3"/>
        <w:spacing w:after="100" w:before="200"/>
      </w:pPr>
      <w:r>
        <w:rPr>
          <w:color w:val="1D4ED8"/>
        </w:rPr>
        <w:t xml:space="preserve">Keterbatasan Purwarupa</w:t>
      </w:r>
    </w:p>
    <w:p>
      <w:pPr>
        <w:pStyle w:val="ListParagraph"/>
        <w:numPr>
          <w:ilvl w:val="0"/>
          <w:numId w:val="1"/>
        </w:numPr>
        <w:spacing w:after="60"/>
      </w:pPr>
      <w:r>
        <w:rPr>
          <w:sz w:val="21"/>
          <w:szCs w:val="21"/>
        </w:rPr>
        <w:t xml:space="preserve">Seluruh data yang tampil adalah data simulasi yang dibangkitkan secara terprogram — bukan data produksi/aset sesungguhnya.</w:t>
      </w:r>
    </w:p>
    <w:p>
      <w:pPr>
        <w:pStyle w:val="ListParagraph"/>
        <w:numPr>
          <w:ilvl w:val="0"/>
          <w:numId w:val="1"/>
        </w:numPr>
        <w:spacing w:after="60"/>
      </w:pPr>
      <w:r>
        <w:rPr>
          <w:sz w:val="21"/>
          <w:szCs w:val="21"/>
        </w:rPr>
        <w:t xml:space="preserve">Belum terhubung ke backend, basis data maupun sistem otentikasi sungguhan; tombol "Tambah Baru", "Ekspor" dan sejenisnya bersifat simulasi (menampilkan notifikasi konfirmasi tanpa memproses data nyata).</w:t>
      </w:r>
    </w:p>
    <w:p>
      <w:pPr>
        <w:pStyle w:val="ListParagraph"/>
        <w:numPr>
          <w:ilvl w:val="0"/>
          <w:numId w:val="1"/>
        </w:numPr>
        <w:spacing w:after="60"/>
      </w:pPr>
      <w:r>
        <w:rPr>
          <w:sz w:val="21"/>
          <w:szCs w:val="21"/>
        </w:rPr>
        <w:t xml:space="preserve">Integrasi dengan SAKTI/SIMAN, HR/Personnel, Finance, Procurement, DMS, Mobile dan IoT digambarkan sebagai alur kerja dan tampilan, belum berupa integrasi API/batch yang berfungsi.</w:t>
      </w:r>
    </w:p>
    <w:p>
      <w:pPr>
        <w:pStyle w:val="ListParagraph"/>
        <w:numPr>
          <w:ilvl w:val="0"/>
          <w:numId w:val="1"/>
        </w:numPr>
        <w:spacing w:after="60"/>
      </w:pPr>
      <w:r>
        <w:rPr>
          <w:sz w:val="21"/>
          <w:szCs w:val="21"/>
        </w:rPr>
        <w:t xml:space="preserve">Referensi desain visual dari sistem QHSE (qhse.semestateknologiutama.com) tidak dapat diakses pada saat purwarupa disusun, sehingga desain disusun mandiri dengan gaya korporat/instansi pemerintah yang selaras konteks ISO 55000/BMN.</w:t>
      </w:r>
    </w:p>
    <w:p>
      <w:pPr>
        <w:pStyle w:val="Heading3"/>
        <w:spacing w:after="100" w:before="200"/>
      </w:pPr>
      <w:r>
        <w:rPr>
          <w:color w:val="1D4ED8"/>
        </w:rPr>
        <w:t xml:space="preserve">Tahap Lanjutan</w:t>
      </w:r>
    </w:p>
    <w:p>
      <w:pPr>
        <w:spacing w:after="140"/>
      </w:pPr>
      <w:r>
        <w:rPr>
          <w:b w:val="false"/>
          <w:bCs w:val="false"/>
          <w:i w:val="false"/>
          <w:iCs w:val="false"/>
          <w:sz w:val="21"/>
          <w:szCs w:val="21"/>
        </w:rPr>
        <w:t xml:space="preserve">Sebagaimana disebutkan pada dokumen spesifikasi, tahap berikutnya sebelum pengembangan (development) adalah penyusunan SRS teknis, meliputi:</w:t>
      </w:r>
    </w:p>
    <w:p>
      <w:pPr>
        <w:pStyle w:val="ListParagraph"/>
        <w:numPr>
          <w:ilvl w:val="0"/>
          <w:numId w:val="3"/>
        </w:numPr>
        <w:spacing w:after="60"/>
      </w:pPr>
      <w:r>
        <w:rPr>
          <w:sz w:val="21"/>
          <w:szCs w:val="21"/>
        </w:rPr>
        <w:t xml:space="preserve">ERD fisik dan data dictionary per tabel.</w:t>
      </w:r>
    </w:p>
    <w:p>
      <w:pPr>
        <w:pStyle w:val="ListParagraph"/>
        <w:numPr>
          <w:ilvl w:val="0"/>
          <w:numId w:val="3"/>
        </w:numPr>
        <w:spacing w:after="60"/>
      </w:pPr>
      <w:r>
        <w:rPr>
          <w:sz w:val="21"/>
          <w:szCs w:val="21"/>
        </w:rPr>
        <w:t xml:space="preserve">Spesifikasi API untuk integrasi SAKTI/SIMAN, HR, Finance, Procurement, DMS, Mobile dan IoT.</w:t>
      </w:r>
    </w:p>
    <w:p>
      <w:pPr>
        <w:pStyle w:val="ListParagraph"/>
        <w:numPr>
          <w:ilvl w:val="0"/>
          <w:numId w:val="3"/>
        </w:numPr>
        <w:spacing w:after="60"/>
      </w:pPr>
      <w:r>
        <w:rPr>
          <w:sz w:val="21"/>
          <w:szCs w:val="21"/>
        </w:rPr>
        <w:t xml:space="preserve">Wireframe/UI resmi hasil validasi purwarupa ini bersama pemangku kepentingan.</w:t>
      </w:r>
    </w:p>
    <w:p>
      <w:pPr>
        <w:pStyle w:val="ListParagraph"/>
        <w:numPr>
          <w:ilvl w:val="0"/>
          <w:numId w:val="3"/>
        </w:numPr>
        <w:spacing w:after="60"/>
      </w:pPr>
      <w:r>
        <w:rPr>
          <w:sz w:val="21"/>
          <w:szCs w:val="21"/>
        </w:rPr>
        <w:t xml:space="preserve">Detail workflow approval dan notification matrix per transaksi.</w:t>
      </w:r>
    </w:p>
    <w:p>
      <w:pPr>
        <w:pStyle w:val="ListParagraph"/>
        <w:numPr>
          <w:ilvl w:val="0"/>
          <w:numId w:val="3"/>
        </w:numPr>
        <w:spacing w:after="60"/>
      </w:pPr>
      <w:r>
        <w:rPr>
          <w:sz w:val="21"/>
          <w:szCs w:val="21"/>
        </w:rPr>
        <w:t xml:space="preserve">Rencana User Acceptance Test (UAT).</w:t>
      </w:r>
    </w:p>
    <w:p>
      <w:pPr>
        <w:spacing w:before="400"/>
        <w:jc w:val="center"/>
      </w:pPr>
      <w:r>
        <w:rPr>
          <w:i/>
          <w:iCs/>
          <w:color w:val="64748B"/>
          <w:sz w:val="20"/>
          <w:szCs w:val="20"/>
        </w:rPr>
        <w:t xml:space="preserve">— Akhir Dokumen —</w:t>
      </w:r>
    </w:p>
    <w:sectPr>
      <w:headerReference w:type="default" r:id="rId7"/>
      <w:footerReference w:type="default" r:id="rId8"/>
      <w:pgSz w:w="11908" w:h="16833"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Halaman </w:t>
    </w:r>
    <w:r>
      <w:rPr>
        <w:color w:val="64748B"/>
        <w:sz w:val="16"/>
        <w:szCs w:val="16"/>
      </w:rPr>
      <w:fldChar w:fldCharType="begin"/>
      <w:instrText xml:space="preserve">PAGE</w:instrText>
      <w:fldChar w:fldCharType="separate"/>
      <w:fldChar w:fldCharType="end"/>
    </w:r>
    <w:r>
      <w:rPr>
        <w:color w:val="64748B"/>
        <w:sz w:val="16"/>
        <w:szCs w:val="16"/>
      </w:rPr>
      <w:t xml:space="preserve"> dari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SIMASET BMN — Dokumentasi Fitur Purwarupa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9761F" w:sz="8" w:space="6"/>
      </w:pBdr>
      <w:spacing w:after="240" w:before="0"/>
    </w:pPr>
    <w:rPr>
      <w:b/>
      <w:bCs/>
      <w:color w:val="0B1F3A"/>
      <w:sz w:val="32"/>
      <w:szCs w:val="32"/>
    </w:rPr>
  </w:style>
  <w:style w:type="paragraph" w:styleId="Heading2">
    <w:name w:val="Heading 2"/>
    <w:basedOn w:val="Normal"/>
    <w:next w:val="Normal"/>
    <w:qFormat/>
    <w:rPr>
      <w:b/>
      <w:bCs/>
      <w:color w:val="0B1F3A"/>
      <w:sz w:val="26"/>
      <w:szCs w:val="26"/>
    </w:rPr>
  </w:style>
  <w:style w:type="paragraph" w:styleId="Heading3">
    <w:name w:val="Heading 3"/>
    <w:basedOn w:val="Normal"/>
    <w:next w:val="Normal"/>
    <w:qFormat/>
    <w:rPr>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c3191f3a029b55a644472c8c92873beb42c52b.png"/><Relationship Id="rId10" Type="http://schemas.openxmlformats.org/officeDocument/2006/relationships/image" Target="media/ec8a3fa2bec348175a0b87781a61886e1f8827d6.png"/><Relationship Id="rId11" Type="http://schemas.openxmlformats.org/officeDocument/2006/relationships/image" Target="media/61a9a250477d4de4ab645b101cbae453164411a4.png"/><Relationship Id="rId12" Type="http://schemas.openxmlformats.org/officeDocument/2006/relationships/image" Target="media/a92a5eef3b12acfb2b7e01dbf16d850808b3d14f.png"/><Relationship Id="rId13" Type="http://schemas.openxmlformats.org/officeDocument/2006/relationships/image" Target="media/618577c919fb60867b471e474d0dc2a5e17d634d.png"/><Relationship Id="rId14" Type="http://schemas.openxmlformats.org/officeDocument/2006/relationships/image" Target="media/66d8c3c5797823318ec043030041f10d194e43d3.png"/><Relationship Id="rId15" Type="http://schemas.openxmlformats.org/officeDocument/2006/relationships/image" Target="media/047d69e9e9c66ee04975d2d23ea9dc40c8f3b0cc.png"/><Relationship Id="rId16" Type="http://schemas.openxmlformats.org/officeDocument/2006/relationships/image" Target="media/6bd451b98fbcd134dcfc8e8970db146c877ff757.png"/><Relationship Id="rId17" Type="http://schemas.openxmlformats.org/officeDocument/2006/relationships/image" Target="media/d5aacc6b48a2d75939b9560ec0367d74458f069a.png"/><Relationship Id="rId18" Type="http://schemas.openxmlformats.org/officeDocument/2006/relationships/image" Target="media/0681c0da888f4128a31fc4416a0119d0bbfb40bf.png"/><Relationship Id="rId19" Type="http://schemas.openxmlformats.org/officeDocument/2006/relationships/image" Target="media/3984b9199086d6f7088477bbc341f59ac724b6f9.png"/><Relationship Id="rId20" Type="http://schemas.openxmlformats.org/officeDocument/2006/relationships/image" Target="media/be97aea5d38eb1cde6b92df17dfeb9392a277a3c.png"/><Relationship Id="rId21" Type="http://schemas.openxmlformats.org/officeDocument/2006/relationships/image" Target="media/349fe14d1eb362655ddec18dc726b2bc6f3d9e47.png"/><Relationship Id="rId22" Type="http://schemas.openxmlformats.org/officeDocument/2006/relationships/image" Target="media/9e6563fd52e5af1c5b328e72de376a45c099115a.png"/><Relationship Id="rId23" Type="http://schemas.openxmlformats.org/officeDocument/2006/relationships/image" Target="media/1c255aaa4aee88be9d27933564b5b9e4cbe38e32.png"/><Relationship Id="rId24" Type="http://schemas.openxmlformats.org/officeDocument/2006/relationships/image" Target="media/9408ce3aaa1e2b6202e99e2724d4a298cd05db29.png"/><Relationship Id="rId25" Type="http://schemas.openxmlformats.org/officeDocument/2006/relationships/image" Target="media/20dc45930c962bb451448fba709286e979419da6.png"/><Relationship Id="rId26" Type="http://schemas.openxmlformats.org/officeDocument/2006/relationships/image" Target="media/47efb9e2943b4a8e8883a0408686c736fba0937b.png"/><Relationship Id="rId27" Type="http://schemas.openxmlformats.org/officeDocument/2006/relationships/image" Target="media/16a12633d6c7b7c02664582ba8da18291c57dbd9.png"/><Relationship Id="rId28" Type="http://schemas.openxmlformats.org/officeDocument/2006/relationships/image" Target="media/9b211d30953655e5653462b4ee50dadbbbfc902a.png"/><Relationship Id="rId29" Type="http://schemas.openxmlformats.org/officeDocument/2006/relationships/image" Target="media/79108db42c112aaa3f3865f6cbdf40db3d4bba68.png"/><Relationship Id="rId30" Type="http://schemas.openxmlformats.org/officeDocument/2006/relationships/image" Target="media/d2acb1f3dd843d9aa314c17b4762950556a2833e.png"/><Relationship Id="rId31" Type="http://schemas.openxmlformats.org/officeDocument/2006/relationships/image" Target="media/1cfb012283caff1d25130a0ab048ff216dac1998.png"/><Relationship Id="rId32" Type="http://schemas.openxmlformats.org/officeDocument/2006/relationships/image" Target="media/5e465c1143a57afde6b07a9dcafa6db2a79b9bfb.png"/><Relationship Id="rId33" Type="http://schemas.openxmlformats.org/officeDocument/2006/relationships/image" Target="media/247390c13f1f7e4010177401aae318741a875715.png"/><Relationship Id="rId34" Type="http://schemas.openxmlformats.org/officeDocument/2006/relationships/image" Target="media/e0727c9d7917a9386cdee22a3376f16fd6c080d1.png"/><Relationship Id="rId35" Type="http://schemas.openxmlformats.org/officeDocument/2006/relationships/image" Target="media/3a06dfd717bb103e9d27f3dd449b87329df963e1.png"/><Relationship Id="rId36" Type="http://schemas.openxmlformats.org/officeDocument/2006/relationships/image" Target="media/661450f904747550b88f998124019624fb0c8244.png"/><Relationship Id="rId37" Type="http://schemas.openxmlformats.org/officeDocument/2006/relationships/image" Target="media/3126a26f29032bce9e87ef771eabceea3e166b91.png"/><Relationship Id="rId38" Type="http://schemas.openxmlformats.org/officeDocument/2006/relationships/image" Target="media/fe3e07b57a1f3e275a36b3c3f91740b478699942.png"/><Relationship Id="rId39" Type="http://schemas.openxmlformats.org/officeDocument/2006/relationships/image" Target="media/f8fed3db85b3e1e1d12746f56f89ac797265e7e6.png"/><Relationship Id="rId40" Type="http://schemas.openxmlformats.org/officeDocument/2006/relationships/image" Target="media/f80b5e6ff9fd9d163870922c5501e1b7fc4a4296.png"/><Relationship Id="rId41" Type="http://schemas.openxmlformats.org/officeDocument/2006/relationships/image" Target="media/efb8afc670a597dae3f008b7baf618080ffe9517.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2026-08-29T10:45:57.221Z</dcterms:created>
  <dcterms:modified xsi:type="dcterms:W3CDTF">2026-08-29T10:45:57.221Z</dcterms:modified>
</cp:coreProperties>
</file>

<file path=docProps/custom.xml><?xml version="1.0" encoding="utf-8"?>
<Properties xmlns="http://schemas.openxmlformats.org/officeDocument/2006/custom-properties" xmlns:vt="http://schemas.openxmlformats.org/officeDocument/2006/docPropsVTypes"/>
</file>