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B853" w14:textId="77777777" w:rsidR="005366CA" w:rsidRDefault="001F24B8">
      <w:pPr>
        <w:jc w:val="center"/>
        <w:rPr>
          <w:rFonts w:ascii="Roboto" w:eastAsia="Roboto" w:hAnsi="Roboto" w:cs="Roboto"/>
          <w:sz w:val="32"/>
          <w:szCs w:val="32"/>
        </w:rPr>
      </w:pPr>
      <w:r>
        <w:rPr>
          <w:rFonts w:ascii="Arial" w:eastAsia="Roboto" w:hAnsi="Arial" w:cs="Roboto"/>
          <w:sz w:val="32"/>
          <w:szCs w:val="32"/>
        </w:rPr>
        <w:t>Sustainability Due Diligence Report Template</w:t>
      </w:r>
    </w:p>
    <w:p w14:paraId="7B0B3BD7" w14:textId="77777777" w:rsidR="005366CA" w:rsidRDefault="005366CA">
      <w:pPr>
        <w:jc w:val="both"/>
        <w:rPr>
          <w:rFonts w:ascii="Roboto" w:eastAsia="Roboto" w:hAnsi="Roboto" w:cs="Roboto"/>
          <w:sz w:val="28"/>
          <w:szCs w:val="28"/>
        </w:rPr>
      </w:pPr>
    </w:p>
    <w:p w14:paraId="79039253" w14:textId="77777777" w:rsidR="005366CA" w:rsidRDefault="005366CA">
      <w:pPr>
        <w:spacing w:line="259" w:lineRule="auto"/>
        <w:rPr>
          <w:rFonts w:ascii="Times New Roman" w:eastAsia="Times New Roman" w:hAnsi="Times New Roman" w:cs="Times New Roman"/>
          <w:b/>
          <w:i/>
          <w:color w:val="C00000"/>
          <w:sz w:val="24"/>
          <w:szCs w:val="24"/>
        </w:rPr>
      </w:pPr>
    </w:p>
    <w:p w14:paraId="6805C236"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b/>
          <w:bCs/>
          <w:color w:val="000000"/>
          <w:sz w:val="20"/>
        </w:rPr>
        <w:t xml:space="preserve">Name of Company: </w:t>
      </w:r>
      <w:r w:rsidRPr="001D090E">
        <w:rPr>
          <w:rFonts w:ascii="Arial" w:eastAsia="Times New Roman" w:hAnsi="Arial" w:cs="Times New Roman"/>
          <w:color w:val="000000"/>
          <w:sz w:val="20"/>
        </w:rPr>
        <w:t>Palm Ventures</w:t>
      </w:r>
    </w:p>
    <w:p w14:paraId="3FF87C2A"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b/>
          <w:bCs/>
          <w:color w:val="000000"/>
          <w:sz w:val="20"/>
        </w:rPr>
        <w:t xml:space="preserve">Country: </w:t>
      </w:r>
      <w:r w:rsidRPr="001D090E">
        <w:rPr>
          <w:rFonts w:ascii="Arial" w:eastAsia="Times New Roman" w:hAnsi="Arial" w:cs="Times New Roman"/>
          <w:color w:val="000000"/>
          <w:sz w:val="20"/>
        </w:rPr>
        <w:t>Indonesia</w:t>
      </w:r>
    </w:p>
    <w:p w14:paraId="3AC03C56"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Pr>
          <w:rFonts w:ascii="Arial" w:hAnsi="Arial"/>
          <w:sz w:val="20"/>
        </w:rPr>
        <w:t>Description of Entity/Business: Palm Ventures is headquartered in Jakarta and was established in 1997. It is one of Indonesia’s largest palm oil plantation companies, with plantations in Riau, Jambi, South Sumatra, East Kalimantan and Papua. Its activities include cultivating oil palm, harvesting and processing Fresh Fruit Bunches, and producing and trading Palm Kernel, Palm Kernel Shell, Crude Palm Oil and Crude Palm Kernel Oil. The company also works with about 33,000 smallholders covering 64,500 hectares of planted oil palm. Because of its size and supply chain, Palm Ventures is exposed to significant environmental and social risks. Its 2021 Sustainability Report identifies sustainable supply chain, human rights and environmental footprint among its priority matters.</w:t>
      </w:r>
    </w:p>
    <w:p w14:paraId="7BD78A5A" w14:textId="77777777" w:rsidR="001D090E" w:rsidRPr="001D090E" w:rsidRDefault="001D090E" w:rsidP="001D090E">
      <w:pPr>
        <w:spacing w:after="240" w:line="240" w:lineRule="auto"/>
        <w:rPr>
          <w:rFonts w:ascii="Times New Roman" w:eastAsia="Times New Roman" w:hAnsi="Times New Roman" w:cs="Times New Roman"/>
          <w:sz w:val="24"/>
          <w:szCs w:val="24"/>
        </w:rPr>
      </w:pPr>
      <w:r w:rsidRPr="001D090E">
        <w:rPr>
          <w:rFonts w:ascii="Arial" w:eastAsia="Times New Roman" w:hAnsi="Arial" w:cs="Times New Roman"/>
          <w:sz w:val="24"/>
          <w:szCs w:val="24"/>
        </w:rPr>
        <w:br/>
      </w:r>
    </w:p>
    <w:p w14:paraId="16E39A1B"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b/>
          <w:bCs/>
          <w:color w:val="000000"/>
          <w:sz w:val="20"/>
        </w:rPr>
        <w:t>Risk Assessment:</w:t>
      </w:r>
    </w:p>
    <w:p w14:paraId="349BB794"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i/>
          <w:iCs/>
          <w:color w:val="FF0000"/>
          <w:sz w:val="20"/>
          <w:u w:val="single"/>
        </w:rPr>
        <w:t>Instructions:</w:t>
      </w:r>
      <w:r w:rsidRPr="001D090E">
        <w:rPr>
          <w:rFonts w:ascii="Arial" w:eastAsia="Times New Roman" w:hAnsi="Arial" w:cs="Times New Roman"/>
          <w:i/>
          <w:iCs/>
          <w:color w:val="FF0000"/>
          <w:sz w:val="20"/>
        </w:rPr>
        <w:t> </w:t>
      </w:r>
    </w:p>
    <w:p w14:paraId="54DE8454" w14:textId="77777777" w:rsidR="001D090E" w:rsidRPr="001D090E" w:rsidRDefault="001D090E" w:rsidP="001D090E">
      <w:pPr>
        <w:spacing w:after="120" w:line="240" w:lineRule="auto"/>
        <w:rPr>
          <w:rFonts w:ascii="Times New Roman" w:eastAsia="Times New Roman" w:hAnsi="Times New Roman" w:cs="Times New Roman"/>
          <w:sz w:val="24"/>
          <w:szCs w:val="24"/>
        </w:rPr>
      </w:pPr>
      <w:r w:rsidRPr="001D090E">
        <w:rPr>
          <w:rFonts w:ascii="Arial" w:eastAsia="Times New Roman" w:hAnsi="Arial" w:cs="Times New Roman"/>
          <w:i/>
          <w:iCs/>
          <w:color w:val="FF0000"/>
          <w:sz w:val="20"/>
        </w:rPr>
        <w:t>List 3-4 of the ESG risks you identified for Palm Ventures based on the resources provided and/or your individual desktop research. Then briefly analyse Palm Ventures’ mitigation efforts by describing what they are and stating whether you think the approach is adequate or proportionate to the risk identified. </w:t>
      </w:r>
    </w:p>
    <w:p w14:paraId="77876301" w14:textId="77777777" w:rsidR="001D090E" w:rsidRPr="001D090E" w:rsidRDefault="001D090E" w:rsidP="001D090E">
      <w:pPr>
        <w:spacing w:line="240" w:lineRule="auto"/>
        <w:rPr>
          <w:rFonts w:ascii="Times New Roman" w:eastAsia="Times New Roman" w:hAnsi="Times New Roman" w:cs="Times New Roman"/>
          <w:sz w:val="24"/>
          <w:szCs w:val="24"/>
        </w:rPr>
      </w:pPr>
    </w:p>
    <w:tbl>
      <w:tblPr>
        <w:tblW w:w="13462" w:type="dxa"/>
        <w:jc w:val="center"/>
        <w:tblCellMar>
          <w:top w:w="15" w:type="dxa"/>
          <w:left w:w="15" w:type="dxa"/>
          <w:bottom w:w="15" w:type="dxa"/>
          <w:right w:w="15" w:type="dxa"/>
        </w:tblCellMar>
        <w:tblLook w:val="04A0" w:firstRow="1" w:lastRow="0" w:firstColumn="1" w:lastColumn="0" w:noHBand="0" w:noVBand="1"/>
      </w:tblPr>
      <w:tblGrid>
        <w:gridCol w:w="6731"/>
        <w:gridCol w:w="6731"/>
      </w:tblGrid>
      <w:tr w:rsidR="001D090E" w:rsidRPr="001D090E" w14:paraId="31DCA5BB" w14:textId="77777777" w:rsidTr="001D090E">
        <w:trPr>
          <w:trHeight w:val="191"/>
        </w:trPr>
        <w:tc>
          <w:tcPr>
            <w:tcW w:w="6731"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r>
              <w:rPr>
                <w:rFonts w:ascii="Arial" w:hAnsi="Arial"/>
                <w:sz w:val="18"/>
              </w:rPr>
              <w:t>ESG Risk</w:t>
            </w:r>
          </w:p>
        </w:tc>
        <w:tc>
          <w:tcPr>
            <w:tcW w:w="6731"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r>
              <w:rPr>
                <w:rFonts w:ascii="Arial" w:hAnsi="Arial"/>
                <w:sz w:val="18"/>
              </w:rPr>
              <w:t>Mitigating Efforts by the Company</w:t>
            </w:r>
          </w:p>
        </w:tc>
      </w:tr>
      <w:tr w:rsidR="001D090E" w:rsidRPr="001D090E" w14:paraId="5967425A" w14:textId="77777777" w:rsidTr="001D090E">
        <w:trPr>
          <w:trHeight w:val="1457"/>
        </w:trPr>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Deforestation &amp; peatland destruction</w:t>
            </w:r>
          </w:p>
        </w:tc>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Palm Ventures updated its Sustainability Policy in 2021, added a zero-deforestation commitment and committed to restore 50,000 hectares of forest in Riau. By 2021, 5,000 hectares had been restored. The company also works with the Peat Restoration Agency. However, the approach is not fully adequate because there was no evidence that deforestation was being monitored in supplier operations, and the company had no biodiversity policy. Stronger supplier monitoring and independent verification of restoration are needed.</w:t>
            </w:r>
          </w:p>
        </w:tc>
      </w:tr>
      <w:tr w:rsidR="001D090E" w:rsidRPr="001D090E" w14:paraId="4084FC8D" w14:textId="77777777" w:rsidTr="001D090E">
        <w:trPr>
          <w:trHeight w:val="1457"/>
        </w:trPr>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Supply-chain traceability &amp; transparency</w:t>
            </w:r>
          </w:p>
        </w:tc>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Palm Ventures said it was improving traceability to gain better visibility over plantations and smallholders. The share of direct suppliers with NDPE commitments increased from 54% in 2020 to 76% in 2021. However, gaps remained: there was no evidence of monitoring deforestation in supplier operations, company-owned mill locations were not disclosed, and there was no time-bound plan for 100% RSPO certification. The mitigation is therefore only partly adequate.</w:t>
            </w:r>
          </w:p>
        </w:tc>
      </w:tr>
      <w:tr w:rsidR="001D090E" w:rsidRPr="001D090E" w14:paraId="224896F2" w14:textId="77777777" w:rsidTr="001D090E">
        <w:trPr>
          <w:trHeight w:val="1457"/>
        </w:trPr>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Human rights &amp; labour practices</w:t>
            </w:r>
          </w:p>
        </w:tc>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Palm Ventures reported that 100% of employees were paid above the applicable legal minimum wage in 2021 and 79% had health insurance. Direct suppliers with human-rights commitments in their NDPE policies increased from 40% to 65%, while supplier human-rights training increased from 30% to 34%. These are positive steps, but supplier coverage and training remain incomplete. The risk is therefore only partly addressed and should continue to be monitored.</w:t>
            </w:r>
          </w:p>
        </w:tc>
      </w:tr>
      <w:tr w:rsidR="001D090E" w:rsidRPr="001D090E" w14:paraId="2AB78FD9" w14:textId="77777777" w:rsidTr="001D090E">
        <w:trPr>
          <w:trHeight w:val="1457"/>
        </w:trPr>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Climate change &amp; GHG emissions</w:t>
            </w:r>
          </w:p>
        </w:tc>
        <w:tc>
          <w:tcPr>
            <w:tcW w:w="67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
              <w:rPr>
                <w:rFonts w:ascii="Arial" w:hAnsi="Arial"/>
                <w:sz w:val="18"/>
              </w:rPr>
              <w:t>Palm Ventures identified climate change as a high-likelihood, moderate-impact risk. It set a target to reduce Scope 1 and Scope 2 GHG emissions intensity by 10% by 2025 from its 2021 baseline and built three methane-capture facilities at its mills. These actions show meaningful progress, but they mainly address operational emissions and do not fully demonstrate management of wider land-use and supply-chain climate risks. Further emissions measurement and supplier engagement are needed.</w:t>
            </w:r>
          </w:p>
        </w:tc>
      </w:tr>
    </w:tbl>
    <w:p w14:paraId="5F165185" w14:textId="77777777" w:rsidR="001D090E" w:rsidRPr="001D090E" w:rsidRDefault="001D090E" w:rsidP="001D090E">
      <w:pPr>
        <w:spacing w:line="240" w:lineRule="auto"/>
        <w:rPr>
          <w:rFonts w:ascii="Times New Roman" w:eastAsia="Times New Roman" w:hAnsi="Times New Roman" w:cs="Times New Roman"/>
          <w:sz w:val="24"/>
          <w:szCs w:val="24"/>
        </w:rPr>
      </w:pPr>
    </w:p>
    <w:p w14:paraId="76424569"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b/>
          <w:bCs/>
          <w:color w:val="000000"/>
          <w:sz w:val="20"/>
        </w:rPr>
        <w:t>Recent Controversies:</w:t>
      </w:r>
    </w:p>
    <w:p w14:paraId="676DD523" w14:textId="77777777" w:rsidR="001D090E" w:rsidRPr="001D090E" w:rsidRDefault="001D090E" w:rsidP="001D090E">
      <w:pPr>
        <w:spacing w:after="120" w:line="240" w:lineRule="auto"/>
        <w:rPr>
          <w:rFonts w:ascii="Times New Roman" w:eastAsia="Times New Roman" w:hAnsi="Times New Roman" w:cs="Times New Roman"/>
          <w:sz w:val="24"/>
          <w:szCs w:val="24"/>
        </w:rPr>
      </w:pPr>
      <w:r w:rsidRPr="001D090E">
        <w:rPr>
          <w:rFonts w:ascii="Arial" w:eastAsia="Times New Roman" w:hAnsi="Arial" w:cs="Times New Roman"/>
          <w:color w:val="000000"/>
          <w:sz w:val="20"/>
        </w:rPr>
        <w:t>Select the category below that you feel best describes the severity of the company’s recent controversies: </w:t>
      </w:r>
    </w:p>
    <w:p w14:paraId="7B9693A0" w14:textId="77777777" w:rsidR="001D090E" w:rsidRPr="001D090E" w:rsidRDefault="001D090E" w:rsidP="001D090E">
      <w:pPr>
        <w:spacing w:after="120" w:line="240" w:lineRule="auto"/>
        <w:rPr>
          <w:rFonts w:ascii="Times New Roman" w:eastAsia="Times New Roman" w:hAnsi="Times New Roman" w:cs="Times New Roman"/>
          <w:sz w:val="24"/>
          <w:szCs w:val="24"/>
        </w:rPr>
      </w:pPr>
      <w:r>
        <w:rPr>
          <w:rFonts w:ascii="Arial" w:hAnsi="Arial"/>
          <w:sz w:val="20"/>
        </w:rPr>
        <w:t>Major ☒</w:t>
      </w:r>
    </w:p>
    <w:p w14:paraId="5AAA6140" w14:textId="77777777" w:rsidR="001D090E" w:rsidRPr="001D090E" w:rsidRDefault="001D090E" w:rsidP="001D090E">
      <w:pPr>
        <w:spacing w:after="120" w:line="240" w:lineRule="auto"/>
        <w:rPr>
          <w:rFonts w:ascii="Times New Roman" w:eastAsia="Times New Roman" w:hAnsi="Times New Roman" w:cs="Times New Roman"/>
          <w:sz w:val="24"/>
          <w:szCs w:val="24"/>
        </w:rPr>
      </w:pPr>
      <w:r>
        <w:rPr>
          <w:rFonts w:ascii="Arial" w:hAnsi="Arial"/>
          <w:sz w:val="20"/>
        </w:rPr>
        <w:t>Minor ☐</w:t>
      </w:r>
    </w:p>
    <w:p w14:paraId="5561C577" w14:textId="77777777" w:rsidR="001D090E" w:rsidRPr="001D090E" w:rsidRDefault="001D090E" w:rsidP="001D090E">
      <w:pPr>
        <w:spacing w:after="120" w:line="240" w:lineRule="auto"/>
        <w:rPr>
          <w:rFonts w:ascii="Times New Roman" w:eastAsia="Times New Roman" w:hAnsi="Times New Roman" w:cs="Times New Roman"/>
          <w:sz w:val="24"/>
          <w:szCs w:val="24"/>
        </w:rPr>
      </w:pPr>
      <w:r>
        <w:rPr>
          <w:rFonts w:ascii="Arial" w:hAnsi="Arial"/>
          <w:sz w:val="20"/>
        </w:rPr>
        <w:t>No Controversies ☐</w:t>
      </w:r>
    </w:p>
    <w:p w14:paraId="22E151AE"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i/>
          <w:iCs/>
          <w:color w:val="FF0000"/>
          <w:sz w:val="20"/>
          <w:u w:val="single"/>
        </w:rPr>
        <w:t>Instructions:</w:t>
      </w:r>
      <w:r w:rsidRPr="001D090E">
        <w:rPr>
          <w:rFonts w:ascii="Arial" w:eastAsia="Times New Roman" w:hAnsi="Arial" w:cs="Times New Roman"/>
          <w:i/>
          <w:iCs/>
          <w:color w:val="FF0000"/>
          <w:sz w:val="20"/>
        </w:rPr>
        <w:t> </w:t>
      </w:r>
    </w:p>
    <w:p w14:paraId="390745D2"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i/>
          <w:iCs/>
          <w:color w:val="FF0000"/>
          <w:sz w:val="20"/>
        </w:rPr>
        <w:t>State and evaluate controversies found in the last three years. Where? When? What happened? If resolved, how?</w:t>
      </w:r>
    </w:p>
    <w:tbl>
      <w:tblPr>
        <w:tblW w:w="13462" w:type="dxa"/>
        <w:jc w:val="center"/>
        <w:tblCellMar>
          <w:top w:w="15" w:type="dxa"/>
          <w:left w:w="15" w:type="dxa"/>
          <w:bottom w:w="15" w:type="dxa"/>
          <w:right w:w="15" w:type="dxa"/>
        </w:tblCellMar>
        <w:tblLook w:val="04A0" w:firstRow="1" w:lastRow="0" w:firstColumn="1" w:lastColumn="0" w:noHBand="0" w:noVBand="1"/>
      </w:tblPr>
      <w:tblGrid>
        <w:gridCol w:w="13462"/>
      </w:tblGrid>
      <w:tr w:rsidR="001D090E" w:rsidRPr="001D090E" w14:paraId="2C852B9A" w14:textId="77777777" w:rsidTr="001D090E">
        <w:trPr>
          <w:trHeight w:val="1621"/>
        </w:trPr>
        <w:tc>
          <w:tcPr>
            <w:tcW w:w="13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0E594F" w14:textId="77777777" w:rsidR="001D090E" w:rsidRPr="001D090E" w:rsidRDefault="001D090E" w:rsidP="001D090E">
            <w:pPr>
              <w:spacing w:line="240" w:lineRule="auto"/>
              <w:rPr>
                <w:rFonts w:ascii="Times New Roman" w:eastAsia="Times New Roman" w:hAnsi="Times New Roman" w:cs="Times New Roman"/>
                <w:sz w:val="24"/>
                <w:szCs w:val="24"/>
              </w:rPr>
            </w:pPr>
          </w:p>
        </w:tc>
      </w:tr>
    </w:tbl>
    <w:p w14:paraId="0BE68F1C" w14:textId="77777777" w:rsidR="001D090E" w:rsidRPr="001D090E" w:rsidRDefault="001D090E" w:rsidP="001D090E">
      <w:pPr>
        <w:spacing w:after="240" w:line="240" w:lineRule="auto"/>
        <w:rPr>
          <w:rFonts w:ascii="Times New Roman" w:eastAsia="Times New Roman" w:hAnsi="Times New Roman" w:cs="Times New Roman"/>
          <w:sz w:val="24"/>
          <w:szCs w:val="24"/>
        </w:rPr>
      </w:pPr>
      <w:r>
        <w:rPr>
          <w:rFonts w:ascii="Arial" w:hAnsi="Arial"/>
          <w:sz w:val="20"/>
        </w:rPr>
        <w:t>Controversy assessment: Major. The main controversy described in the 2021 report concerns an external investigation in 2018. The investigation linked Palm Ventures’ operations in Riau to the destruction of about 26,000 hectares of rainforest and peatland over the five years after its earlier no-deforestation commitment. Four executives stepped down shortly after the report was published. Palm Ventures later committed to restore 50,000 hectares in Riau, with 5,000 hectares restored by 2021 and restoration areas publicly mapped. The company also reported allegations that it bought palm oil from mills linked to destructive practices between 2010 and 2015 and rejected claims that it used ‘shadow companies’. It committed to improving traceability and stopping purchases from suppliers that breach its policies. The available case materials do not establish a new Palm Ventures controversy within the most recent three-year period. However, the historical controversy remains material because the 2021 evidence still showed gaps in supplier deforestation monitoring and transparency. I therefore consider the historical controversy major and not fully resolved.</w:t>
      </w:r>
    </w:p>
    <w:p w14:paraId="270CE8AF" w14:textId="77777777" w:rsidR="001D090E" w:rsidRPr="001D090E" w:rsidRDefault="001D090E" w:rsidP="001D090E">
      <w:pPr>
        <w:spacing w:after="120" w:line="240" w:lineRule="auto"/>
        <w:rPr>
          <w:rFonts w:ascii="Times New Roman" w:eastAsia="Times New Roman" w:hAnsi="Times New Roman" w:cs="Times New Roman"/>
          <w:sz w:val="24"/>
          <w:szCs w:val="24"/>
        </w:rPr>
      </w:pPr>
      <w:r w:rsidRPr="001D090E">
        <w:rPr>
          <w:rFonts w:ascii="Arial" w:eastAsia="Times New Roman" w:hAnsi="Arial" w:cs="Times New Roman"/>
          <w:b/>
          <w:bCs/>
          <w:color w:val="000000"/>
          <w:sz w:val="20"/>
        </w:rPr>
        <w:t>Recommendation on a potential client</w:t>
      </w:r>
      <w:r w:rsidRPr="001D090E">
        <w:rPr>
          <w:rFonts w:eastAsia="Times New Roman" w:ascii="Arial" w:hAnsi="Arial"/>
          <w:color w:val="000000"/>
          <w:sz w:val="20"/>
        </w:rPr>
        <w:t xml:space="preserve">: </w:t>
      </w:r>
      <w:r w:rsidRPr="001D090E">
        <w:rPr>
          <w:rFonts w:eastAsia="Times New Roman" w:ascii="Arial" w:hAnsi="Arial"/>
          <w:color w:val="000000"/>
          <w:sz w:val="20"/>
        </w:rPr>
        <w:br/>
        <w:t xml:space="preserve">Recommend </w:t>
      </w:r>
      <w:r w:rsidRPr="001D090E">
        <w:rPr>
          <w:rFonts w:ascii="Arial" w:eastAsia="Times New Roman" w:hAnsi="Arial" w:cs="Segoe UI Symbol"/>
          <w:color w:val="000000"/>
          <w:sz w:val="20"/>
        </w:rPr>
        <w:t>☐</w:t>
      </w:r>
      <w:r w:rsidRPr="001D090E">
        <w:rPr>
          <w:rFonts w:eastAsia="Times New Roman" w:ascii="Arial" w:hAnsi="Arial"/>
          <w:color w:val="000000"/>
          <w:sz w:val="20"/>
        </w:rPr>
        <w:br/>
        <w:t xml:space="preserve">Recommend with Action Plans </w:t>
      </w:r>
      <w:r w:rsidRPr="001D090E">
        <w:rPr>
          <w:rFonts w:ascii="Arial" w:eastAsia="Times New Roman" w:hAnsi="Arial" w:cs="Times New Roman"/>
          <w:i/>
          <w:iCs/>
          <w:color w:val="FF0000"/>
          <w:sz w:val="20"/>
        </w:rPr>
        <w:t>[complete below]</w:t>
      </w:r>
      <w:r w:rsidRPr="001D090E">
        <w:rPr>
          <w:rFonts w:eastAsia="Times New Roman" w:ascii="Arial" w:hAnsi="Arial"/>
          <w:color w:val="000000"/>
          <w:sz w:val="20"/>
        </w:rPr>
        <w:t xml:space="preserve"> </w:t>
      </w:r>
      <w:r w:rsidRPr="001D090E">
        <w:rPr>
          <w:rFonts w:ascii="Arial" w:eastAsia="Times New Roman" w:hAnsi="Arial" w:cs="Segoe UI Symbol"/>
          <w:color w:val="000000"/>
          <w:sz w:val="20"/>
        </w:rPr>
        <w:t>☐</w:t>
      </w:r>
      <w:r w:rsidRPr="001D090E">
        <w:rPr>
          <w:rFonts w:eastAsia="Times New Roman" w:ascii="Arial" w:hAnsi="Arial"/>
          <w:color w:val="000000"/>
          <w:sz w:val="20"/>
        </w:rPr>
        <w:br/>
        <w:t xml:space="preserve">Not Recommend </w:t>
      </w:r>
      <w:r w:rsidRPr="001D090E">
        <w:rPr>
          <w:rFonts w:ascii="Arial" w:eastAsia="Times New Roman" w:hAnsi="Arial" w:cs="Segoe UI Symbol"/>
          <w:color w:val="000000"/>
          <w:sz w:val="20"/>
        </w:rPr>
        <w:t>☐</w:t>
      </w:r>
    </w:p>
    <w:p w14:paraId="35474E4D" w14:textId="77777777" w:rsidR="001D090E" w:rsidRPr="001D090E" w:rsidRDefault="001D090E" w:rsidP="001D090E">
      <w:pPr>
        <w:spacing w:line="240" w:lineRule="auto"/>
        <w:rPr>
          <w:rFonts w:ascii="Times New Roman" w:eastAsia="Times New Roman" w:hAnsi="Times New Roman" w:cs="Times New Roman"/>
          <w:sz w:val="24"/>
          <w:szCs w:val="24"/>
        </w:rPr>
      </w:pPr>
    </w:p>
    <w:p w14:paraId="0B93B9D1" w14:textId="77777777" w:rsidR="001D090E" w:rsidRPr="001D090E" w:rsidRDefault="001D090E" w:rsidP="001D090E">
      <w:pPr>
        <w:spacing w:after="120" w:line="240" w:lineRule="auto"/>
        <w:rPr>
          <w:rFonts w:ascii="Times New Roman" w:eastAsia="Times New Roman" w:hAnsi="Times New Roman" w:cs="Times New Roman"/>
          <w:sz w:val="24"/>
          <w:szCs w:val="24"/>
        </w:rPr>
      </w:pPr>
      <w:r w:rsidRPr="001D090E">
        <w:rPr>
          <w:rFonts w:ascii="Arial" w:eastAsia="Times New Roman" w:hAnsi="Arial" w:cs="Times New Roman"/>
          <w:b/>
          <w:bCs/>
          <w:color w:val="000000"/>
          <w:sz w:val="20"/>
        </w:rPr>
        <w:t>Action Plans:</w:t>
      </w:r>
    </w:p>
    <w:p w14:paraId="3D4C323C" w14:textId="77777777" w:rsidR="001D090E" w:rsidRPr="001D090E" w:rsidRDefault="001D090E" w:rsidP="001D090E">
      <w:pPr>
        <w:spacing w:after="120" w:line="240" w:lineRule="auto"/>
        <w:rPr>
          <w:rFonts w:ascii="Times New Roman" w:eastAsia="Times New Roman" w:hAnsi="Times New Roman" w:cs="Times New Roman"/>
          <w:sz w:val="24"/>
          <w:szCs w:val="24"/>
        </w:rPr>
      </w:pPr>
      <w:r w:rsidRPr="001D090E">
        <w:rPr>
          <w:rFonts w:ascii="Arial" w:eastAsia="Times New Roman" w:hAnsi="Arial" w:cs="Times New Roman"/>
          <w:i/>
          <w:iCs/>
          <w:color w:val="FF0000"/>
          <w:sz w:val="20"/>
          <w:u w:val="single"/>
        </w:rPr>
        <w:t>Instructions:</w:t>
      </w:r>
      <w:r w:rsidRPr="001D090E">
        <w:rPr>
          <w:rFonts w:ascii="Arial" w:eastAsia="Times New Roman" w:hAnsi="Arial" w:cs="Times New Roman"/>
          <w:i/>
          <w:iCs/>
          <w:color w:val="FF0000"/>
          <w:sz w:val="20"/>
        </w:rPr>
        <w:t> </w:t>
      </w:r>
    </w:p>
    <w:p w14:paraId="2F300130" w14:textId="77777777" w:rsidR="001D090E" w:rsidRPr="001D090E" w:rsidRDefault="001D090E" w:rsidP="001D090E">
      <w:pPr>
        <w:spacing w:after="120" w:line="240" w:lineRule="auto"/>
        <w:rPr>
          <w:rFonts w:ascii="Times New Roman" w:eastAsia="Times New Roman" w:hAnsi="Times New Roman" w:cs="Times New Roman"/>
          <w:sz w:val="24"/>
          <w:szCs w:val="24"/>
        </w:rPr>
      </w:pPr>
      <w:r w:rsidRPr="001D090E">
        <w:rPr>
          <w:rFonts w:ascii="Arial" w:eastAsia="Times New Roman" w:hAnsi="Arial" w:cs="Times New Roman"/>
          <w:i/>
          <w:iCs/>
          <w:color w:val="FF0000"/>
          <w:sz w:val="20"/>
        </w:rPr>
        <w:t>If ‘Recommended with Action Plans’ was selected as the recommendation above, what actions should the client promise to take to adequately mitigate the ESG risks identified.</w:t>
      </w:r>
    </w:p>
    <w:tbl>
      <w:tblPr>
        <w:tblW w:w="13320" w:type="dxa"/>
        <w:jc w:val="center"/>
        <w:tblCellMar>
          <w:top w:w="15" w:type="dxa"/>
          <w:left w:w="15" w:type="dxa"/>
          <w:bottom w:w="15" w:type="dxa"/>
          <w:right w:w="15" w:type="dxa"/>
        </w:tblCellMar>
        <w:tblLook w:val="04A0" w:firstRow="1" w:lastRow="0" w:firstColumn="1" w:lastColumn="0" w:noHBand="0" w:noVBand="1"/>
      </w:tblPr>
      <w:tblGrid>
        <w:gridCol w:w="13320"/>
      </w:tblGrid>
      <w:tr w:rsidR="001D090E" w:rsidRPr="001D090E" w14:paraId="25B1B183" w14:textId="77777777" w:rsidTr="001D090E">
        <w:trPr>
          <w:trHeight w:val="2188"/>
        </w:trPr>
        <w:tc>
          <w:tcPr>
            <w:tcW w:w="13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AA5CA9" w14:textId="77777777" w:rsidR="001D090E" w:rsidRPr="001D090E" w:rsidRDefault="001D090E" w:rsidP="001D090E">
            <w:pPr>
              <w:spacing w:after="240" w:line="240" w:lineRule="auto"/>
              <w:rPr>
                <w:rFonts w:ascii="Times New Roman" w:eastAsia="Times New Roman" w:hAnsi="Times New Roman" w:cs="Times New Roman"/>
                <w:sz w:val="24"/>
                <w:szCs w:val="24"/>
              </w:rPr>
            </w:pPr>
          </w:p>
        </w:tc>
      </w:tr>
    </w:tbl>
    <w:p w14:paraId="2CF3BA92" w14:textId="77777777" w:rsidR="001D090E" w:rsidRPr="001D090E" w:rsidRDefault="001D090E" w:rsidP="001D090E">
      <w:pPr>
        <w:spacing w:after="240" w:line="240" w:lineRule="auto"/>
        <w:rPr>
          <w:rFonts w:ascii="Times New Roman" w:eastAsia="Times New Roman" w:hAnsi="Times New Roman" w:cs="Times New Roman"/>
          <w:sz w:val="24"/>
          <w:szCs w:val="24"/>
        </w:rPr>
      </w:pPr>
      <w:r>
        <w:rPr>
          <w:rFonts w:ascii="Arial" w:hAnsi="Arial"/>
          <w:sz w:val="20"/>
        </w:rPr>
        <w:t>1. Improve supply-chain traceability so Palm Ventures can identify the mills, plantations and suppliers connected to its purchases.</w:t>
        <w:br/>
        <w:t>2. Extend NDPE monitoring to supplier operations and establish clear procedures for investigating and responding to breaches.</w:t>
        <w:br/>
        <w:t>3. Set clear, time-bound milestones for the 50,000-hectare restoration commitment and use independent verification to confirm progress.</w:t>
        <w:br/>
        <w:t>4. Strengthen human-rights due diligence across the supply chain, including wider supplier training, monitoring and accessible grievance mechanisms.</w:t>
        <w:br/>
        <w:t>5. Develop a time-bound pathway towards 100% applicable RSPO certification and report progress annually.</w:t>
        <w:br/>
        <w:t>6. Improve ESG reporting by using a recognised reporting framework and consider independent assurance of material sustainability information.</w:t>
      </w:r>
    </w:p>
    <w:p w14:paraId="1D492D8F"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Pr>
          <w:rFonts w:ascii="Arial" w:hAnsi="Arial"/>
          <w:sz w:val="20"/>
        </w:rPr>
        <w:t>Completed by: Sustainability Analyst</w:t>
      </w:r>
    </w:p>
    <w:p w14:paraId="1B659B79" w14:textId="77777777" w:rsidR="001D090E" w:rsidRPr="001D090E" w:rsidRDefault="001D090E" w:rsidP="001D090E">
      <w:pPr>
        <w:spacing w:after="240" w:line="240" w:lineRule="auto"/>
        <w:rPr>
          <w:rFonts w:ascii="Times New Roman" w:eastAsia="Times New Roman" w:hAnsi="Times New Roman" w:cs="Times New Roman"/>
          <w:sz w:val="24"/>
          <w:szCs w:val="24"/>
        </w:rPr>
      </w:pPr>
    </w:p>
    <w:p w14:paraId="240A203D"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sidRPr="001D090E">
        <w:rPr>
          <w:rFonts w:ascii="Arial" w:eastAsia="Times New Roman" w:hAnsi="Arial" w:cs="Times New Roman"/>
          <w:color w:val="000000"/>
          <w:sz w:val="20"/>
        </w:rPr>
        <w:tab/>
      </w:r>
      <w:r w:rsidRPr="001D090E">
        <w:rPr>
          <w:rFonts w:ascii="Arial" w:eastAsia="Times New Roman" w:hAnsi="Arial" w:cs="Times New Roman"/>
          <w:color w:val="000000"/>
          <w:sz w:val="20"/>
        </w:rPr>
        <w:tab/>
      </w:r>
      <w:r w:rsidRPr="001D090E">
        <w:rPr>
          <w:rFonts w:ascii="Arial" w:eastAsia="Times New Roman" w:hAnsi="Arial" w:cs="Times New Roman"/>
          <w:color w:val="000000"/>
          <w:sz w:val="20"/>
        </w:rPr>
        <w:tab/>
      </w:r>
      <w:r w:rsidRPr="001D090E">
        <w:rPr>
          <w:rFonts w:ascii="Arial" w:eastAsia="Times New Roman" w:hAnsi="Arial" w:cs="Times New Roman"/>
          <w:color w:val="000000"/>
          <w:sz w:val="20"/>
        </w:rPr>
        <w:tab/>
      </w:r>
      <w:r w:rsidRPr="001D090E">
        <w:rPr>
          <w:rFonts w:ascii="Arial" w:eastAsia="Times New Roman" w:hAnsi="Arial" w:cs="Times New Roman"/>
          <w:color w:val="000000"/>
          <w:sz w:val="20"/>
        </w:rPr>
        <w:tab/>
      </w:r>
      <w:r w:rsidRPr="001D090E">
        <w:rPr>
          <w:rFonts w:ascii="Arial" w:eastAsia="Times New Roman" w:hAnsi="Arial" w:cs="Times New Roman"/>
          <w:color w:val="000000"/>
          <w:sz w:val="20"/>
        </w:rPr>
        <w:tab/>
        <w:t>            </w:t>
      </w:r>
    </w:p>
    <w:p w14:paraId="33838F3D"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Pr>
          <w:rFonts w:ascii="Arial" w:hAnsi="Arial"/>
          <w:sz w:val="20"/>
        </w:rPr>
        <w:t>Full Name: Adepeju Nusirat Babalola</w:t>
      </w:r>
    </w:p>
    <w:p w14:paraId="591AF126" w14:textId="77777777" w:rsidR="001D090E" w:rsidRPr="001D090E" w:rsidRDefault="001D090E" w:rsidP="001D090E">
      <w:pPr>
        <w:spacing w:after="120" w:line="240" w:lineRule="auto"/>
        <w:jc w:val="both"/>
        <w:rPr>
          <w:rFonts w:ascii="Times New Roman" w:eastAsia="Times New Roman" w:hAnsi="Times New Roman" w:cs="Times New Roman"/>
          <w:sz w:val="24"/>
          <w:szCs w:val="24"/>
        </w:rPr>
      </w:pPr>
      <w:r>
        <w:rPr>
          <w:rFonts w:ascii="Arial" w:hAnsi="Arial"/>
          <w:sz w:val="20"/>
        </w:rPr>
        <w:t>Date: 7 September 2026</w:t>
      </w:r>
    </w:p>
    <w:p w14:paraId="79A21E69" w14:textId="77777777" w:rsidR="001D090E" w:rsidRPr="001D090E" w:rsidRDefault="001D090E" w:rsidP="001D090E">
      <w:pPr>
        <w:spacing w:line="240" w:lineRule="auto"/>
        <w:rPr>
          <w:rFonts w:ascii="Times New Roman" w:eastAsia="Times New Roman" w:hAnsi="Times New Roman" w:cs="Times New Roman"/>
          <w:sz w:val="24"/>
          <w:szCs w:val="24"/>
        </w:rPr>
      </w:pPr>
    </w:p>
    <w:p w14:paraId="0EE7BCC0" w14:textId="2DB3DBD8" w:rsidR="005366CA" w:rsidRDefault="005366CA" w:rsidP="001D090E">
      <w:pPr>
        <w:spacing w:after="120"/>
        <w:jc w:val="both"/>
      </w:pPr>
    </w:p>
    <w:sectPr w:rsidR="005366CA">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6CA"/>
    <w:rsid w:val="001D090E"/>
    <w:rsid w:val="001F24B8"/>
    <w:rsid w:val="005366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FCAAB7"/>
  <w15:docId w15:val="{B851EFFE-B57A-934B-A8CC-A183AC98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1D09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D0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77022">
      <w:bodyDiv w:val="1"/>
      <w:marLeft w:val="0"/>
      <w:marRight w:val="0"/>
      <w:marTop w:val="0"/>
      <w:marBottom w:val="0"/>
      <w:divBdr>
        <w:top w:val="none" w:sz="0" w:space="0" w:color="auto"/>
        <w:left w:val="none" w:sz="0" w:space="0" w:color="auto"/>
        <w:bottom w:val="none" w:sz="0" w:space="0" w:color="auto"/>
        <w:right w:val="none" w:sz="0" w:space="0" w:color="auto"/>
      </w:divBdr>
      <w:divsChild>
        <w:div w:id="1777825230">
          <w:marLeft w:val="5"/>
          <w:marRight w:val="0"/>
          <w:marTop w:val="0"/>
          <w:marBottom w:val="0"/>
          <w:divBdr>
            <w:top w:val="none" w:sz="0" w:space="0" w:color="auto"/>
            <w:left w:val="none" w:sz="0" w:space="0" w:color="auto"/>
            <w:bottom w:val="none" w:sz="0" w:space="0" w:color="auto"/>
            <w:right w:val="none" w:sz="0" w:space="0" w:color="auto"/>
          </w:divBdr>
        </w:div>
        <w:div w:id="466820109">
          <w:marLeft w:val="-10"/>
          <w:marRight w:val="0"/>
          <w:marTop w:val="0"/>
          <w:marBottom w:val="0"/>
          <w:divBdr>
            <w:top w:val="none" w:sz="0" w:space="0" w:color="auto"/>
            <w:left w:val="none" w:sz="0" w:space="0" w:color="auto"/>
            <w:bottom w:val="none" w:sz="0" w:space="0" w:color="auto"/>
            <w:right w:val="none" w:sz="0" w:space="0" w:color="auto"/>
          </w:divBdr>
        </w:div>
        <w:div w:id="2035228321">
          <w:marLeft w:val="3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6AB334-733E-F146-8C7B-88078CF5D92B}">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3</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Tammy Tran</cp:lastModifiedBy>
  <cp:revision>3</cp:revision>
  <dcterms:created xsi:type="dcterms:W3CDTF">2022-02-07T21:05:00Z</dcterms:created>
  <dcterms:modified xsi:type="dcterms:W3CDTF">2022-03-28T13:05:00Z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documentId_3740</vt:lpwstr>
  </property>
  <property fmtid="{D5CDD505-2E9C-101B-9397-08002B2CF9AE}" pid="3" name="grammarly_documentContext">
    <vt:lpwstr>{"goals":[],"domain":"general","emotions":[],"dialect":"australian"}</vt:lpwstr>
  </property>
</Properties>
</file>