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563B0" w14:textId="77777777" w:rsidR="004D30F4" w:rsidRPr="00DB439A" w:rsidRDefault="00000000" w:rsidP="007B0C4F">
      <w:pPr>
        <w:pStyle w:val="Title"/>
        <w:jc w:val="center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PHP2SHELL</w:t>
      </w:r>
    </w:p>
    <w:p w14:paraId="2EEE2A7C" w14:textId="77777777" w:rsidR="004D30F4" w:rsidRPr="00DB439A" w:rsidRDefault="00000000" w:rsidP="007B0C4F">
      <w:pPr>
        <w:pStyle w:val="Subtitle"/>
        <w:jc w:val="center"/>
        <w:rPr>
          <w:rFonts w:ascii="Times New Roman" w:hAnsi="Times New Roman" w:cs="Times New Roman"/>
          <w:sz w:val="56"/>
          <w:szCs w:val="56"/>
        </w:rPr>
      </w:pPr>
      <w:r w:rsidRPr="00DB439A">
        <w:rPr>
          <w:rFonts w:ascii="Times New Roman" w:hAnsi="Times New Roman" w:cs="Times New Roman"/>
          <w:sz w:val="56"/>
          <w:szCs w:val="56"/>
        </w:rPr>
        <w:t>Independent Assurance for AI-Assisted Vulnerability Triage</w:t>
      </w:r>
    </w:p>
    <w:p w14:paraId="23E7FD2E" w14:textId="77777777" w:rsidR="00DB439A" w:rsidRDefault="00DB439A" w:rsidP="007B0C4F">
      <w:pPr>
        <w:jc w:val="center"/>
        <w:rPr>
          <w:rFonts w:ascii="Times New Roman" w:hAnsi="Times New Roman" w:cs="Times New Roman"/>
        </w:rPr>
      </w:pPr>
    </w:p>
    <w:p w14:paraId="01E09ED5" w14:textId="569BE44C" w:rsidR="004D30F4" w:rsidRPr="00DB439A" w:rsidRDefault="00000000" w:rsidP="007B0C4F">
      <w:pPr>
        <w:jc w:val="center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 xml:space="preserve">TECHNICAL WHITE </w:t>
      </w:r>
      <w:r w:rsidR="00DB439A" w:rsidRPr="00DB439A">
        <w:rPr>
          <w:rFonts w:ascii="Times New Roman" w:hAnsi="Times New Roman" w:cs="Times New Roman"/>
        </w:rPr>
        <w:t xml:space="preserve">PAPER </w:t>
      </w:r>
      <w:r w:rsidR="00464095" w:rsidRPr="00DB439A">
        <w:rPr>
          <w:rFonts w:ascii="Times New Roman" w:hAnsi="Times New Roman" w:cs="Times New Roman"/>
        </w:rPr>
        <w:t>| CASE</w:t>
      </w:r>
      <w:r w:rsidRPr="00DB439A">
        <w:rPr>
          <w:rFonts w:ascii="Times New Roman" w:hAnsi="Times New Roman" w:cs="Times New Roman"/>
        </w:rPr>
        <w:t xml:space="preserve"> STUDY 002 </w:t>
      </w:r>
      <w:proofErr w:type="gramStart"/>
      <w:r w:rsidRPr="00DB439A">
        <w:rPr>
          <w:rFonts w:ascii="Times New Roman" w:hAnsi="Times New Roman" w:cs="Times New Roman"/>
        </w:rPr>
        <w:t>|  PUBLIC</w:t>
      </w:r>
      <w:proofErr w:type="gramEnd"/>
      <w:r w:rsidRPr="00DB439A">
        <w:rPr>
          <w:rFonts w:ascii="Times New Roman" w:hAnsi="Times New Roman" w:cs="Times New Roman"/>
        </w:rPr>
        <w:t xml:space="preserve"> RESEARCH </w:t>
      </w:r>
      <w:r w:rsidR="00DB439A" w:rsidRPr="00DB439A">
        <w:rPr>
          <w:rFonts w:ascii="Times New Roman" w:hAnsi="Times New Roman" w:cs="Times New Roman"/>
        </w:rPr>
        <w:t xml:space="preserve">EDITION </w:t>
      </w:r>
      <w:proofErr w:type="gramStart"/>
      <w:r w:rsidR="00DB439A" w:rsidRPr="00DB439A">
        <w:rPr>
          <w:rFonts w:ascii="Times New Roman" w:hAnsi="Times New Roman" w:cs="Times New Roman"/>
        </w:rPr>
        <w:t>|</w:t>
      </w:r>
      <w:r w:rsidRPr="00DB439A">
        <w:rPr>
          <w:rFonts w:ascii="Times New Roman" w:hAnsi="Times New Roman" w:cs="Times New Roman"/>
        </w:rPr>
        <w:t xml:space="preserve">  23</w:t>
      </w:r>
      <w:proofErr w:type="gramEnd"/>
      <w:r w:rsidRPr="00DB439A">
        <w:rPr>
          <w:rFonts w:ascii="Times New Roman" w:hAnsi="Times New Roman" w:cs="Times New Roman"/>
        </w:rPr>
        <w:t xml:space="preserve"> OCTOBER 2026</w:t>
      </w:r>
    </w:p>
    <w:p w14:paraId="213A054E" w14:textId="023EA943" w:rsidR="004D30F4" w:rsidRPr="00DB439A" w:rsidRDefault="00000000" w:rsidP="00DB439A">
      <w:pPr>
        <w:jc w:val="center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OpenVals — Engineering AI Trust. Measuring Enterprise Value.</w:t>
      </w:r>
      <w:r w:rsidRPr="00DB439A">
        <w:rPr>
          <w:rFonts w:ascii="Times New Roman" w:hAnsi="Times New Roman" w:cs="Times New Roman"/>
        </w:rPr>
        <w:br/>
        <w:t>RedShield — Proposed defensive security validation companion.</w:t>
      </w:r>
      <w:r w:rsidRPr="00DB439A">
        <w:rPr>
          <w:rFonts w:ascii="Times New Roman" w:hAnsi="Times New Roman" w:cs="Times New Roman"/>
        </w:rPr>
        <w:br/>
        <w:t>Author: Vishwanath Akuthota</w:t>
      </w:r>
      <w:r w:rsidR="00DB439A">
        <w:rPr>
          <w:rFonts w:ascii="Times New Roman" w:hAnsi="Times New Roman" w:cs="Times New Roman"/>
        </w:rPr>
        <w:t xml:space="preserve"> --- </w:t>
      </w:r>
      <w:r w:rsidRPr="00DB439A">
        <w:rPr>
          <w:rFonts w:ascii="Times New Roman" w:hAnsi="Times New Roman" w:cs="Times New Roman"/>
        </w:rPr>
        <w:t xml:space="preserve">Founder of </w:t>
      </w:r>
      <w:proofErr w:type="spellStart"/>
      <w:proofErr w:type="gramStart"/>
      <w:r w:rsidRPr="00DB439A">
        <w:rPr>
          <w:rFonts w:ascii="Times New Roman" w:hAnsi="Times New Roman" w:cs="Times New Roman"/>
        </w:rPr>
        <w:t>Dr</w:t>
      </w:r>
      <w:r w:rsidR="00464095">
        <w:rPr>
          <w:rFonts w:ascii="Times New Roman" w:hAnsi="Times New Roman" w:cs="Times New Roman"/>
        </w:rPr>
        <w:t>.</w:t>
      </w:r>
      <w:r w:rsidRPr="00DB439A">
        <w:rPr>
          <w:rFonts w:ascii="Times New Roman" w:hAnsi="Times New Roman" w:cs="Times New Roman"/>
        </w:rPr>
        <w:t>Pinnacle</w:t>
      </w:r>
      <w:proofErr w:type="spellEnd"/>
      <w:proofErr w:type="gramEnd"/>
      <w:r w:rsidR="00464095">
        <w:rPr>
          <w:rFonts w:ascii="Times New Roman" w:hAnsi="Times New Roman" w:cs="Times New Roman"/>
        </w:rPr>
        <w:t xml:space="preserve">, </w:t>
      </w:r>
      <w:proofErr w:type="spellStart"/>
      <w:r w:rsidRPr="00DB439A">
        <w:rPr>
          <w:rFonts w:ascii="Times New Roman" w:hAnsi="Times New Roman" w:cs="Times New Roman"/>
        </w:rPr>
        <w:t>OpenVals</w:t>
      </w:r>
      <w:proofErr w:type="spellEnd"/>
      <w:r w:rsidRPr="00DB439A">
        <w:rPr>
          <w:rFonts w:ascii="Times New Roman" w:hAnsi="Times New Roman" w:cs="Times New Roman"/>
        </w:rPr>
        <w:t xml:space="preserve"> and The Foundry’s.</w:t>
      </w:r>
    </w:p>
    <w:p w14:paraId="647CFB5F" w14:textId="5F83D045" w:rsidR="007B0C4F" w:rsidRDefault="00464095">
      <w:pPr>
        <w:pStyle w:val="Heading1"/>
        <w:rPr>
          <w:rFonts w:ascii="Times New Roman" w:hAnsi="Times New Roman" w:cs="Times New Roman"/>
        </w:rPr>
      </w:pPr>
      <w:r w:rsidRPr="00464095">
        <w:rPr>
          <w:rFonts w:ascii="Times New Roman" w:hAnsi="Times New Roman" w:cs="Times New Roman"/>
        </w:rPr>
        <w:drawing>
          <wp:inline distT="0" distB="0" distL="0" distR="0" wp14:anchorId="5ED9D7FB" wp14:editId="32A47CA8">
            <wp:extent cx="5486400" cy="4434840"/>
            <wp:effectExtent l="0" t="0" r="0" b="0"/>
            <wp:docPr id="20467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36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84" cy="445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8A05" w14:textId="5991A65C" w:rsidR="00DB439A" w:rsidRDefault="00DB439A" w:rsidP="00DB439A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 xml:space="preserve">RESEARCH INTEGRITY NOTICE: Public incident facts and a synthetic deterministic rules benchmark are documented. No </w:t>
      </w:r>
      <w:proofErr w:type="spellStart"/>
      <w:r w:rsidRPr="00DB439A">
        <w:rPr>
          <w:rFonts w:ascii="Times New Roman" w:hAnsi="Times New Roman" w:cs="Times New Roman"/>
        </w:rPr>
        <w:t>OpenVals</w:t>
      </w:r>
      <w:proofErr w:type="spellEnd"/>
      <w:r w:rsidRPr="00DB439A">
        <w:rPr>
          <w:rFonts w:ascii="Times New Roman" w:hAnsi="Times New Roman" w:cs="Times New Roman"/>
        </w:rPr>
        <w:t>/RedShield product performance, live exploit testing, or AI-model benchmark results are asserted.</w:t>
      </w:r>
    </w:p>
    <w:p w14:paraId="3E039E2C" w14:textId="10B5EB84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lastRenderedPageBreak/>
        <w:t>Executive abstract</w:t>
      </w:r>
    </w:p>
    <w:p w14:paraId="2BD7C565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PHP2Shell denotes two critical vulnerabilities in PHP request handling disclosed on 21 October 2026: CVE-2026-109618 (out-of-memory cleanup corruption) and CVE-2026-109619 (stale request-owned global state). Under vulnerable conditions, unauthenticated remote code execution may be possible. The PHP project released fixes in PHP 8.2.35, 8.3.36, 8.4.27 and 8.5.12. [1–4]</w:t>
      </w:r>
    </w:p>
    <w:p w14:paraId="0FBC6B24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This white paper addresses a separate but consequential question: how should enterprises independently validate AI-generated vulnerability findings, triage decisions, and remediation advice? We distinguish public incident facts, a previously executed synthetic rules benchmark, and a proposed OpenVals × RedShield assurance design. No live exploitation, AI evaluation, or OpenVals/RedShield product execution is claimed.</w:t>
      </w:r>
    </w:p>
    <w:p w14:paraId="4A670770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1 | Incident anatomy and scope</w:t>
      </w:r>
    </w:p>
    <w:p w14:paraId="6D9538D7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The defects arise within PHP runtime internals rather than a particular application plugin. Exposure spans PHP installations serving HTTP requests, including mod_php and PHP-FPM. The PHP project reports particularly severe pre-application-code exposure in a demonstrated mod_php path. The precise exploitability of a given deployment depends on its runtime, configuration, and environment. [1–4]</w:t>
      </w:r>
    </w:p>
    <w:p w14:paraId="10B27231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CVE-2026-109618: an out-of-memory interruption may leave internal request structures incompletely initialized; later cleanup can act on invalid state. CVE-2026-109619: request-owned state may remain referenced after underlying memory is freed; a later request handled by the same worker can encounter stale state. These are high-level mechanisms, not exploit instructions. [1–3]</w:t>
      </w:r>
    </w:p>
    <w:p w14:paraId="28D36C70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drawing>
          <wp:inline distT="0" distB="0" distL="0" distR="0" wp14:anchorId="5CB9D659" wp14:editId="60610912">
            <wp:extent cx="5760720" cy="19630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ttack_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C5B9" w14:textId="77777777" w:rsidR="004D30F4" w:rsidRPr="00DB439A" w:rsidRDefault="00000000">
      <w:pPr>
        <w:pStyle w:val="Caption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Figure: 01 Attack Surface</w:t>
      </w:r>
    </w:p>
    <w:p w14:paraId="0FF53D86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2 | Threat model and trust boundaries</w:t>
      </w:r>
    </w:p>
    <w:p w14:paraId="4E46060F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Trust boundary A: internet traffic enters a reverse proxy or web server. Boundary B: PHP parses untrusted request data before or during application dispatch. Boundary C: worker memory and request lifecycle are expected to isolate requests. Boundary D: privileged remediation decisions cross from AI advice into operational action.</w:t>
      </w:r>
    </w:p>
    <w:p w14:paraId="6F63591E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Key defensive assets are application availability, PHP worker integrity, credentials accessible to the service identity, downstream databases, and integrity of remediation records. Relevant failure modes include false-</w:t>
      </w:r>
      <w:r w:rsidRPr="00DB439A">
        <w:rPr>
          <w:rFonts w:ascii="Times New Roman" w:hAnsi="Times New Roman" w:cs="Times New Roman"/>
        </w:rPr>
        <w:lastRenderedPageBreak/>
        <w:t>negative vulnerability classification, unverified backport assertions, unsupported AI recommendations, and premature closure of an incident.</w:t>
      </w:r>
    </w:p>
    <w:p w14:paraId="515ED4C6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3 | Enterprise exposure and patch verification</w:t>
      </w:r>
    </w:p>
    <w:p w14:paraId="3E1599F4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Inventory runtime versions across hosts, containers, appliances, control planes and third-party bundles. Identify the actual PHP binary serving traffic, not merely a CLI version string. Record deployment mode, public exposure, package provenance, security bulletin and effective patched build. [1,4,5]</w:t>
      </w:r>
    </w:p>
    <w:p w14:paraId="5DC0004D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Apply official supported fixes immediately. For older branches, accept a vendor backport only with attributable bulletin, build provenance and installed-package verification. Restart affected PHP workers and confirm the fixed runtime is active. Temporary configuration mitigations should be treated as incomplete risk reduction, not remediation. [1,4,5]</w:t>
      </w:r>
    </w:p>
    <w:p w14:paraId="29D881EF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drawing>
          <wp:inline distT="0" distB="0" distL="0" distR="0" wp14:anchorId="05A5D13B" wp14:editId="4558882B">
            <wp:extent cx="5760720" cy="1963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spons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803E" w14:textId="77777777" w:rsidR="004D30F4" w:rsidRPr="00DB439A" w:rsidRDefault="00000000">
      <w:pPr>
        <w:pStyle w:val="Caption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Figure: 04 Response Workflow</w:t>
      </w:r>
    </w:p>
    <w:p w14:paraId="252DC33C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4 | Proposed OpenVals × RedShield technical design</w:t>
      </w:r>
    </w:p>
    <w:p w14:paraId="67A7A03F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The proposed design separates four functions: (i) source-of-truth asset and advisory ingestion; (ii) AI-generated analysis and remediation proposals; (iii) independent OpenVals evaluation against expert-labelled reference cases; and (iv) authorized RedShield defensive exercises using non-exploit scenarios. Human approval remains mandatory for production changes.</w:t>
      </w:r>
    </w:p>
    <w:p w14:paraId="24BB8DB8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Evidence lineage should include advisory URL and retrieval time, package/build identifier, normalized affected-range rule, model identifier, prompt and rubric version, human reviewer, execution timestamp, and final disposition. The evaluation engine should never infer a backport solely from an optimistic model response.</w:t>
      </w:r>
    </w:p>
    <w:p w14:paraId="4A3896D9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6CBB40" wp14:editId="16587A18">
            <wp:extent cx="5760720" cy="19630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ssuranc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D5D9" w14:textId="77777777" w:rsidR="004D30F4" w:rsidRPr="00DB439A" w:rsidRDefault="00000000">
      <w:pPr>
        <w:pStyle w:val="Caption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Figure: 02 Assurance Architecture</w:t>
      </w:r>
    </w:p>
    <w:p w14:paraId="2CBBEFED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5 | Evaluation research questions and hypotheses</w:t>
      </w:r>
    </w:p>
    <w:p w14:paraId="40F027F2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RQ1: Does evidence-aware classification reduce unnecessary remediation actions compared with version-only triage on independently labelled real-world inventories? RQ2: How often do AI systems fabricate or misinterpret vendor backport evidence? RQ3: Does independent evaluation reduce critical false negatives while preserving manageable analyst workload? RQ4: How robust are judgments under misleading advisory excerpts and ambiguous asset metadata?</w:t>
      </w:r>
    </w:p>
    <w:p w14:paraId="58394861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Pre-register acceptance criteria with a security owner. Suggested guardrails: zero tolerated unreviewed high-severity false negatives in the release gate; explicit abstention on missing evidence; every recommended patch linked to a verifiable vendor bulletin; reproducible decision traces. These are governance proposals, not validated thresholds.</w:t>
      </w:r>
    </w:p>
    <w:p w14:paraId="289A866F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6 | Benchmark design and statistical protocol</w:t>
      </w:r>
    </w:p>
    <w:p w14:paraId="4B2417F5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Build a stratified benchmark across supported PHP branches, unsupported branches, vendor-patched backports, unknown build provenance, internet-facing and internal-only assets, contradictory advisories, and intentionally incomplete records. Obtain labels from at least two independent reviewers and adjudicate disagreements before evaluating model outputs.</w:t>
      </w:r>
    </w:p>
    <w:p w14:paraId="42B7DE5B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Split development, calibration and locked holdout cases by vendor and asset family to reduce leakage. Report confusion matrices, precision, recall, false-negative rate, selective coverage, abstention rate, calibration, time-to-triage and reviewer minutes. Add uncertainty intervals and subgroup results; avoid claiming generalization from small synthetic samples.</w:t>
      </w:r>
    </w:p>
    <w:p w14:paraId="22DA266C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509726" wp14:editId="3DC381FE">
            <wp:extent cx="5760720" cy="1963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aluation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D26" w14:textId="77777777" w:rsidR="004D30F4" w:rsidRPr="00DB439A" w:rsidRDefault="00000000">
      <w:pPr>
        <w:pStyle w:val="Caption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Figure: 03 Evaluation Pipeline</w:t>
      </w:r>
    </w:p>
    <w:p w14:paraId="05653253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7 | Prior offline benchmark: what was actually measured</w:t>
      </w:r>
    </w:p>
    <w:p w14:paraId="164853A0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A previous local reproducible rules benchmark evaluated 240 synthetic PHP inventory scenarios (seed 20261023). Version-only classification produced TP=167, FP=7, FN=0, TN=66, accuracy=97.08%. Evidence-aware deterministic classification produced TP=167, FP=0, FN=0, TN=73, accuracy=100%. These values come from the supplied results.json and can be reproduced from the accompanying benchmark script.</w:t>
      </w:r>
    </w:p>
    <w:p w14:paraId="6FBCE0D0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CRITICAL LIMITATION: synthetic labels were generated with the same backport/version logic as the evidence-aware baseline. Its 100% accuracy is circular consistency, not independent predictive validity. Neither baseline is an LLM, and no PHP exploit, OpenVals SDK, RedShield platform, production telemetry, or enterprise deployment was tested.</w:t>
      </w:r>
    </w:p>
    <w:p w14:paraId="3C09748A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drawing>
          <wp:inline distT="0" distB="0" distL="0" distR="0" wp14:anchorId="105ECA6A" wp14:editId="1F87EF85">
            <wp:extent cx="5760720" cy="22847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ynthetic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980A" w14:textId="77777777" w:rsidR="004D30F4" w:rsidRPr="00DB439A" w:rsidRDefault="00000000">
      <w:pPr>
        <w:pStyle w:val="Caption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Figure: 05 Synthetic Results</w:t>
      </w:r>
    </w:p>
    <w:p w14:paraId="4C6CEC3D" w14:textId="208819DD" w:rsidR="00794ECD" w:rsidRPr="00DB439A" w:rsidRDefault="00794ECD" w:rsidP="00794ECD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54F659" wp14:editId="130F0599">
            <wp:extent cx="5486400" cy="1839595"/>
            <wp:effectExtent l="0" t="0" r="0" b="1905"/>
            <wp:docPr id="17210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8826" name="Picture 17210388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A388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8 | Security and governance controls</w:t>
      </w:r>
    </w:p>
    <w:p w14:paraId="49F76176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Require signed or traceable evidence for vendor patch claims. Enforce least-privilege access to asset inventories, separation of AI recommendation from patch execution, human approval for production changes, immutable evaluation traces and incident-response escalation on suspicious host activity.</w:t>
      </w:r>
    </w:p>
    <w:p w14:paraId="3262C987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Test prompt injection against retrieved advisory text as an untrusted input: the AI must not accept embedded instructions to change its role, conceal uncertainty, or bypass approval. Defensive test cases should use harmless simulated evidence, never live malicious payloads.</w:t>
      </w:r>
    </w:p>
    <w:p w14:paraId="12DA1BD5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9 | Pilot implementation plan</w:t>
      </w:r>
    </w:p>
    <w:p w14:paraId="546A8169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Week 1: select enterprise-approved asset sources, map evidence provenance and recruit expert reviewers. Week 2: curate and adjudicate a holdout benchmark. Week 3: run AI candidates and rule baselines through a versioned evaluation harness. Week 4: review false negatives, conduct authorized tabletop exercises, publish an auditable results appendix and issue a go/no-go recommendation.</w:t>
      </w:r>
    </w:p>
    <w:p w14:paraId="14F37A7B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Exit deliverables: dataset card, rubric, model/prompt manifest, confusion matrix, error taxonomy, subgroup analysis, sample audit traces and a reproducibility manifest. Product performance may be published only after actual product execution and independent label review.</w:t>
      </w:r>
    </w:p>
    <w:p w14:paraId="5BAE7249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10 | Interpretation, limitations and future work</w:t>
      </w:r>
    </w:p>
    <w:p w14:paraId="4E633DCD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This case illustrates why a security finding is not equivalent to a verified remediation decision. A model can correctly identify a CVE yet incorrectly judge an enterprise host because package backports, deployment modes and provenance matter. Independent evaluation should therefore measure decision correctness and evidence quality, not just fluent vulnerability summaries.</w:t>
      </w:r>
    </w:p>
    <w:p w14:paraId="5046AECC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Current limitations: only a synthetic rules exercise is available; public threat intelligence is rapidly evolving; no measured effect on exploit prevention, incident containment, enterprise ROI or AI model reliability can be inferred. Future work should include independent real inventory cases, diverse AI models, prospective shadow-mode trials and controlled expert adjudication.</w:t>
      </w:r>
    </w:p>
    <w:p w14:paraId="42ACB355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lastRenderedPageBreak/>
        <w:t>11 | Public disclosure and claims register</w:t>
      </w:r>
    </w:p>
    <w:p w14:paraId="76689AF1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VERIFIED FROM VENDOR / GOVERNMENT SOURCES: two PHP runtime vulnerabilities, CVE identifiers, October 21 release and fixed branches. OBSERVED IN OUR PREVIOUS SYNTHETIC EXERCISE: 240 examples and deterministic rules metrics. PROPOSED, NOT EXECUTED: OpenVals evaluation pipeline, RedShield defensive scenario tests, pilot timeline and release gates.</w:t>
      </w:r>
    </w:p>
    <w:p w14:paraId="260D124D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Safe public claim: “We published a reproducible synthetic study illustrating why vendor backport evidence changes PHP2Shell remediation triage, and propose a framework to independently validate AI-assisted security decisions.” Do not claim “OpenVals detected PHP2Shell,” “RedShield blocked the exploit,” or “100% detection accuracy.”</w:t>
      </w:r>
    </w:p>
    <w:p w14:paraId="5E83EC76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Appendix A | Operational metric definitions</w:t>
      </w:r>
    </w:p>
    <w:p w14:paraId="06135891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Precision — TP / (TP + FP); fraction of flagged assets actually requiring action.</w:t>
      </w:r>
    </w:p>
    <w:p w14:paraId="2F396328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Recall — TP / (TP + FN); fraction of assets requiring action correctly flagged.</w:t>
      </w:r>
    </w:p>
    <w:p w14:paraId="479DBD03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False-negative rate — FN / (TP + FN); security-critical miss rate.</w:t>
      </w:r>
    </w:p>
    <w:p w14:paraId="096900DF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Abstention rate — Unresolved classifications / all classifications; evaluate separately from accuracy.</w:t>
      </w:r>
    </w:p>
    <w:p w14:paraId="1C532A41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Evidence completeness — Share of recommendations with independently verifiable source and package provenance.</w:t>
      </w:r>
    </w:p>
    <w:p w14:paraId="3D88BEC7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Calibration — Agreement between confidence estimates and empirical correctness; use reliability curves and Brier score.</w:t>
      </w:r>
    </w:p>
    <w:p w14:paraId="420BB6DA" w14:textId="77777777" w:rsidR="004D30F4" w:rsidRPr="00DB439A" w:rsidRDefault="00000000">
      <w:pPr>
        <w:pStyle w:val="Heading1"/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Appendix B | Source register (accessed 23 October 2026)</w:t>
      </w:r>
    </w:p>
    <w:p w14:paraId="5672ABE0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[1] PHP project security release: https://www.php.net/archive/2026.php#2026-10-21-5</w:t>
      </w:r>
    </w:p>
    <w:p w14:paraId="083892AF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[2] PHP CVE-2026-109618 advisory: https://github.com/php/php-src/security/advisories/GHSA-w8hw-w9fx-j79w</w:t>
      </w:r>
    </w:p>
    <w:p w14:paraId="7D600309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[3] PHP CVE-2026-109619 advisory: https://github.com/php/php-src/security/advisories/GHSA-6wmf-4rv5-p3rp</w:t>
      </w:r>
    </w:p>
    <w:p w14:paraId="67616AB3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[4] Canadian Centre for Cyber Security: https://www.cyber.gc.ca/en/alerts-advisories/al26-026-critical-vulnerabilities-impacting-php-cve-2026-109618-cve-2026-109619</w:t>
      </w:r>
    </w:p>
    <w:p w14:paraId="1F474D97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[5] Plesk product-specific advisory: https://support.plesk.com/hc/en-us/articles/44397729587351-Vulnerability-CVE-2026-109618-and-CVE-2026-109619-PHP2Shell-Remote-code-execution-in-PHP-shipped-with-Plesk</w:t>
      </w:r>
    </w:p>
    <w:p w14:paraId="0D78574D" w14:textId="77777777" w:rsidR="004D30F4" w:rsidRPr="00DB439A" w:rsidRDefault="00000000">
      <w:pPr>
        <w:rPr>
          <w:rFonts w:ascii="Times New Roman" w:hAnsi="Times New Roman" w:cs="Times New Roman"/>
        </w:rPr>
      </w:pPr>
      <w:r w:rsidRPr="00DB439A">
        <w:rPr>
          <w:rFonts w:ascii="Times New Roman" w:hAnsi="Times New Roman" w:cs="Times New Roman"/>
        </w:rPr>
        <w:t>[6] NCSC-NL incident notes: https://github.com/NCSC-NL/php2shell/blob/main/README.md</w:t>
      </w:r>
    </w:p>
    <w:sectPr w:rsidR="004D30F4" w:rsidRPr="00DB439A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ECEEE9" w14:textId="77777777" w:rsidR="004C1E82" w:rsidRDefault="004C1E82">
      <w:pPr>
        <w:spacing w:after="0" w:line="240" w:lineRule="auto"/>
      </w:pPr>
      <w:r>
        <w:separator/>
      </w:r>
    </w:p>
  </w:endnote>
  <w:endnote w:type="continuationSeparator" w:id="0">
    <w:p w14:paraId="78417571" w14:textId="77777777" w:rsidR="004C1E82" w:rsidRDefault="004C1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A9CFE6" w14:textId="3B2B9C2A" w:rsidR="00794ECD" w:rsidRPr="00DB439A" w:rsidRDefault="00794ECD">
    <w:pPr>
      <w:pStyle w:val="Footer"/>
      <w:rPr>
        <w:rFonts w:ascii="Times New Roman" w:hAnsi="Times New Roman" w:cs="Times New Roman"/>
      </w:rPr>
    </w:pPr>
    <w:proofErr w:type="spellStart"/>
    <w:proofErr w:type="gramStart"/>
    <w:r w:rsidRPr="00DB439A">
      <w:rPr>
        <w:rFonts w:ascii="Times New Roman" w:hAnsi="Times New Roman" w:cs="Times New Roman"/>
      </w:rPr>
      <w:t>Dr.Pinnacle</w:t>
    </w:r>
    <w:proofErr w:type="spellEnd"/>
    <w:proofErr w:type="gramEnd"/>
    <w:r w:rsidRPr="00DB439A">
      <w:rPr>
        <w:rFonts w:ascii="Times New Roman" w:hAnsi="Times New Roman" w:cs="Times New Roman"/>
      </w:rPr>
      <w:t xml:space="preserve"> </w:t>
    </w:r>
    <w:r w:rsidRPr="00DB439A">
      <w:rPr>
        <w:rFonts w:ascii="Times New Roman" w:hAnsi="Times New Roman" w:cs="Times New Roman"/>
      </w:rPr>
      <w:tab/>
    </w:r>
    <w:r w:rsidRPr="00DB439A">
      <w:rPr>
        <w:rFonts w:ascii="Times New Roman" w:hAnsi="Times New Roman" w:cs="Times New Roman"/>
      </w:rPr>
      <w:tab/>
      <w:t>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E2D17" w14:textId="77777777" w:rsidR="004C1E82" w:rsidRDefault="004C1E82">
      <w:pPr>
        <w:spacing w:after="0" w:line="240" w:lineRule="auto"/>
      </w:pPr>
      <w:r>
        <w:separator/>
      </w:r>
    </w:p>
  </w:footnote>
  <w:footnote w:type="continuationSeparator" w:id="0">
    <w:p w14:paraId="751A23C0" w14:textId="77777777" w:rsidR="004C1E82" w:rsidRDefault="004C1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1EB93" w14:textId="4010D250" w:rsidR="004D30F4" w:rsidRDefault="00000000" w:rsidP="00DB439A">
    <w:pPr>
      <w:pStyle w:val="p1"/>
    </w:pPr>
    <w:proofErr w:type="spellStart"/>
    <w:r>
      <w:t>O</w:t>
    </w:r>
    <w:r w:rsidR="007B0C4F">
      <w:t>penVals</w:t>
    </w:r>
    <w:proofErr w:type="spellEnd"/>
    <w:r w:rsidR="00DB439A">
      <w:t xml:space="preserve"> </w:t>
    </w:r>
    <w:r w:rsidR="00794ECD">
      <w:t xml:space="preserve">(A </w:t>
    </w:r>
    <w:proofErr w:type="spellStart"/>
    <w:proofErr w:type="gramStart"/>
    <w:r w:rsidR="00C60B43">
      <w:t>Dr.Pinnacle</w:t>
    </w:r>
    <w:proofErr w:type="spellEnd"/>
    <w:proofErr w:type="gramEnd"/>
    <w:r w:rsidR="00C60B43">
      <w:t xml:space="preserve"> </w:t>
    </w:r>
    <w:r w:rsidR="00464095">
      <w:t>initiative</w:t>
    </w:r>
    <w:r w:rsidR="00DB439A">
      <w:t xml:space="preserve">) </w:t>
    </w:r>
    <w:r w:rsidR="00DB439A">
      <w:tab/>
    </w:r>
    <w:r w:rsidR="00794ECD">
      <w:tab/>
    </w:r>
    <w:r w:rsidR="00794ECD">
      <w:tab/>
    </w:r>
    <w:r w:rsidR="00794ECD">
      <w:tab/>
    </w:r>
    <w:r w:rsidR="00794ECD" w:rsidRPr="00794ECD">
      <w:t xml:space="preserve"> </w:t>
    </w:r>
    <w:r w:rsidR="00794ECD">
      <w:t xml:space="preserve">   </w:t>
    </w:r>
    <w:r w:rsidR="00DB439A">
      <w:t xml:space="preserve">       </w:t>
    </w:r>
    <w:r w:rsidR="00794ECD" w:rsidRPr="00794ECD">
      <w:t>Technical White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293294">
    <w:abstractNumId w:val="8"/>
  </w:num>
  <w:num w:numId="2" w16cid:durableId="317416959">
    <w:abstractNumId w:val="6"/>
  </w:num>
  <w:num w:numId="3" w16cid:durableId="703214288">
    <w:abstractNumId w:val="5"/>
  </w:num>
  <w:num w:numId="4" w16cid:durableId="5326999">
    <w:abstractNumId w:val="4"/>
  </w:num>
  <w:num w:numId="5" w16cid:durableId="1342275485">
    <w:abstractNumId w:val="7"/>
  </w:num>
  <w:num w:numId="6" w16cid:durableId="983387549">
    <w:abstractNumId w:val="3"/>
  </w:num>
  <w:num w:numId="7" w16cid:durableId="1043942280">
    <w:abstractNumId w:val="2"/>
  </w:num>
  <w:num w:numId="8" w16cid:durableId="471138378">
    <w:abstractNumId w:val="1"/>
  </w:num>
  <w:num w:numId="9" w16cid:durableId="1922593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095"/>
    <w:rsid w:val="004C1E82"/>
    <w:rsid w:val="004D30F4"/>
    <w:rsid w:val="00794ECD"/>
    <w:rsid w:val="007B0C4F"/>
    <w:rsid w:val="00AA1D8D"/>
    <w:rsid w:val="00AA5BD5"/>
    <w:rsid w:val="00B47730"/>
    <w:rsid w:val="00C60B43"/>
    <w:rsid w:val="00CB0664"/>
    <w:rsid w:val="00DB4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765B3"/>
  <w14:defaultImageDpi w14:val="300"/>
  <w15:docId w15:val="{07442BE6-A3C8-644A-98DC-2355A1CD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34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79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1378</Words>
  <Characters>9802</Characters>
  <Application>Microsoft Office Word</Application>
  <DocSecurity>0</DocSecurity>
  <Lines>153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Vishwanath Akuthota</cp:lastModifiedBy>
  <cp:revision>3</cp:revision>
  <cp:lastPrinted>2026-10-23T09:52:00Z</cp:lastPrinted>
  <dcterms:created xsi:type="dcterms:W3CDTF">2026-10-23T09:52:00Z</dcterms:created>
  <dcterms:modified xsi:type="dcterms:W3CDTF">2026-10-23T09:57:00Z</dcterms:modified>
  <cp:category/>
</cp:coreProperties>
</file>