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ПРАВИТЕЛЬСТВО РОССИЙСКОЙ ФЕДЕРАЦИИ</w:t>
      </w:r>
    </w:p>
    <w:p>
      <w:pPr>
        <w:pStyle w:val="Normal"/>
        <w:jc w:val="center"/>
        <w:rPr>
          <w:sz w:val="30"/>
          <w:szCs w:val="36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учреждение высшего профессионального образования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«Высшая школа экономики»</w:t>
      </w:r>
    </w:p>
    <w:p>
      <w:pPr>
        <w:pStyle w:val="Normal"/>
        <w:jc w:val="center"/>
        <w:rPr>
          <w:sz w:val="30"/>
          <w:szCs w:val="36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Московский институт электроники и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Факультет прикладной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Кафедра «Компьютерная безопасность»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ОТЧЁТ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 курсовой работе по дисциплине«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u w:val="none"/>
          <w:lang w:val="ru-RU" w:eastAsia="zh-CN" w:bidi="hi-IN"/>
        </w:rPr>
        <w:t>Основы информационной безопасности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»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Выполнил студент группы СКБ 172</w:t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Попов Юрий Леонидович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/>
          <w:sz w:val="30"/>
          <w:szCs w:val="36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Москва 2020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Введение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 xml:space="preserve">В качестве  объекта информатизации был выбран аэропорт. Объект информатизации функционирует внутри одного здания.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 xml:space="preserve">Билеты продаются через кассу в здании аэропорта, а также на сайте аэропорта через личный кабинет. </w:t>
      </w:r>
      <w:r>
        <w:rPr>
          <w:rFonts w:ascii="Times New Roman" w:hAnsi="Times New Roman"/>
          <w:sz w:val="32"/>
          <w:szCs w:val="32"/>
        </w:rPr>
        <w:t>Данные о пассажирах, рейсах, цен на билеты хранятся на сервере.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Денежные средства, поступающие от пассажиров учитываются в бухгалтерии, а затем отправляются в банк, с которым аэропорт взаимодействует через сервер. От сервера бане получает всю необходимую информацию, а затем загружает туда данные о транзакциях.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Также аэропорт заключает контракты на поставку продовольствия. Бухгалтерия на сервере размещает информацию о требованиях и пожеланиях о еде, а внешние поставщики передают на сервер коммерческие предложения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</w:rPr>
        <w:t>Объект информатизации — Аэропорт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6120130" cy="37731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С</w:t>
      </w:r>
      <w:r>
        <w:rPr>
          <w:rFonts w:ascii="Times New Roman" w:hAnsi="Times New Roman"/>
          <w:b/>
          <w:bCs/>
          <w:sz w:val="36"/>
          <w:szCs w:val="36"/>
        </w:rPr>
        <w:t>пособы передачи данных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3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>Информация передаётся на бумажном носителе только при взаимодействии кассы с пассажиром. Например, персональные данные пассажира  сканируются кассиром и печатается билет, который возвращается обратно пассажиру. Помимо бумажной копии, копия билета отправляется на почту пассажира.</w:t>
      </w:r>
      <w:r>
        <w:br w:type="page"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Свойства</w:t>
      </w:r>
      <w:r>
        <w:rPr>
          <w:rFonts w:ascii="Times New Roman" w:hAnsi="Times New Roman"/>
          <w:b/>
          <w:bCs/>
          <w:sz w:val="36"/>
          <w:szCs w:val="36"/>
        </w:rPr>
        <w:t xml:space="preserve"> информации,  которые необходимо обеспечить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00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36"/>
          <w:szCs w:val="36"/>
        </w:rPr>
        <w:t>У</w:t>
      </w:r>
      <w:r>
        <w:rPr>
          <w:rFonts w:ascii="Times New Roman" w:hAnsi="Times New Roman"/>
          <w:b/>
          <w:bCs/>
          <w:i w:val="false"/>
          <w:iCs w:val="false"/>
          <w:sz w:val="36"/>
          <w:szCs w:val="36"/>
        </w:rPr>
        <w:t>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 террорист, работающий в сервере; свободный доступ во время рабочего дня; подрыв сервера, сервер, невозможность функционирования аэропорта]  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Бухгалтерия)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Доставщики продовольствия)</w:t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2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[системный администратор; неправильное конфигурирование сервера;  доступ к конфиденциальным данным; утечка данных] 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(К: Сервер → Бухгалтерия) 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 → Доставщики продовольствия)</w:t>
      </w:r>
    </w:p>
    <w:p>
      <w:pPr>
        <w:pStyle w:val="Normal"/>
        <w:rPr>
          <w:b w:val="false"/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= [уволенный сотрудник, устроившийся работать в доставку еды;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низкая квалификация сотрудников аэропорта; разглашение содержания договоров; договоры; нарушение конфиденциальности договоров </w:t>
      </w:r>
      <w:r>
        <w:rPr>
          <w:position w:val="0"/>
          <w:sz w:val="32"/>
          <w:sz w:val="32"/>
          <w:szCs w:val="32"/>
          <w:vertAlign w:val="baseline"/>
        </w:rPr>
        <w:t>]</w:t>
      </w:r>
      <w:r>
        <w:rPr>
          <w:color w:val="ED1C24"/>
          <w:position w:val="0"/>
          <w:sz w:val="32"/>
          <w:sz w:val="32"/>
          <w:szCs w:val="32"/>
          <w:vertAlign w:val="baseline"/>
        </w:rPr>
        <w:t>(К: Доставка продовольствия→ Сервер)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4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[искатель приключений, ищущий доступные данные в интернете; наличие веб- уязвимостей на сайте; ссылка, позволяющая получить доступ к данным на сервере; сервер; доступ до данных на сервере]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Сервер→ Болельщик)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5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[хулиган; наличие веб- уязвимостей на сайте; применение различных векторов атак на сайт; сервер; доступ до данных на сервере] 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6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[разработчик ПО для бухгалтерии; наличие уязвимостей в проекте; доступ внешних лиц к данным в бухгалтерии; бухгалтерия; потеря  или изменение данных]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Бухгалтерия → Сервер)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Бухгалтерия 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7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[кассир; плохое отношение к сотрудника; доступ к выдаваемой пассажирам информации; данные пассажиров; модификация данных]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Касса→ Пассажиры)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8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экстрамистические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 группировки; плохая репутация аэропорта; подрыв аэропорта; аэропорт; отказ в работе доступе аэропорта  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Сервер→ Банк)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9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Агент007, устроившийся в доставку продовольствия; отсутствия контроля на вход; подрыв аэропорта; аэропорт; отказ в работе аэропорта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Сервер→ Пассажиры)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10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Завербованный кассир; свободный доступ к данным пассажира; модификация данных пассажиров; персональные данные пассажиров; потеря или изменения данных пассажиров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(К, Ц:  Касса→ Сервер)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ageBreakBefore w:val="false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/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Формальные модели нарушителей</w:t>
      </w:r>
    </w:p>
    <w:p>
      <w:pPr>
        <w:pStyle w:val="Normal"/>
        <w:rPr/>
      </w:pPr>
      <w:r>
        <w:rPr/>
      </w:r>
    </w:p>
    <w:tbl>
      <w:tblPr>
        <w:tblW w:w="11700" w:type="dxa"/>
        <w:jc w:val="left"/>
        <w:tblInd w:w="-10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30"/>
        <w:gridCol w:w="1080"/>
        <w:gridCol w:w="2070"/>
        <w:gridCol w:w="1530"/>
        <w:gridCol w:w="2828"/>
        <w:gridCol w:w="2661"/>
      </w:tblGrid>
      <w:tr>
        <w:trPr>
          <w:tblHeader w:val="tru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uppressLineNumbers/>
              <w:tabs>
                <w:tab w:val="left" w:pos="1583" w:leader="none"/>
              </w:tabs>
              <w:ind w:left="-1080" w:right="0" w:hanging="0"/>
              <w:jc w:val="center"/>
              <w:rPr>
                <w:color w:val="00B6BD"/>
              </w:rPr>
            </w:pPr>
            <w:r>
              <w:rPr>
                <w:color w:val="00B6BD"/>
              </w:rPr>
              <w:t xml:space="preserve">                 </w:t>
            </w:r>
            <w:r>
              <w:rPr>
                <w:color w:val="00B6BD"/>
              </w:rPr>
              <w:t>Нарушитель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Тип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Вид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Потенциал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Цель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Возможные способы реализации угроз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Внутренний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Специальные службы иностранных государств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Нанесение ущерба государству, отдельным его сферам деятельности или секторам экономики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Сис. Админ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Внутренний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Лица, обслуживающие инфраструктуру оператора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 низкий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Курьер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Внешний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Бывшие работники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Базовый низкий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Месть за ранее совершенные действия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4"/>
              </w:rPr>
            </w:pPr>
            <w:r>
              <w:rPr>
                <w:rFonts w:ascii="sans-serif" w:hAnsi="sans-serif"/>
                <w:sz w:val="24"/>
              </w:rPr>
              <w:t>Социальная инженерия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Искатель приключений</w:t>
            </w:r>
          </w:p>
          <w:p>
            <w:pPr>
              <w:pStyle w:val="Normal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Внешние субъекты (физические лица)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информации по оптическому каналу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Хулиган</w:t>
            </w:r>
          </w:p>
          <w:p>
            <w:pPr>
              <w:pStyle w:val="Normal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Внешние субъекты (физические лица)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социальная инженерия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Разработчик ПО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Непреднамеренные, неосторожные или неквалифицированные действия 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Кассир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Пользователи информационной системы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Месть за ранее совершенные действия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Экстрамистические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 группировки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Дестабилизация деятельности органов государственной власти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Социальная инженерия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Агент007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Специальные службы иностранных государств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Нанесение ущерба государству, отдельным его сферам деятельности или секторам экономики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информации по оптическому каналу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Завербованный кассир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Пользователи информационной системы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Месть за ранее совершенные действия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/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ageBreakBefore w:val="false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24"/>
          <w:sz w:val="40"/>
          <w:szCs w:val="40"/>
          <w:vertAlign w:val="baseline"/>
        </w:rPr>
      </w:pPr>
      <w:r>
        <w:rPr/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position w:val="0"/>
          <w:sz w:val="36"/>
          <w:sz w:val="36"/>
          <w:szCs w:val="36"/>
          <w:vertAlign w:val="baseline"/>
        </w:rPr>
        <w:t>Уровень проектной защищенности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24"/>
          <w:sz w:val="40"/>
          <w:szCs w:val="40"/>
          <w:vertAlign w:val="baseline"/>
        </w:rPr>
      </w:pPr>
      <w:r>
        <w:rPr/>
      </w:r>
    </w:p>
    <w:tbl>
      <w:tblPr>
        <w:tblW w:w="11649" w:type="dxa"/>
        <w:jc w:val="left"/>
        <w:tblInd w:w="-10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099"/>
        <w:gridCol w:w="1350"/>
        <w:gridCol w:w="1170"/>
        <w:gridCol w:w="1029"/>
      </w:tblGrid>
      <w:tr>
        <w:trPr>
          <w:tblHeader w:val="true"/>
        </w:trPr>
        <w:tc>
          <w:tcPr>
            <w:tcW w:w="8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Структурно-функциональные характеристики информационной системы, условия её эксплуатации</w:t>
            </w:r>
          </w:p>
        </w:tc>
        <w:tc>
          <w:tcPr>
            <w:tcW w:w="3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защищенности</w:t>
            </w:r>
          </w:p>
        </w:tc>
      </w:tr>
      <w:tr>
        <w:trPr/>
        <w:tc>
          <w:tcPr>
            <w:tcW w:w="80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Высокий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Средний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Низкий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1. По структуре информационной системы:</w:t>
            </w:r>
          </w:p>
          <w:p>
            <w:pPr>
              <w:pStyle w:val="TableContents"/>
              <w:rPr>
                <w:rFonts w:ascii="sans-serif" w:hAnsi="sans-serif"/>
                <w:sz w:val="32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локальная информационная система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2. По используемым информационным технологиям: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системы с технологиями беспроводного доступа;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3. По архитектуре информационной системы: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системы на основе «тонкого клиента»;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файл-серверные системы;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центры обработки данных;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разных типов операционных систем;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выделенных каналов связи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4. По наличию (отсутствию) взаимосвязей с иными информационными системами: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взаимодействующая с системами;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5. По наличию (отсутствию) взаимосвязей (подключений) к сетям связи общего пользования: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подключённая через выделенную инфраструктуру (gov.ru или иную);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6. По размещению технических средств: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расположенные в пределах одной контролируемой зоны;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7. По режимам обработки информации в информационной системе: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многопользовательский;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8. По режимам разграничения прав доступа: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разграничением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9. По режимам разделения функций по управлению информационной системой: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выделение рабочих мест для администрирования в отдельный домен;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10. По подходам к сегментированию информационной системы: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сегментированием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«+» в высоком уровне: </w:t>
        <w:tab/>
        <w:t xml:space="preserve">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среднем уровне:  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низком   уровне:  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 высоком и среднем вместе: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Всего:  2 + 7 + 5 = 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5/13 = 0.357 * 100% = 35.7%  &gt; 10% =&gt;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 xml:space="preserve">Проектная защищенность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низкая</w:t>
      </w:r>
      <w:r>
        <w:br w:type="page"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position w:val="0"/>
          <w:sz w:val="36"/>
          <w:sz w:val="36"/>
          <w:szCs w:val="36"/>
          <w:vertAlign w:val="baseline"/>
        </w:rPr>
        <w:t>Актуальность угроз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605" w:type="dxa"/>
        <w:jc w:val="left"/>
        <w:tblInd w:w="-99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94"/>
        <w:gridCol w:w="2510"/>
        <w:gridCol w:w="2304"/>
        <w:gridCol w:w="1608"/>
        <w:gridCol w:w="1609"/>
        <w:gridCol w:w="2579"/>
      </w:tblGrid>
      <w:tr>
        <w:trPr>
          <w:tblHeader w:val="true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проектной защищенности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Потенциал нарушителя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Возможность реализации угрозы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Степень ущерба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Актуальность угрозы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2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3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4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5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6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7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8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9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10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М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еры защиты информации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700" w:type="dxa"/>
        <w:jc w:val="left"/>
        <w:tblInd w:w="-10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67"/>
        <w:gridCol w:w="1350"/>
        <w:gridCol w:w="1266"/>
        <w:gridCol w:w="2875"/>
        <w:gridCol w:w="4142"/>
      </w:tblGrid>
      <w:tr>
        <w:trPr>
          <w:tblHeader w:val="true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Ребро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Свойство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Угроза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Категория мер защиты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Подробно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Внедрение контроля доступа в помещения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Введение видеонаблюдения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Более тщательная проверка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соблюдения правил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Пресечение действий нарушителей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2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Технические, 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Код ревью</w:t>
            </w:r>
          </w:p>
          <w:p>
            <w:pPr>
              <w:pStyle w:val="TableContents"/>
              <w:rPr/>
            </w:pPr>
            <w:r>
              <w:rPr/>
              <w:t xml:space="preserve">- Введение проверок </w:t>
            </w:r>
          </w:p>
          <w:p>
            <w:pPr>
              <w:pStyle w:val="TableContents"/>
              <w:rPr/>
            </w:pPr>
            <w:r>
              <w:rPr/>
              <w:t>- Создание тестовой среды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Шифрование данных, отправляемых на сервер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Доставка продовольствия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3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обучения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Более тщательная проверка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соблюдения правил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Болельщик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4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Технические,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Проведение аудита веб-сайта и всей компании</w:t>
            </w:r>
          </w:p>
          <w:p>
            <w:pPr>
              <w:pStyle w:val="TableContents"/>
              <w:rPr/>
            </w:pPr>
            <w:r>
              <w:rPr/>
              <w:t xml:space="preserve">-  </w:t>
            </w:r>
            <w:r>
              <w:rPr/>
              <w:t>Шифрование данных, отправляемых на сервер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5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Технические, 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Проведение аудита веб-сайта и всей компании</w:t>
            </w:r>
          </w:p>
          <w:p>
            <w:pPr>
              <w:pStyle w:val="TableContents"/>
              <w:rPr/>
            </w:pPr>
            <w:r>
              <w:rPr/>
              <w:t xml:space="preserve">-  </w:t>
            </w:r>
            <w:r>
              <w:rPr/>
              <w:t>Шифрование данных, отправляемых на сервер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6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Технические, </w:t>
            </w:r>
          </w:p>
          <w:p>
            <w:pPr>
              <w:pStyle w:val="TableContents"/>
              <w:jc w:val="center"/>
              <w:rPr/>
            </w:pPr>
            <w:r>
              <w:rPr/>
              <w:t>Стеганографические</w:t>
            </w:r>
          </w:p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аудита компании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Введение проверок, в том числе нештатных 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bookmarkStart w:id="0" w:name="__DdeLink__6111_4292239720"/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И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спользование цифровых водяных знаков</w:t>
            </w:r>
            <w:bookmarkEnd w:id="0"/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Касса → 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7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Организационные,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сохранения сотрудников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bookmarkStart w:id="1" w:name="__DdeLink__149_1873385009"/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обучения персонала</w:t>
            </w:r>
            <w:bookmarkEnd w:id="1"/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Введение поощрений 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Увеличение заработных плат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данных, отправляемых на сервер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→ 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8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Внедрение контроля доступа в помещения 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Введение видеонаблюдения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 → 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9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Внедрение контроля доступа в помещения 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Введение видеонаблюдения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Касса →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10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Организационные, 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сохранения сотрудников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обучения персонала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Введение поощрений 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данных, отправляемых на сервер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тоговый список всех мер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Организационные меры: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Внедрение контроля доступа в помещения</w:t>
      </w:r>
    </w:p>
    <w:p>
      <w:pPr>
        <w:pStyle w:val="TableContents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Введение видеонаблюдения</w:t>
      </w:r>
    </w:p>
    <w:p>
      <w:pPr>
        <w:pStyle w:val="TableContents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Более тщательная проверка персонала</w:t>
      </w:r>
    </w:p>
    <w:p>
      <w:pPr>
        <w:pStyle w:val="TableContents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Создание условий для соблюдения правил</w:t>
      </w:r>
    </w:p>
    <w:p>
      <w:pPr>
        <w:pStyle w:val="TableContents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Пресечение действий нарушителей</w:t>
      </w:r>
    </w:p>
    <w:p>
      <w:pPr>
        <w:pStyle w:val="TableContents"/>
        <w:numPr>
          <w:ilvl w:val="0"/>
          <w:numId w:val="3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Создание условий для сохранения сотрудников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Проведение обучения персонала</w:t>
      </w:r>
    </w:p>
    <w:p>
      <w:pPr>
        <w:pStyle w:val="TableContents"/>
        <w:numPr>
          <w:ilvl w:val="0"/>
          <w:numId w:val="3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Введение поощрений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Криптографические меры:</w:t>
      </w:r>
    </w:p>
    <w:p>
      <w:pPr>
        <w:pStyle w:val="TableContents"/>
        <w:numPr>
          <w:ilvl w:val="0"/>
          <w:numId w:val="5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 xml:space="preserve"> </w:t>
      </w: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Шифрование данных, отправляемых на сервер</w:t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Технические меры:</w:t>
      </w:r>
    </w:p>
    <w:p>
      <w:pPr>
        <w:pStyle w:val="TableContents"/>
        <w:numPr>
          <w:ilvl w:val="0"/>
          <w:numId w:val="4"/>
        </w:numPr>
        <w:rPr/>
      </w:pPr>
      <w:r>
        <w:rPr>
          <w:rFonts w:ascii="Times New Roman" w:hAnsi="Times New Roman"/>
          <w:color w:val="000000"/>
          <w:sz w:val="32"/>
          <w:szCs w:val="32"/>
        </w:rPr>
        <w:t>Код ревью</w:t>
      </w:r>
    </w:p>
    <w:p>
      <w:pPr>
        <w:pStyle w:val="TableContents"/>
        <w:numPr>
          <w:ilvl w:val="0"/>
          <w:numId w:val="4"/>
        </w:numPr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Создание тестовой среды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Проведение аудита компании</w:t>
      </w:r>
    </w:p>
    <w:p>
      <w:pPr>
        <w:pStyle w:val="TableContents"/>
        <w:numPr>
          <w:ilvl w:val="0"/>
          <w:numId w:val="4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 xml:space="preserve">Введение проверок, в том числе нештатных </w:t>
      </w:r>
    </w:p>
    <w:p>
      <w:pPr>
        <w:pStyle w:val="TableContents"/>
        <w:numPr>
          <w:ilvl w:val="0"/>
          <w:numId w:val="4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Проведение аудита веб-сайта и всей компании</w:t>
      </w:r>
    </w:p>
    <w:p>
      <w:pPr>
        <w:pStyle w:val="TableContents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Стеганографические меры:</w:t>
      </w:r>
    </w:p>
    <w:p>
      <w:pPr>
        <w:pStyle w:val="TableContents"/>
        <w:numPr>
          <w:ilvl w:val="0"/>
          <w:numId w:val="6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Использование цифровых водяных знаков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457</TotalTime>
  <Application>LibreOffice/6.0.7.3$Linux_X86_64 LibreOffice_project/00m0$Build-3</Application>
  <Pages>14</Pages>
  <Words>1283</Words>
  <Characters>8640</Characters>
  <CharactersWithSpaces>9700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2020-04-30T14:39:00Z</dcterms:created>
  <dc:creator/>
  <dc:description/>
  <dc:language>ru-RU</dc:language>
  <cp:lastModifiedBy/>
  <dcterms:modified xsi:type="dcterms:W3CDTF">2020-05-19T23:17:03Z</dcterms:modified>
  <cp:revision>19</cp:revision>
  <dc:subject/>
  <dc:title/>
</cp:coreProperties>
</file>