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ПРАВИТЕЛЬСТВО РОССИЙСКОЙ ФЕДЕРАЦИИ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учреждение 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«Высшая школа экономики»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Московский институт электроники и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Факультет прикладной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0"/>
          <w:szCs w:val="36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Кафедра «Компьютерная безопасность»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ОТЧЁТ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/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 курсовой работе по дисциплине «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u w:val="none"/>
          <w:lang w:val="ru-RU" w:eastAsia="zh-CN" w:bidi="hi-IN"/>
        </w:rPr>
        <w:t>Основы информационной безопасности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»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Выполнил студент группы СКБ 172</w:t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Попов Юрий Леонидович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Москва 2020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581_4020003460">
        <w:r>
          <w:rPr>
            <w:rStyle w:val="IndexLink"/>
          </w:rPr>
          <w:t>Введение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3_4020003460">
        <w:r>
          <w:rPr>
            <w:rStyle w:val="IndexLink"/>
          </w:rPr>
          <w:t>Объект информатизации — Аэропорт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5_4020003460">
        <w:r>
          <w:rPr>
            <w:rStyle w:val="IndexLink"/>
          </w:rPr>
          <w:t>Способы передачи данных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7_4020003460">
        <w:r>
          <w:rPr>
            <w:rStyle w:val="IndexLink"/>
          </w:rPr>
          <w:t>Свойства информации, которые необходимо обеспечить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371_4020003460">
        <w:r>
          <w:rPr>
            <w:rStyle w:val="IndexLink"/>
            <w:i w:val="false"/>
            <w:iCs w:val="false"/>
          </w:rPr>
          <w:t>Передаваемая</w:t>
        </w:r>
        <w:r>
          <w:rPr>
            <w:rStyle w:val="IndexLink"/>
          </w:rPr>
          <w:t xml:space="preserve"> информация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9_4020003460">
        <w:r>
          <w:rPr>
            <w:rStyle w:val="IndexLink"/>
          </w:rPr>
          <w:t>Угрозы безопасности информации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1_4020003460">
        <w:r>
          <w:rPr>
            <w:rStyle w:val="IndexLink"/>
          </w:rPr>
          <w:t>Формальные модели нарушителей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3_4020003460">
        <w:r>
          <w:rPr>
            <w:rStyle w:val="IndexLink"/>
          </w:rPr>
          <w:t>Уровень проектной защищенности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5_4020003460">
        <w:r>
          <w:rPr>
            <w:rStyle w:val="IndexLink"/>
          </w:rPr>
          <w:t>Степень реализации угроз</w:t>
          <w:tab/>
          <w:t>13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7_4020003460">
        <w:r>
          <w:rPr>
            <w:rStyle w:val="IndexLink"/>
          </w:rPr>
          <w:t>Актуальность угроз</w:t>
          <w:tab/>
          <w:t>16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9_4020003460">
        <w:r>
          <w:rPr>
            <w:rStyle w:val="IndexLink"/>
          </w:rPr>
          <w:t>Меры защиты информации</w:t>
          <w:tab/>
          <w:t>17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01_4020003460"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Итоговый список всех мер</w:t>
        </w:r>
        <w:r>
          <w:rPr>
            <w:rStyle w:val="IndexLink"/>
          </w:rPr>
          <w:tab/>
          <w:t>19</w:t>
        </w:r>
      </w:hyperlink>
      <w:r>
        <w:rPr>
          <w:rStyle w:val="IndexLink"/>
        </w:rPr>
        <w:fldChar w:fldCharType="end"/>
      </w:r>
    </w:p>
    <w:p>
      <w:pPr>
        <w:pStyle w:val="Heading1"/>
        <w:widowControl/>
        <w:numPr>
          <w:ilvl w:val="0"/>
          <w:numId w:val="0"/>
        </w:numPr>
        <w:overflowPunct w:val="true"/>
        <w:jc w:val="center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1581_4020003460"/>
      <w:bookmarkEnd w:id="0"/>
      <w:r>
        <w:rPr/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Билеты продаются через кассу в здании аэропорта, а также на сайте аэропорта через личный кабинет. Данные о пассажирах, рейсах, цен на билеты хранятся на сервере.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32"/>
          <w:szCs w:val="32"/>
        </w:rPr>
        <w:tab/>
        <w:t>Денежные средства, поступающие от пассажиров учитываются в бухгалтерии, а затем отправляются в банк, с которым аэропорт взаимодействует через сервер. От сервера бан</w:t>
      </w:r>
      <w:r>
        <w:rPr>
          <w:rFonts w:ascii="Times New Roman" w:hAnsi="Times New Roman"/>
          <w:sz w:val="32"/>
          <w:szCs w:val="32"/>
        </w:rPr>
        <w:t>к</w:t>
      </w:r>
      <w:r>
        <w:rPr>
          <w:rFonts w:ascii="Times New Roman" w:hAnsi="Times New Roman"/>
          <w:sz w:val="32"/>
          <w:szCs w:val="32"/>
        </w:rPr>
        <w:t xml:space="preserve"> получает всю необходимую информацию, а затем загружает туда данные о транзакциях.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Также аэропорт заключает контракты на поставку продовольствия. Бухгалтерия на сервере размещает информацию о требованиях и пожеланиях о еде, а внешние поставщики передают на сервер коммерческие предложения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" w:name="__RefHeading___Toc1583_4020003460"/>
      <w:bookmarkEnd w:id="1"/>
      <w:r>
        <w:rPr/>
        <w:t>Объект информатизации — Аэропорт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6120130" cy="377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1585_4020003460"/>
      <w:bookmarkEnd w:id="2"/>
      <w:r>
        <w:rPr/>
        <w:t>Способы передачи данных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3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1587_4020003460"/>
      <w:bookmarkEnd w:id="3"/>
      <w:r>
        <w:rPr/>
        <w:t>Свойства информации, 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" w:name="__RefHeading___Toc1371_4020003460"/>
      <w:bookmarkEnd w:id="4"/>
      <w:r>
        <w:rPr>
          <w:rFonts w:eastAsia="Noto Sans CJK SC" w:cs="Lohit Devanagari" w:ascii="Times New Roman" w:hAnsi="Times New Roman"/>
          <w:b/>
          <w:bCs/>
          <w:i w:val="false"/>
          <w:iCs w:val="false"/>
          <w:color w:val="auto"/>
          <w:kern w:val="2"/>
          <w:sz w:val="40"/>
          <w:szCs w:val="40"/>
          <w:lang w:val="ru-RU" w:eastAsia="zh-CN" w:bidi="hi-IN"/>
        </w:rPr>
        <w:t>Передаваемая</w:t>
      </w:r>
      <w:r>
        <w:rPr/>
        <w:t xml:space="preserve"> информация 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 </w:t>
      </w:r>
    </w:p>
    <w:tbl>
      <w:tblPr>
        <w:tblW w:w="10710" w:type="dxa"/>
        <w:jc w:val="left"/>
        <w:tblInd w:w="-3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318"/>
        <w:gridCol w:w="6391"/>
      </w:tblGrid>
      <w:tr>
        <w:trPr>
          <w:tblHeader w:val="true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Откуда →  Куда</w:t>
            </w:r>
          </w:p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(Свойства информации, которые необходимо обеспечить)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Что передаётся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Касса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Для покупки билета на кассе пассажир предоставляет свои  персональные данные (телефон для связи, почту для отправки билета и паспортные данные)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Касса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Кассир смотрит в БД на наличие свободных мест в самолёте и печатает билет, выбранный пассажиром. Так же информация о билете отправляется на почту пассажира.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 сервере размещён  сайт для покупки авиабилетов. Пассажир загружает туда свои персональные данные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 сервере размещён сайт для покупки авиабилетов. После покупки  сервер отправляет на почту пассажира его билет.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Касса</w:t>
            </w:r>
            <w:r>
              <w:rPr>
                <w:color w:val="00B6BD"/>
              </w:rPr>
              <w:t xml:space="preserve"> </w:t>
            </w:r>
            <w:r>
              <w:rPr/>
              <w:t xml:space="preserve">→ Сервер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Кассир сканирует паспортные данные пассажира и вместе с выбранным им билетом отправляет на сервер.  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поставщики передают на сервер коммерческие предложения о заключении контрактов на поставку провизии.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 сервере размещён сайт с требованиями к необходимой продукции. В случае согласования контракта, все необходимые договора с сервера отправляются поставщику.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Бухгалтерия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Бухгалтерия загружает на сервер финансовые отчёты, а также требования к продукции, необходимой аэропорту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 Бухгалтерия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При необходимости бухгалтерии сервер выгружает всю необходимую информацию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CE181E"/>
              </w:rPr>
              <w:t>Банк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Передаются результаты транзакции</w:t>
            </w:r>
          </w:p>
        </w:tc>
      </w:tr>
      <w:tr>
        <w:trPr>
          <w:trHeight w:val="416" w:hRule="atLeast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</w:t>
            </w:r>
            <w:r>
              <w:rPr>
                <w:color w:val="CE181E"/>
              </w:rPr>
              <w:t>Банк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Отчёты по всем транзакциям передаются в банк с сервера 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_RefHeading___Toc1589_4020003460"/>
      <w:bookmarkEnd w:id="5"/>
      <w:r>
        <w:rPr/>
        <w:t>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[террорист; отсутствия контроля на входе аэропорта; подрыв аэропорта; аэропорт; отказ в работе аэропорта]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Пассажиры)</w:t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Бухгалтерия)</w:t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Доставщики продовольствия)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Банк)</w:t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[администратор безопасности; низкая квалификация сотрудников; неправильное конфигурирование сервера; сервер; утечка данных на сервере] </w:t>
      </w:r>
    </w:p>
    <w:p>
      <w:pPr>
        <w:pStyle w:val="Normal"/>
        <w:jc w:val="both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Сервер → Банк) </w:t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Доставщики продовольствия)</w:t>
      </w:r>
    </w:p>
    <w:p>
      <w:pPr>
        <w:pStyle w:val="Normal"/>
        <w:jc w:val="both"/>
        <w:rPr>
          <w:rFonts w:ascii="Times New Roman" w:hAnsi="Times New Roman"/>
          <w:i/>
          <w:i/>
          <w:iCs/>
          <w:color w:val="ED1C24"/>
          <w:sz w:val="32"/>
          <w:szCs w:val="32"/>
        </w:rPr>
      </w:pPr>
      <w:r>
        <w:rPr>
          <w:rFonts w:ascii="Times New Roman" w:hAnsi="Times New Roman"/>
          <w:i/>
          <w:iCs/>
          <w:color w:val="ED1C24"/>
          <w:sz w:val="32"/>
          <w:szCs w:val="32"/>
        </w:rPr>
      </w:r>
    </w:p>
    <w:p>
      <w:pPr>
        <w:pStyle w:val="Normal"/>
        <w:jc w:val="both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[уволенный сотрудник аэропорта; отсутствие проверки  файлов перед скачиванием; намеренное заражение сервера троянской программой; сервер; доступ к данным на сервере]</w:t>
      </w:r>
    </w:p>
    <w:p>
      <w:pPr>
        <w:pStyle w:val="Normal"/>
        <w:jc w:val="both"/>
        <w:rPr>
          <w:color w:val="ED1C24"/>
          <w:position w:val="0"/>
          <w:sz w:val="24"/>
          <w:sz w:val="32"/>
          <w:szCs w:val="32"/>
          <w:vertAlign w:val="baseline"/>
        </w:rPr>
      </w:pPr>
      <w:r>
        <w:rPr>
          <w:color w:val="ED1C24"/>
          <w:position w:val="0"/>
          <w:sz w:val="32"/>
          <w:sz w:val="32"/>
          <w:szCs w:val="32"/>
          <w:vertAlign w:val="baseline"/>
        </w:rPr>
        <w:t>(К: Доставка продовольствия→ Сервер)</w:t>
      </w:r>
    </w:p>
    <w:p>
      <w:pPr>
        <w:pStyle w:val="Normal"/>
        <w:jc w:val="both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[хакер; наличие веб-уязвимостей на сайте; SQL-инъекция; база данных на сервере; доступ к данных на сервере] 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Пассажиры)</w:t>
      </w:r>
    </w:p>
    <w:p>
      <w:pPr>
        <w:pStyle w:val="Normal"/>
        <w:jc w:val="both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[уборщик; отсутствие видеонаблюдения и контроля за обслуживающим персоналом; намеренное изменение конфигурации сервера; сервер; несанкционированный доступ внутренних сотрудников к данным бухгалтерии]</w:t>
      </w:r>
    </w:p>
    <w:p>
      <w:pPr>
        <w:pStyle w:val="Normal"/>
        <w:jc w:val="both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Бухгалтерия → Сервер)</w:t>
      </w:r>
    </w:p>
    <w:p>
      <w:pPr>
        <w:pStyle w:val="Normal"/>
        <w:jc w:val="both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[подставной бухгалтер; отсутствия аудита данных, отправляемых на сервер; модификация финансовых отчётов; финансовые отчёты; закрытие аэропорта из-за финансового мошенничества]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Бухгалтерия → Сервер)</w:t>
      </w:r>
    </w:p>
    <w:p>
      <w:pPr>
        <w:pStyle w:val="Normal"/>
        <w:jc w:val="both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[кассир; плохое отношение к сотрудникам; намеренное разглашение и неправильное оформление билетов пассажиров; билеты пассажиров; нарушение функционирования аэропорта, падение количества клиентов аэропорта] 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Касса→ Пассажиры)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 →Касса)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Касса →Пассажиры)</w:t>
      </w:r>
    </w:p>
    <w:p>
      <w:pPr>
        <w:pStyle w:val="Normal"/>
        <w:jc w:val="both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8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[шпион; передача данных от кассы к серверу по открытому каналу связи; прослушивание канала; данные пассажиров;  модификация и разглашение данных о пассажирах и их билетах]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(К, Ц:  Касса→ Сервер)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[поставщик ПО; отсутствие проверки покупаемого оборудования; внедрение нерегламентированных возможностей;  сервер; доступ к серверу, контроль над передачи информации]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(К: Сервер→ Бухгалтерия) 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Банк  →  Сервер)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Пассажиры→ Сервер)</w:t>
      </w:r>
    </w:p>
    <w:p>
      <w:pPr>
        <w:pStyle w:val="Normal"/>
        <w:jc w:val="both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[верстальщик-конкурент; отсутствие проверки сторонних компаний перед заключением договора; неправильное конфигурирование полей ввода; пользовательские данные; изменение вводимых пользователями данных]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Пассажиры)</w:t>
      </w:r>
    </w:p>
    <w:p>
      <w:pPr>
        <w:pStyle w:val="Normal"/>
        <w:jc w:val="both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(Ц: Сервер → Доставщики продовольствия)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highlight w:val="yellow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highlight w:val="yellow"/>
          <w:vertAlign w:val="baseline"/>
        </w:rPr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[студент, проходящий практику; беспорядок в серверной; случайное повреждение проводов в серверной; сервер; выключение сервера, невозможность полноценной работы компании]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Банк)</w:t>
      </w:r>
    </w:p>
    <w:p>
      <w:pPr>
        <w:pStyle w:val="Normal"/>
        <w:jc w:val="both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_RefHeading___Toc1591_4020003460"/>
      <w:bookmarkEnd w:id="6"/>
      <w:r>
        <w:rPr/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43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30"/>
        <w:gridCol w:w="1080"/>
        <w:gridCol w:w="2160"/>
        <w:gridCol w:w="1532"/>
        <w:gridCol w:w="2612"/>
        <w:gridCol w:w="2515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Террористические, экстремистские группировки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Совершение террористических актов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Админ.  безопасности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Администраторы информационной системы и администраторы безопасности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сетевом уровне</w:t>
            </w:r>
          </w:p>
        </w:tc>
      </w:tr>
      <w:tr>
        <w:trPr>
          <w:trHeight w:val="1301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Уволенный сотрудник аэропорта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Бывшие работники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Месть за ранее совершенные действия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Хакер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Уборщик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обеспечивающие функционирование информационных систем или обслуживающие инфраструктура оператора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Причинение имущественного ущерба путём обмана или злоупотребления доверием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Подставной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бухгалтер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000000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Причинение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имущественного ущерба путём мошенничества или иным преступным путём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Кассир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>
          <w:trHeight w:val="1765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Шпион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линии(каналы)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Поставщик ПО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дополнительных функциональных возможностей в программное обеспечение или программно-технических средства на этапе разработки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аппаратном уровне</w:t>
            </w:r>
          </w:p>
        </w:tc>
      </w:tr>
      <w:tr>
        <w:trPr>
          <w:trHeight w:val="1304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Верстальщик сайтов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Конкурирующие организации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Получение конкурентных преимуществ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Несанкционированной доступ и воздействие на объекты на общесистемном уровне</w:t>
            </w:r>
          </w:p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Студент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Непреднамеренные, неосторожные или неквалифицированные действий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_RefHeading___Toc1593_4020003460"/>
      <w:bookmarkEnd w:id="7"/>
      <w:r>
        <w:rPr/>
        <w:t>Уровень проектной защищенности</w:t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099"/>
        <w:gridCol w:w="1350"/>
        <w:gridCol w:w="1172"/>
        <w:gridCol w:w="1027"/>
      </w:tblGrid>
      <w:tr>
        <w:trPr>
          <w:tblHeader w:val="true"/>
        </w:trPr>
        <w:tc>
          <w:tcPr>
            <w:tcW w:w="8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Структурно-функциональные характеристики информационной системы, условия её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защищенности</w:t>
            </w:r>
          </w:p>
        </w:tc>
      </w:tr>
      <w:tr>
        <w:trPr/>
        <w:tc>
          <w:tcPr>
            <w:tcW w:w="8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1. По структуре информационной системы:</w:t>
            </w:r>
          </w:p>
          <w:p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4. По наличию (отсутствию) взаимосвязей с иными информационными системами: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 через выделенную инфраструктуру (gov.ru или иную);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5/13 = 0.357 * 100% = 35.7%  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1595_4020003460"/>
      <w:bookmarkEnd w:id="8"/>
      <w:r>
        <w:rPr/>
        <w:t>Степень реализации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0273" w:type="dxa"/>
        <w:jc w:val="left"/>
        <w:tblInd w:w="-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43"/>
        <w:gridCol w:w="2700"/>
        <w:gridCol w:w="1532"/>
        <w:gridCol w:w="5397"/>
      </w:tblGrid>
      <w:tr>
        <w:trPr>
          <w:tblHeader w:val="true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Нарушаемое свойство информации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Степень ущерба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Пояснение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Доступность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предпосылок для нанесения вреда здоровью граждан(Взрыв аэропорта)</w:t>
            </w:r>
          </w:p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Возможность нарушения функционирования объектов обеспечения жизнедеятельности граждан(Закрытие аэропорта)</w:t>
            </w:r>
          </w:p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Неспособность выполнения международных (двусторонних) договорных обязательств  </w:t>
            </w:r>
          </w:p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восстановление деятельности</w:t>
            </w:r>
          </w:p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Недополучение ожидаемой (прогнозируемой) прибыли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sans-serif" w:hAnsi="sans-serif"/>
                <w:sz w:val="30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выплаты штрафов (неустоек) или компенсаций.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Появление негативных публикаций в общедоступных источниках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Увеличение количества жалоб в органы государственной власти или органы местного самоуправления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Утрата доверия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sans-serif" w:hAnsi="sans-serif"/>
                <w:sz w:val="30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Неспособность выполнения договорных обязательств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выплаты штрафов (неустоек) или компенсаций.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Появление негативных публикаций в общедоступных источниках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Увеличение количества жалоб в органы государственной власти или органы местного самоуправления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Утрата доверия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С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Появление негативных публикаций в общедоступных ис-точниках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Нарушение деловой репутации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Утрата доверия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(кража) финансовых средств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выплаты штрафов (неустоек) или компенсаций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Невозможность заключения договоров, соглашений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Возможность нарушения функционирования объектов обеспечения жизнедеятельности граждан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Увольнения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Невозможность заключения международных (двусторонних) договоров, соглашений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Снижение престижа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Нарушение деловой репутации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Конфиденциальность,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Снижение престижа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Утрата доверия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Конфиденциальность, 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Недополучение ожидаемой (прогнозируемой) прибыли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Утрата доверия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sans-serif" w:hAnsi="sans-serif"/>
                <w:sz w:val="30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Нарушение деловой репутации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закупку товаров, работ или услуг (в том числе закупка программного обеспечения, технических средств, вышедших из строя, замена, настройка, ремонт указанных средств)(Заражённый сервер)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Нарушение деловой репутации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Невозможность заключения договоров, соглашений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С 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Возможность нарушения функционирования объектов обеспечения жизнедеятельности граждан(Сайт работает некорректно )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восстановление деятельности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Появление негативных публикаций в общедоступных ис-точниках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sans-serif" w:hAnsi="sans-serif"/>
                <w:sz w:val="30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конкурентного преимущества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Возможность нарушения функционирования объектов обеспечения жизнедеятельности граждан(Данные не передаются, невозможность взаимодействия)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Недополучение ожидаемой (прогнозируемой) прибыли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Необходимость дополнительных (незапланированных) затрат на восстановление деятельности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Потеря клиентов, поставщиков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Невозможность заключения международных (двусторонних) договоров, соглашений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_RefHeading___Toc1597_4020003460"/>
      <w:bookmarkEnd w:id="9"/>
      <w:r>
        <w:rPr/>
        <w:t>Актуальность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10061" w:type="dxa"/>
        <w:jc w:val="left"/>
        <w:tblInd w:w="-4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46"/>
        <w:gridCol w:w="1903"/>
        <w:gridCol w:w="1786"/>
        <w:gridCol w:w="2090"/>
        <w:gridCol w:w="1990"/>
        <w:gridCol w:w="1345"/>
      </w:tblGrid>
      <w:tr>
        <w:trPr>
          <w:tblHeader w:val="true"/>
        </w:trPr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проектной защищенности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Потенциал нарушителя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Возможность реализации угрозы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rFonts w:eastAsia="Noto Sans CJK SC" w:cs="Lohit Devanagari"/>
                <w:b/>
                <w:bCs/>
                <w:color w:val="59C5C7"/>
                <w:kern w:val="2"/>
                <w:sz w:val="24"/>
                <w:szCs w:val="24"/>
                <w:lang w:val="ru-RU" w:eastAsia="zh-CN" w:bidi="hi-IN"/>
              </w:rPr>
              <w:t>Степень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 xml:space="preserve"> ущерба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Актуальность угрозы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color w:val="5C2D91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2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3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4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5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6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7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8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9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10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11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highlight w:val="yellow"/>
        </w:rPr>
      </w:pPr>
      <w:bookmarkStart w:id="10" w:name="__RefHeading___Toc1599_4020003460"/>
      <w:bookmarkEnd w:id="10"/>
      <w:r>
        <w:rPr/>
        <w:t>Меры защиты 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Подробно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Пассажиры, Бухгалтерия,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Доставка,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регулярного аудита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видеокамер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Установка металлодетекторов 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ленты интроскоп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19"/>
              </w:numPr>
              <w:rPr/>
            </w:pPr>
            <w:r>
              <w:rPr/>
              <w:t>Код ревью</w:t>
            </w:r>
          </w:p>
          <w:p>
            <w:pPr>
              <w:pStyle w:val="TableContents"/>
              <w:numPr>
                <w:ilvl w:val="0"/>
                <w:numId w:val="19"/>
              </w:numPr>
              <w:rPr/>
            </w:pPr>
            <w:r>
              <w:rPr/>
              <w:t>Создание тестовой среды</w:t>
            </w:r>
          </w:p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/>
              <w:t>Проверка сделанной работы</w:t>
            </w:r>
          </w:p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/>
              <w:t>Проверка кандидатов при трудоустройстве на работу</w:t>
            </w:r>
          </w:p>
        </w:tc>
      </w:tr>
      <w:tr>
        <w:trPr>
          <w:trHeight w:val="1479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Доставка продовольствия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Обучение персонала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>
                <w:i w:val="false"/>
                <w:iCs w:val="false"/>
              </w:rPr>
              <w:t>Проверка файлов перед скачиванием</w:t>
            </w:r>
          </w:p>
          <w:p>
            <w:pPr>
              <w:pStyle w:val="TableContents"/>
              <w:numPr>
                <w:ilvl w:val="0"/>
                <w:numId w:val="22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Установка антивирусного ПО</w:t>
            </w:r>
          </w:p>
          <w:p>
            <w:pPr>
              <w:pStyle w:val="TableContents"/>
              <w:numPr>
                <w:ilvl w:val="0"/>
                <w:numId w:val="22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Инструкции по использованию антивирусного ПО</w:t>
            </w:r>
          </w:p>
          <w:p>
            <w:pPr>
              <w:pStyle w:val="TableContents"/>
              <w:numPr>
                <w:ilvl w:val="0"/>
                <w:numId w:val="22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Обновление должностной инструкции</w:t>
            </w:r>
          </w:p>
          <w:p>
            <w:pPr>
              <w:pStyle w:val="TableContents"/>
              <w:numPr>
                <w:ilvl w:val="0"/>
                <w:numId w:val="22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Проведение инструктажа сотрудников</w:t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Криптографические 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3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регулярного аудита</w:t>
            </w:r>
          </w:p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Криптографические: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канала связи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регулярного аудита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регламента уборки особо важных помещений, таких как серверная</w:t>
            </w:r>
          </w:p>
          <w:p>
            <w:pPr>
              <w:pStyle w:val="TableContents"/>
              <w:ind w:left="720" w:right="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18"/>
              </w:numPr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видеокамер</w:t>
            </w:r>
          </w:p>
        </w:tc>
      </w:tr>
      <w:tr>
        <w:trPr>
          <w:trHeight w:val="2360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Проверка персонала перед приёмом на работу 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работой сотрудников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Контроль за финансовыми потоками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 →Касса</w:t>
            </w:r>
          </w:p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Касса →Пассажиры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7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психологическим состоянием сотрудников</w:t>
            </w:r>
          </w:p>
          <w:p>
            <w:pPr>
              <w:pStyle w:val="TableContents"/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Касса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Стеганографические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Криптографические:</w:t>
            </w:r>
          </w:p>
          <w:p>
            <w:pPr>
              <w:pStyle w:val="TableContents"/>
              <w:numPr>
                <w:ilvl w:val="0"/>
                <w:numId w:val="28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  <w:p>
            <w:pPr>
              <w:pStyle w:val="TableContents"/>
              <w:numPr>
                <w:ilvl w:val="0"/>
                <w:numId w:val="28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bookmarkStart w:id="11" w:name="__DdeLink__2783_4107573678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канала связи</w:t>
            </w:r>
            <w:bookmarkEnd w:id="11"/>
          </w:p>
          <w:p>
            <w:pPr>
              <w:pStyle w:val="TableContents"/>
              <w:rPr>
                <w:rFonts w:eastAsia="Noto Sans CJK SC" w:cs="Lohit Devanagari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Стеганографические:</w:t>
            </w:r>
          </w:p>
          <w:p>
            <w:pPr>
              <w:pStyle w:val="TableContents"/>
              <w:numPr>
                <w:ilvl w:val="0"/>
                <w:numId w:val="29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Использование цифровых водяных знаков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Банк →  Сервер</w:t>
            </w:r>
          </w:p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0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компаний перед заключением договора</w:t>
            </w:r>
          </w:p>
          <w:p>
            <w:pPr>
              <w:pStyle w:val="TableContents"/>
              <w:numPr>
                <w:ilvl w:val="0"/>
                <w:numId w:val="30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оборудования перед покупкой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Пассажиры, Доставка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eastAsia="Noto Sans CJK SC" w:cs="Lohit Devanagari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1"/>
              </w:numP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Проверка заказчиков и сделанной работы перед подписанием договора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i/>
                <w:iCs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2"/>
              </w:numPr>
              <w:rPr/>
            </w:pPr>
            <w:r>
              <w:rPr/>
              <w:t>Наведение порядка в серверной</w:t>
            </w:r>
          </w:p>
          <w:p>
            <w:pPr>
              <w:pStyle w:val="TableContents"/>
              <w:numPr>
                <w:ilvl w:val="0"/>
                <w:numId w:val="32"/>
              </w:numPr>
              <w:rPr/>
            </w:pPr>
            <w:r>
              <w:rPr/>
              <w:t>Организация удобных рабочих мест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2" w:name="__RefHeading___Toc1601_4020003460"/>
      <w:bookmarkEnd w:id="12"/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Организационные меры: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Административные:</w:t>
      </w:r>
    </w:p>
    <w:p>
      <w:pPr>
        <w:pStyle w:val="Normal"/>
        <w:numPr>
          <w:ilvl w:val="0"/>
          <w:numId w:val="33"/>
        </w:numPr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Организация пропускного режима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Обучение персонала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Проведение аудита компании</w:t>
      </w:r>
    </w:p>
    <w:p>
      <w:pPr>
        <w:pStyle w:val="TableContents"/>
        <w:numPr>
          <w:ilvl w:val="0"/>
          <w:numId w:val="33"/>
        </w:numPr>
        <w:rPr/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Проверка персонала перед приёмом на работу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Проверка оборудования перед покупкой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Контроль за работой сотрудников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 xml:space="preserve">Контроль за финансовыми потоками </w:t>
      </w:r>
    </w:p>
    <w:p>
      <w:pPr>
        <w:pStyle w:val="TableContents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Наведение порядка в серверной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Организация удобных рабочих мест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Проверка заказчиков и сделанной работы перед подписанием договора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Инструкции по использованию ПО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Обновление должностных инструкций</w:t>
      </w:r>
    </w:p>
    <w:p>
      <w:pPr>
        <w:pStyle w:val="TableContents"/>
        <w:numPr>
          <w:ilvl w:val="0"/>
          <w:numId w:val="33"/>
        </w:numP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Проведение инструктажа сотрудников и ознакомление с должностной инструкцией</w:t>
      </w:r>
    </w:p>
    <w:p>
      <w:pPr>
        <w:pStyle w:val="TableContents"/>
        <w:numPr>
          <w:ilvl w:val="0"/>
          <w:numId w:val="0"/>
        </w:numPr>
        <w:ind w:left="1440" w:hanging="0"/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ableContents"/>
        <w:rPr>
          <w:rFonts w:eastAsia="Noto Sans CJK SC" w:cs="Lohit Devanagari"/>
          <w:color w:val="auto"/>
          <w:kern w:val="2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lang w:val="ru-RU" w:eastAsia="zh-CN" w:bidi="hi-IN"/>
        </w:rPr>
        <w:tab/>
        <w:tab/>
      </w:r>
      <w:r>
        <w:rPr>
          <w:rFonts w:eastAsia="Noto Sans CJK SC" w:cs="Lohit Devanagari" w:ascii="Times New Roman" w:hAnsi="Times New Roman"/>
          <w:color w:val="1B75BC"/>
          <w:kern w:val="2"/>
          <w:sz w:val="32"/>
          <w:szCs w:val="32"/>
          <w:lang w:val="ru-RU" w:eastAsia="zh-CN" w:bidi="hi-IN"/>
        </w:rPr>
        <w:t>Программно-технические:</w:t>
      </w:r>
    </w:p>
    <w:p>
      <w:pPr>
        <w:pStyle w:val="TableContents"/>
        <w:numPr>
          <w:ilvl w:val="0"/>
          <w:numId w:val="34"/>
        </w:numPr>
        <w:rPr>
          <w:rFonts w:ascii="Liberation Serif" w:hAnsi="Liberation Serif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Создание резервной копии данных</w:t>
      </w:r>
    </w:p>
    <w:p>
      <w:pPr>
        <w:pStyle w:val="TableContents"/>
        <w:numPr>
          <w:ilvl w:val="0"/>
          <w:numId w:val="34"/>
        </w:numPr>
        <w:rPr/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Установка антивирусного ПО</w:t>
      </w:r>
      <w:r>
        <w:rPr>
          <w:rFonts w:eastAsia="Noto Sans CJK SC" w:cs="Lohit Devanagari" w:ascii="Times New Roman" w:hAnsi="Times New Roman"/>
          <w:color w:val="1B75BC"/>
          <w:kern w:val="2"/>
          <w:sz w:val="32"/>
          <w:szCs w:val="32"/>
          <w:lang w:val="ru-RU" w:eastAsia="zh-CN" w:bidi="hi-IN"/>
        </w:rPr>
        <w:tab/>
      </w:r>
    </w:p>
    <w:p>
      <w:pPr>
        <w:pStyle w:val="TableContents"/>
        <w:rPr>
          <w:rFonts w:ascii="Times New Roman" w:hAnsi="Times New Roman"/>
          <w:color w:val="00A65D"/>
          <w:sz w:val="32"/>
          <w:szCs w:val="32"/>
        </w:rPr>
      </w:pPr>
      <w:r>
        <w:rPr>
          <w:rFonts w:ascii="Times New Roman" w:hAnsi="Times New Roman"/>
          <w:color w:val="00A65D"/>
          <w:sz w:val="32"/>
          <w:szCs w:val="32"/>
        </w:rPr>
      </w:r>
    </w:p>
    <w:p>
      <w:pPr>
        <w:pStyle w:val="TableContents"/>
        <w:ind w:left="1440" w:right="0" w:hanging="0"/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Организационно - технические: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Установка видеокамер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Установка металлодетекторов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Установка лент Интроскоп</w:t>
      </w:r>
    </w:p>
    <w:p>
      <w:pPr>
        <w:pStyle w:val="TableContents"/>
        <w:ind w:righ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ableContents"/>
        <w:ind w:right="0" w:hanging="0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Криптографические меры:</w:t>
      </w:r>
    </w:p>
    <w:p>
      <w:pPr>
        <w:pStyle w:val="TableContents"/>
        <w:numPr>
          <w:ilvl w:val="0"/>
          <w:numId w:val="6"/>
        </w:numPr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канала связи</w:t>
      </w:r>
    </w:p>
    <w:p>
      <w:pPr>
        <w:pStyle w:val="TableContents"/>
        <w:numPr>
          <w:ilvl w:val="0"/>
          <w:numId w:val="6"/>
        </w:numPr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передаваемых данных</w:t>
      </w:r>
    </w:p>
    <w:p>
      <w:pPr>
        <w:pStyle w:val="TableContents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Стеганографические меры:</w:t>
      </w:r>
    </w:p>
    <w:p>
      <w:pPr>
        <w:pStyle w:val="TableContents"/>
        <w:numPr>
          <w:ilvl w:val="0"/>
          <w:numId w:val="7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Использование цифровых водяных знаков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3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3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3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sz w:val="3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3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3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IndexLink">
    <w:name w:val="Index Link"/>
    <w:qFormat/>
    <w:rPr/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3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  <w:sz w:val="24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Times New Roman" w:hAnsi="Times New Roman" w:cs="OpenSymbol"/>
      <w:sz w:val="28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8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sz w:val="32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  <w:sz w:val="28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  <w:sz w:val="24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sz w:val="24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  <w:sz w:val="28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New Roman" w:hAnsi="Times New Roman" w:cs="OpenSymbol"/>
      <w:sz w:val="28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  <w:sz w:val="24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sans-serif" w:hAnsi="sans-serif" w:cs="OpenSymbol"/>
      <w:sz w:val="30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  <w:sz w:val="24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  <w:sz w:val="24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sans-serif" w:hAnsi="sans-serif" w:cs="OpenSymbol"/>
      <w:sz w:val="30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  <w:sz w:val="24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  <w:sz w:val="24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  <w:sz w:val="24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sans-serif" w:hAnsi="sans-serif" w:cs="OpenSymbol"/>
      <w:sz w:val="30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sans-serif" w:hAnsi="sans-serif" w:cs="OpenSymbol"/>
      <w:sz w:val="30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  <w:sz w:val="24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  <w:sz w:val="24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24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  <w:sz w:val="24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  <w:sz w:val="24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  <w:sz w:val="24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  <w:sz w:val="24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  <w:sz w:val="24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  <w:sz w:val="24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  <w:sz w:val="24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  <w:sz w:val="24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Times New Roman" w:hAnsi="Times New Roman" w:cs="OpenSymbol"/>
      <w:sz w:val="28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  <w:sz w:val="28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  <w:sz w:val="24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  <w:sz w:val="24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  <w:sz w:val="28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imes New Roman" w:hAnsi="Times New Roman" w:cs="OpenSymbol"/>
      <w:sz w:val="28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  <w:sz w:val="28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  <w:sz w:val="24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sans-serif" w:hAnsi="sans-serif" w:cs="OpenSymbol"/>
      <w:sz w:val="30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  <w:sz w:val="24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  <w:sz w:val="24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sans-serif" w:hAnsi="sans-serif" w:cs="OpenSymbol"/>
      <w:sz w:val="30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  <w:sz w:val="24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  <w:sz w:val="24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  <w:sz w:val="24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sans-serif" w:hAnsi="sans-serif" w:cs="OpenSymbol"/>
      <w:sz w:val="30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sans-serif" w:hAnsi="sans-serif" w:cs="OpenSymbol"/>
      <w:sz w:val="30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  <w:sz w:val="24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  <w:sz w:val="24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  <w:sz w:val="24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  <w:sz w:val="24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  <w:sz w:val="24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  <w:sz w:val="24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  <w:sz w:val="24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  <w:sz w:val="24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  <w:sz w:val="24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  <w:sz w:val="24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Times New Roman" w:hAnsi="Times New Roman" w:cs="OpenSymbol"/>
      <w:sz w:val="28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  <w:sz w:val="28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  <w:sz w:val="24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  <w:sz w:val="24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  <w:sz w:val="28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Times New Roman" w:hAnsi="Times New Roman" w:cs="OpenSymbol"/>
      <w:sz w:val="28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  <w:sz w:val="28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  <w:sz w:val="24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sans-serif" w:hAnsi="sans-serif" w:cs="OpenSymbol"/>
      <w:sz w:val="30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  <w:sz w:val="24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  <w:sz w:val="24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sans-serif" w:hAnsi="sans-serif" w:cs="OpenSymbol"/>
      <w:sz w:val="30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ascii="Liberation Serif" w:hAnsi="Liberation Serif" w:cs="OpenSymbol"/>
      <w:sz w:val="24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  <w:sz w:val="24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  <w:sz w:val="24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sans-serif" w:hAnsi="sans-serif" w:cs="OpenSymbol"/>
      <w:sz w:val="30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sans-serif" w:hAnsi="sans-serif" w:cs="OpenSymbol"/>
      <w:sz w:val="30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  <w:sz w:val="24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  <w:sz w:val="24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  <w:sz w:val="24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  <w:sz w:val="24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  <w:sz w:val="24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  <w:sz w:val="24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sz w:val="24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sz w:val="24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  <w:sz w:val="24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sz w:val="24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  <w:sz w:val="24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Times New Roman" w:hAnsi="Times New Roman" w:cs="OpenSymbol"/>
      <w:sz w:val="28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  <w:sz w:val="28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right="0" w:hanging="0"/>
      <w:jc w:val="center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>
      <w:highlight w:val="whit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916</TotalTime>
  <Application>LibreOffice/6.0.7.3$Linux_X86_64 LibreOffice_project/00m0$Build-3</Application>
  <Pages>19</Pages>
  <Words>2075</Words>
  <Characters>14678</Characters>
  <CharactersWithSpaces>16240</CharactersWithSpaces>
  <Paragraphs>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2020-06-11T15:55:20Z</dcterms:modified>
  <cp:revision>57</cp:revision>
  <dc:subject/>
  <dc:title/>
</cp:coreProperties>
</file>