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ПРАВИТЕЛЬСТВО РОССИЙСКОЙ ФЕДЕРАЦИИ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Федеральное государственное автономное образовательное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учреждение высшего профессионального образования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Национальный исследовательский университет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«Высшая школа экономики»</w:t>
      </w:r>
    </w:p>
    <w:p>
      <w:pPr>
        <w:pStyle w:val="Normal"/>
        <w:jc w:val="center"/>
        <w:rPr>
          <w:sz w:val="30"/>
          <w:szCs w:val="36"/>
        </w:rPr>
      </w:pPr>
      <w:r>
        <w:rPr>
          <w:sz w:val="30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Московский институт электроники и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Факультет прикладной математики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0"/>
          <w:szCs w:val="36"/>
        </w:rPr>
        <w:t>Кафедра «Компьютерная безопасность»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ОТЧЁТ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 курсовой работе по дисциплине«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u w:val="none"/>
          <w:lang w:val="ru-RU" w:eastAsia="zh-CN" w:bidi="hi-IN"/>
        </w:rPr>
        <w:t>Основы информационной безопасности</w:t>
      </w: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»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Выполнил студент группы СКБ 172</w:t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right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Попов Юрий Леонидович</w:t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</w:r>
    </w:p>
    <w:p>
      <w:pPr>
        <w:pStyle w:val="Normal"/>
        <w:jc w:val="center"/>
        <w:rPr>
          <w:rFonts w:ascii="Times New Roman" w:hAnsi="Times New Roman"/>
          <w:sz w:val="30"/>
          <w:szCs w:val="36"/>
        </w:rPr>
      </w:pPr>
      <w:r>
        <w:rPr>
          <w:rFonts w:eastAsia="Noto Sans CJK SC" w:cs="Lohit Devanagari" w:ascii="Times New Roman" w:hAnsi="Times New Roman"/>
          <w:b w:val="false"/>
          <w:bCs w:val="false"/>
          <w:i w:val="false"/>
          <w:iCs w:val="false"/>
          <w:color w:val="auto"/>
          <w:kern w:val="2"/>
          <w:sz w:val="30"/>
          <w:szCs w:val="36"/>
          <w:lang w:val="ru-RU" w:eastAsia="zh-CN" w:bidi="hi-IN"/>
        </w:rPr>
        <w:t>Москва 2020</w:t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 xml:space="preserve">В качестве  объекта информатизации был выбран аэропорт. Объект информатизации функционирует внутри одного здания.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Билеты продаются через кассу в здании аэропорта, а также на сайте аэропорта через личный кабинет. Данные о пассажирах, рейсах, цен на билеты хранятся на сервере.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Денежные средства, поступающие от пассажиров учитываются в бухгалтерии, а затем отправляются в банк, с которым аэропорт взаимодействует через сервер. От сервера бане получает всю необходимую информацию, а затем загружает туда данные о транзакциях.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ab/>
        <w:t>Также аэропорт заключает контракты на поставку продовольствия. Бухгалтерия на сервере размещает информацию о требованиях и пожеланиях о еде, а внешние поставщики передают на сервер коммерческие предложения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</w:rPr>
        <w:t>Объект информатизации — Аэропорт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6120130" cy="3773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Способы передачи данных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3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ab/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6"/>
          <w:szCs w:val="36"/>
        </w:rPr>
        <w:t>Свойства информации, 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8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Передаваемая информация 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5"/>
        <w:gridCol w:w="2788"/>
        <w:gridCol w:w="5675"/>
      </w:tblGrid>
      <w:tr>
        <w:trPr>
          <w:tblHeader w:val="true"/>
        </w:trPr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F79448"/>
              </w:rPr>
            </w:pPr>
            <w:r>
              <w:rPr>
                <w:color w:val="F79448"/>
              </w:rPr>
              <w:t xml:space="preserve">Номер </w:t>
            </w:r>
          </w:p>
        </w:tc>
        <w:tc>
          <w:tcPr>
            <w:tcW w:w="2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Откуда →  Куда</w:t>
            </w:r>
          </w:p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>(Свойства информации, которые необходимо обеспечить)</w:t>
            </w:r>
          </w:p>
        </w:tc>
        <w:tc>
          <w:tcPr>
            <w:tcW w:w="5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F79448"/>
              </w:rPr>
            </w:pPr>
            <w:r>
              <w:rPr>
                <w:color w:val="F79448"/>
              </w:rPr>
              <w:t xml:space="preserve">Что </w:t>
            </w:r>
            <w:r>
              <w:rPr>
                <w:color w:val="F79448"/>
              </w:rPr>
              <w:t>передаётся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Касса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Для покупки билета на кассе пассажир предоставляет свои паспортные данные и персональные данные(телефон для связи и почту для отправки билета)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Касса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Кассир смотрит в БД свободны места на самолёте и печатает билет, выбранный пассажиром. Так же информация о билете отправляется на почту пассажира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5C2D91"/>
              </w:rPr>
              <w:t>Пассажиры</w:t>
            </w:r>
            <w:r>
              <w:rPr/>
              <w:t xml:space="preserve"> → 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На сервере крутится сайт для покупки авиабилетов. Пассажир загружает туда свои паспортные и персональные данные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5C2D91"/>
              </w:rPr>
              <w:t xml:space="preserve">Пассажиры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</w:t>
            </w:r>
            <w:r>
              <w:rPr>
                <w:color w:val="0066B3"/>
              </w:rPr>
              <w:t xml:space="preserve">К, </w:t>
            </w:r>
            <w:r>
              <w:rPr>
                <w:color w:val="0066B3"/>
              </w:rPr>
              <w:t>Ц, Д)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На сервере круглосуточно работает сайт. Сервер отправляет на почту пассажира его авиабилет.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Касса</w:t>
            </w:r>
            <w:r>
              <w:rPr>
                <w:color w:val="00B6BD"/>
              </w:rPr>
              <w:t xml:space="preserve"> </w:t>
            </w:r>
            <w:r>
              <w:rPr/>
              <w:t xml:space="preserve">→ Сервер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Кассир сканирует паспортные данные пассажира и вместе с выбранным им билетом отправляет на сервер.  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нешние поставщики передают на сервер коммерческие предложения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 заключении контрактов на поставку провизии.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Сервер → </w:t>
            </w:r>
            <w:r>
              <w:rPr>
                <w:color w:val="00B6BD"/>
              </w:rPr>
              <w:t>Доставка продовольствия</w:t>
            </w:r>
            <w:r>
              <w:rPr/>
              <w:t xml:space="preserve"> 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На сервере крутится сайт с требованиями к необходимой продукции. В случае согласования контракта, все необходимые договора с сервера отправляются поставщику.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Бухгалтерия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Бухгалтерию загружают на сервер финансовые отчёты, а также требования к продукции, необходимой аэропорту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 Бухгалтерия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При необходимости бухгалтерии сервер выгружает всю необходимую информацию</w:t>
            </w:r>
          </w:p>
        </w:tc>
      </w:tr>
      <w:tr>
        <w:trPr/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CE181E"/>
              </w:rPr>
              <w:t>Банк</w:t>
            </w:r>
            <w:r>
              <w:rPr/>
              <w:t xml:space="preserve"> →Сервер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Передаются результаты транзакции</w:t>
            </w:r>
          </w:p>
        </w:tc>
      </w:tr>
      <w:tr>
        <w:trPr>
          <w:trHeight w:val="416" w:hRule="atLeast"/>
        </w:trPr>
        <w:tc>
          <w:tcPr>
            <w:tcW w:w="11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7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Сервер →</w:t>
            </w:r>
            <w:r>
              <w:rPr>
                <w:color w:val="CE181E"/>
              </w:rPr>
              <w:t>Банк</w:t>
            </w:r>
          </w:p>
          <w:p>
            <w:pPr>
              <w:pStyle w:val="TableContents"/>
              <w:rPr>
                <w:color w:val="0066B3"/>
              </w:rPr>
            </w:pPr>
            <w:r>
              <w:rPr>
                <w:color w:val="0066B3"/>
              </w:rPr>
              <w:t>(К, Ц, Д)</w:t>
            </w:r>
          </w:p>
        </w:tc>
        <w:tc>
          <w:tcPr>
            <w:tcW w:w="56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Отчёты по всем транзакциям передаются в банк с сервера 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</w:rPr>
        <w:t>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</w:t>
      </w:r>
      <w:r>
        <w:rPr>
          <w:b/>
          <w:bCs/>
          <w:color w:val="21409A"/>
          <w:sz w:val="32"/>
          <w:szCs w:val="32"/>
          <w:vertAlign w:val="subscript"/>
        </w:rPr>
        <w:t xml:space="preserve">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 xml:space="preserve">Террорист,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работающий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 xml:space="preserve"> в доставк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е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 xml:space="preserve"> продовольствия; отсутствия контроля на вход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е аэропорта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; подрыв аэропорта; аэропорт; отказ в работе аэропорта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(Д: Сервер → Пассажиры)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Бухгалтерия)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(Д: Сервер → Доставщики продовольствия)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(Д: Сервер →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Банк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2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[системный администратор; неправильное конфигурирование сервера;  доступ к конфиденциальным данным;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сервер;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утечка данных] 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 → Б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анк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)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 → Доставщики продовольствия)</w:t>
      </w:r>
    </w:p>
    <w:p>
      <w:pPr>
        <w:pStyle w:val="Normal"/>
        <w:rPr>
          <w:rFonts w:ascii="Times New Roman" w:hAnsi="Times New Roman"/>
          <w:i/>
          <w:i/>
          <w:iCs/>
          <w:color w:val="ED1C24"/>
          <w:sz w:val="32"/>
          <w:szCs w:val="32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[уволенный сотрудник </w:t>
      </w:r>
      <w:r>
        <w:rPr>
          <w:position w:val="0"/>
          <w:sz w:val="32"/>
          <w:sz w:val="32"/>
          <w:szCs w:val="32"/>
          <w:vertAlign w:val="baseline"/>
        </w:rPr>
        <w:t>аэропорта</w:t>
      </w:r>
      <w:r>
        <w:rPr>
          <w:position w:val="0"/>
          <w:sz w:val="32"/>
          <w:sz w:val="32"/>
          <w:szCs w:val="32"/>
          <w:vertAlign w:val="baseline"/>
        </w:rPr>
        <w:t xml:space="preserve">, устроившийся работать в доставку еды;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низкая квалификация сотрудников аэропорта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при составлении и проверки договоров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неправильное составление договора и отсутствие наказания за разглашение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договор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ы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нарушение конфиденциальности договоров</w:t>
      </w:r>
      <w:r>
        <w:rPr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color w:val="ED1C24"/>
          <w:position w:val="0"/>
          <w:sz w:val="32"/>
          <w:sz w:val="32"/>
          <w:szCs w:val="32"/>
          <w:vertAlign w:val="baseline"/>
        </w:rPr>
        <w:t>(К: Доставка продовольствия→ Сервер)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4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хакер-любитель, ищущий уязвимости в интернете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наличие веб- уязвимостей на сайте;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SQL-инъекция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база данных на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доступ до данных на сервере]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(К: Сервер→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Пассажиры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5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[хакер- уборщик, убирающий в сервере;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отсутствие видеонаблюдения и контроля за обслуживающим персоналом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намеренное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изменение конфигурации сервера; сервер; доступ внутренних сотрудников до данных бухгалтерии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Бухгалтерия → Сервер)</w:t>
      </w:r>
    </w:p>
    <w:p>
      <w:pPr>
        <w:pStyle w:val="Normal"/>
        <w:rPr>
          <w:rFonts w:ascii="Times New Roman" w:hAnsi="Times New Roman"/>
          <w:i/>
          <w:i/>
          <w:iCs/>
          <w:color w:val="ED1C24"/>
        </w:rPr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6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бухгалтер «под прикрытием», работающий на другую компанию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отсутствия контроля данных, отправляемых на сервер; модификация финансовых отчётов;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рейтинг и репутация аэропорта; проблемы с налоговой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Бухгалтерия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7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[кассир; плохое отношение к сотрудника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м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доступ к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приобретаемым билетам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билеты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пассажиров; модификация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и разглашение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данных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о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пассажирах и их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билетах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Касса→ Пассажиры)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 →Касса)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Касса →Пассажиры)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8</w:t>
      </w:r>
      <w:r>
        <w:rPr>
          <w:b/>
          <w:bCs/>
          <w:color w:val="21409A"/>
          <w:sz w:val="32"/>
          <w:szCs w:val="32"/>
          <w:vertAlign w:val="subscript"/>
        </w:rPr>
        <w:t xml:space="preserve">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шпион; передача данных от кассы к серверу по открытому каналу связи; прослушивание канала и перехват/модификация передаваемой информации;  данные пассажиров; потеря данных пассажиров]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(К, Ц:  Касса→ Сервер)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9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[мастер по вызову, обслуживающий сервер; отсутствие наказания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за умышленные действия, направленные во вред компании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модификация сервера, с целью обеспечения возможности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проведение атаки Man In T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he Middle; данные на сервере; контроль передаваемой информации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Сервер→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Банк →  Сервер)</w:t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10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верстальщик сайтов; заключение договора с непроверенными компании; неправильное конфигурирование полей ввода, в результате которого к пользовательскому вводу добавляется лишняя информация; пользовательские данные; изменение вводимых пользователями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: Сервер→ Пассажиры)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: Сервер → Доставщики продовольствия)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11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программист; отсутствие ИТ- архитектора в компании; неправильное хранение cookie, что позволяет пользователю проходить не свою аутентификацию;  личные кабинеты пользователей; компрометация личных кабинетов пассажиров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Пассажиры→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</w:t>
      </w:r>
      <w:r>
        <w:rPr>
          <w:b/>
          <w:bCs/>
          <w:color w:val="21409A"/>
          <w:sz w:val="32"/>
          <w:szCs w:val="32"/>
          <w:vertAlign w:val="subscript"/>
        </w:rPr>
        <w:t>2</w:t>
      </w:r>
      <w:r>
        <w:rPr>
          <w:b/>
          <w:bCs/>
          <w:color w:val="21409A"/>
          <w:sz w:val="32"/>
          <w:szCs w:val="32"/>
          <w:vertAlign w:val="subscript"/>
        </w:rPr>
        <w:t xml:space="preserve">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студент, проходящий практику в качестве помощника системного администратора; беспорядок в серверной; нечаянное задевание аппаратуры, в результате которого, происходит отсоединение провода; серверная; часть данных не передаётся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: Сервер→ Банк)</w:t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 w:val="false"/>
          <w:b w:val="false"/>
          <w:bCs w:val="false"/>
          <w:color w:val="ED1C24"/>
          <w:position w:val="0"/>
          <w:sz w:val="40"/>
          <w:sz w:val="32"/>
          <w:szCs w:val="32"/>
          <w:vertAlign w:val="baseline"/>
        </w:rPr>
      </w:pPr>
      <w:r>
        <w:rPr>
          <w:rFonts w:ascii="Times New Roman" w:hAnsi="Times New Roman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43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530"/>
        <w:gridCol w:w="1080"/>
        <w:gridCol w:w="2160"/>
        <w:gridCol w:w="1530"/>
        <w:gridCol w:w="2610"/>
        <w:gridCol w:w="2520"/>
      </w:tblGrid>
      <w:tr>
        <w:trPr>
          <w:tblHeader w:val="tru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   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color w:val="00B6BD"/>
              </w:rPr>
            </w:pPr>
            <w:r>
              <w:rPr>
                <w:color w:val="00B6BD"/>
              </w:rPr>
              <w:t>Тип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Вид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Потенциал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Цель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Возможные способы реализации угроз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Террористические, экстремистские группировки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Организация террористического акта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Несанкционированной доступ и воздействие на объекты на общесистемном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Сис. админ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Администраторы информационной системы и администраторы безопасности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У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 xml:space="preserve">воленный сотрудник 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аэропорта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Бывшие работники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Реализация угроз безопасности информации из мести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акер-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любитель</w:t>
            </w:r>
          </w:p>
          <w:p>
            <w:pPr>
              <w:pStyle w:val="Normal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Воздействие на объекты на прикладном уровне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акер- уборщик</w:t>
            </w:r>
          </w:p>
          <w:p>
            <w:pPr>
              <w:pStyle w:val="Normal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обеспечивающие функционирование информационных систем или обслуживающие инфраструктура оператора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Внедрение дополнительных функциональных возможностей в программное обеспечение или 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программно-технических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средства на этапе разработки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Б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ухгалтер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Конкурирующие организации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 конкурентных преимуществ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 и воздействие на линии связи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Кассир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Причинение имущественного ущерба пут</w:t>
            </w:r>
            <w:r>
              <w:rPr>
                <w:rFonts w:ascii="Times New Roman" w:hAnsi="Times New Roman"/>
                <w:sz w:val="24"/>
                <w:szCs w:val="24"/>
              </w:rPr>
              <w:t>ём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мошенничества или иным преступным пут</w:t>
            </w:r>
            <w:r>
              <w:rPr>
                <w:rFonts w:ascii="Times New Roman" w:hAnsi="Times New Roman"/>
                <w:sz w:val="24"/>
                <w:szCs w:val="24"/>
              </w:rPr>
              <w:t>ём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Социальная инженерия</w:t>
            </w:r>
          </w:p>
        </w:tc>
      </w:tr>
      <w:tr>
        <w:trPr>
          <w:trHeight w:val="3166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Ш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пион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Внешние субъекты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7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Несанкционированный доступ и воздействие на объекты на сетевом уровне </w:t>
            </w:r>
          </w:p>
        </w:tc>
      </w:tr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Ма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стер по вызову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привлекаемые для установки, наладки, монтажа, пусконаладочных и иных видов работ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аппаратном уровне</w:t>
            </w:r>
          </w:p>
        </w:tc>
      </w:tr>
      <w:tr>
        <w:trPr>
          <w:trHeight w:val="3212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В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ерстальщик сайтов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Лица, привлекаемые для установки, наладки, монтажа, пусконаладочных и иных видов работ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Внедрение дополнительных функциональных возможностей в программное обеспечение или 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программно-технических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средства на этапе разработки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Несанкционированной доступ и воздействие на объекты на общесистемном уровне 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П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рограммист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Внутренний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Реализация угроз безопасности информации непреднамеренно из-за неосторожности или неквалифицированных действий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доступ и  воздействие на объекты на прикладном уровне (браузер)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тудент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Внешний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Пользователи информационной системы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Непреднамеренные, неосторожные или неквалифицированные действи</w:t>
            </w: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й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Несанкционированный физический доступ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ageBreakBefore w:val="false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40"/>
          <w:sz w:val="40"/>
          <w:szCs w:val="40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40"/>
          <w:sz w:val="40"/>
          <w:szCs w:val="40"/>
          <w:vertAlign w:val="baseline"/>
        </w:rPr>
      </w:r>
      <w:r>
        <w:br w:type="page"/>
      </w:r>
    </w:p>
    <w:p>
      <w:pPr>
        <w:pStyle w:val="Normal"/>
        <w:jc w:val="center"/>
        <w:rPr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position w:val="0"/>
          <w:sz w:val="36"/>
          <w:sz w:val="36"/>
          <w:szCs w:val="36"/>
          <w:vertAlign w:val="baseline"/>
        </w:rPr>
        <w:t>Уровень проектной защищенности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40"/>
          <w:sz w:val="40"/>
          <w:szCs w:val="40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40"/>
          <w:sz w:val="40"/>
          <w:szCs w:val="40"/>
          <w:vertAlign w:val="baseline"/>
        </w:rPr>
      </w:r>
    </w:p>
    <w:tbl>
      <w:tblPr>
        <w:tblW w:w="11649" w:type="dxa"/>
        <w:jc w:val="left"/>
        <w:tblInd w:w="-10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099"/>
        <w:gridCol w:w="1350"/>
        <w:gridCol w:w="1171"/>
        <w:gridCol w:w="1028"/>
      </w:tblGrid>
      <w:tr>
        <w:trPr>
          <w:tblHeader w:val="true"/>
        </w:trPr>
        <w:tc>
          <w:tcPr>
            <w:tcW w:w="8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Структурно-функциональные характеристики информационной системы, условия её эксплуатации</w:t>
            </w:r>
          </w:p>
        </w:tc>
        <w:tc>
          <w:tcPr>
            <w:tcW w:w="3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защищенности</w:t>
            </w:r>
          </w:p>
        </w:tc>
      </w:tr>
      <w:tr>
        <w:trPr/>
        <w:tc>
          <w:tcPr>
            <w:tcW w:w="809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Высокий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Средний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Низкий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1. По структуре информационной системы:</w:t>
            </w:r>
          </w:p>
          <w:p>
            <w:pPr>
              <w:pStyle w:val="TableContents"/>
              <w:rPr>
                <w:rFonts w:ascii="sans-serif" w:hAnsi="sans-serif"/>
                <w:sz w:val="32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>локальная информационная система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2. По используемым информационным технологиям: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системы с технологиями беспроводного доступа;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3. По архитектуре информационной системы: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системы на основе «тонкого клиента»;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файл-серверные системы;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центры обработки данных;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разных типов операционных систем;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4. По наличию (отсутствию) взаимосвязей с иными информационными системами: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взаимодействующая с системами;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5. По наличию (отсутствию) взаимосвязей (подключений) к сетям связи общего пользования: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подключённая через выделенную инфраструктуру (gov.ru или иную);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6. По размещению технических средств: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расположенные в пределах одной контролируемой зоны;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7. По режимам обработки информации в информационной системе: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многопользовательский;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8. По режимам разграничения прав доступа: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разграничением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9. По режимам разделения функций по управлению информационной системой: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color w:val="A3238E"/>
                <w:sz w:val="24"/>
                <w:szCs w:val="24"/>
              </w:rPr>
              <w:t>10. По подходам к сегментированию информационной системы: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  <w:t>с сегментированием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«+» в высоком уровне: </w:t>
        <w:tab/>
        <w:t xml:space="preserve">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среднем уровне:  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низком   уровне:  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 высоком и среднем вместе: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Всего:  2 + 7 + 5 =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5/13 = 0.357 * 100% = 35.7%  &gt; 10% =&gt;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 xml:space="preserve">Проектная защищенность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низкая</w:t>
      </w:r>
      <w:r>
        <w:br w:type="page"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position w:val="0"/>
          <w:sz w:val="36"/>
          <w:sz w:val="36"/>
          <w:szCs w:val="36"/>
          <w:vertAlign w:val="baseline"/>
        </w:rPr>
        <w:t>Актуальность угроз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605" w:type="dxa"/>
        <w:jc w:val="left"/>
        <w:tblInd w:w="-99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94"/>
        <w:gridCol w:w="2510"/>
        <w:gridCol w:w="2305"/>
        <w:gridCol w:w="1608"/>
        <w:gridCol w:w="1610"/>
        <w:gridCol w:w="2577"/>
      </w:tblGrid>
      <w:tr>
        <w:trPr>
          <w:tblHeader w:val="true"/>
        </w:trPr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Уровень проектной защищенности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Потенциал нарушителя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Возможность реализации угрозы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Степень ущерба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Актуальность угрозы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2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3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4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5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6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7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8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9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10</w:t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</w:t>
            </w:r>
            <w:r>
              <w:rPr>
                <w:b/>
                <w:bCs/>
                <w:color w:val="5C2D91"/>
                <w:vertAlign w:val="subscript"/>
              </w:rPr>
              <w:t>1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</w:t>
            </w:r>
            <w:r>
              <w:rPr>
                <w:b/>
                <w:bCs/>
                <w:color w:val="5C2D91"/>
                <w:vertAlign w:val="subscript"/>
              </w:rPr>
              <w:t>2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450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CAED5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1B75BC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Меры защиты 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700" w:type="dxa"/>
        <w:jc w:val="left"/>
        <w:tblInd w:w="-10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67"/>
        <w:gridCol w:w="1350"/>
        <w:gridCol w:w="1266"/>
        <w:gridCol w:w="2875"/>
        <w:gridCol w:w="4142"/>
      </w:tblGrid>
      <w:tr>
        <w:trPr>
          <w:tblHeader w:val="true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Ребро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Свойство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Угроза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Категория мер защиты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Подробно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Пассажиры, Бухгалтерия,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Доставка,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-Внедрение контроля доступа в помещения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-Введение видеонаблюдения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-Более тщательная проверка персонала и людей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-Создание условий для соблюдения правил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проверок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Организационные,</w:t>
            </w:r>
          </w:p>
          <w:p>
            <w:pPr>
              <w:pStyle w:val="TableContents"/>
              <w:jc w:val="center"/>
              <w:rPr/>
            </w:pPr>
            <w:r>
              <w:rPr/>
              <w:t>Технические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Код ревью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Проверки сделанной работы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Создание тестовой среды</w:t>
            </w:r>
          </w:p>
        </w:tc>
      </w:tr>
      <w:tr>
        <w:trPr>
          <w:trHeight w:val="1479" w:hRule="atLeast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Доставка продовольствия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3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-Создание условий для соблюдения правил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сохранения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Внедрение поощрений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4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Технические, </w:t>
            </w:r>
          </w:p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Криптографические меры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-Проведение аудита веб-сайта и всей компании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Шифрование передаваемых данных, а также данных, хранящихся на самом сервере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проверок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 → Бухгалтерия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5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Технические , </w:t>
            </w:r>
          </w:p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-Внедрение контроля доступа в помещения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-Введение видеонаблюдения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-Более тщательная проверка персонала и людей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 →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6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Организационные,</w:t>
            </w:r>
          </w:p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Технические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Проверка персонала перед приёмом на работу 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Контроль за работой сотрудников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Контроль за финансовыми потоками 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 →Касс</w:t>
            </w: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а</w:t>
            </w:r>
          </w:p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Касса →Пассажиры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К, </w:t>
            </w:r>
            <w:r>
              <w:rPr/>
              <w:t>Ц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7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сохранения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Внедрение поощрений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Контроль за состоянием сотрудников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условий для соблюдения правил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Касса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8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Криптографические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анк →  Сервер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9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Организационные,</w:t>
            </w:r>
          </w:p>
          <w:p>
            <w:pPr>
              <w:pStyle w:val="TableContents"/>
              <w:jc w:val="center"/>
              <w:rPr/>
            </w:pPr>
            <w:r>
              <w:rPr/>
              <w:t>Криптографические,</w:t>
            </w:r>
          </w:p>
          <w:p>
            <w:pPr>
              <w:pStyle w:val="TableContents"/>
              <w:jc w:val="center"/>
              <w:rPr/>
            </w:pPr>
            <w:r>
              <w:rPr/>
              <w:t>Стеганографические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Шифрование данных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Использование водяных знаков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Контроль  за работниками по найму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Тщательный выбор работников по найму</w:t>
            </w:r>
          </w:p>
        </w:tc>
      </w:tr>
      <w:tr>
        <w:trPr/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 → 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Пассажиры, Доставка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10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Создание законов(правил) заключения контрактов </w:t>
            </w:r>
          </w:p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Проверка заказчиков и сделанной работы перед подписанием договора и оплатой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Пассажиры→ Сервер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  <w:p>
            <w:pPr>
              <w:pStyle w:val="TableContents"/>
              <w:jc w:val="center"/>
              <w:rPr/>
            </w:pPr>
            <w:r>
              <w:rPr/>
              <w:t>Технические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Код ревью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Контроль всего процесса разработки в целом</w:t>
            </w:r>
          </w:p>
          <w:p>
            <w:pPr>
              <w:pStyle w:val="TableContents"/>
              <w:rPr/>
            </w:pPr>
            <w:r>
              <w:rPr>
                <w:rFonts w:ascii="sans-serif" w:hAnsi="sans-serif"/>
                <w:sz w:val="26"/>
              </w:rPr>
              <w:t>-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аудита веб-сайта и всей компании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Noto Sans CJK SC" w:cs="Lohit Devanagari"/>
                <w:b w:val="false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ED1C24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Сервер → Банк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- </w:t>
            </w:r>
            <w:r>
              <w:rPr/>
              <w:t>Наведение порядка в серверной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Организация удобных рабочих мест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>Организационные меры: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Законодательные:</w:t>
      </w:r>
    </w:p>
    <w:p>
      <w:pPr>
        <w:pStyle w:val="TableContents"/>
        <w:numPr>
          <w:ilvl w:val="0"/>
          <w:numId w:val="7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Создание законов(правил) заключения контрактов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Морально — этические</w:t>
      </w:r>
      <w:r>
        <w:rPr>
          <w:rFonts w:ascii="Times New Roman" w:hAnsi="Times New Roman"/>
          <w:color w:val="A3238E"/>
          <w:sz w:val="32"/>
          <w:szCs w:val="32"/>
        </w:rPr>
        <w:t>:</w:t>
      </w:r>
    </w:p>
    <w:p>
      <w:pPr>
        <w:pStyle w:val="TableContents"/>
        <w:numPr>
          <w:ilvl w:val="0"/>
          <w:numId w:val="3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Введение поощрений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Административные:</w:t>
      </w:r>
    </w:p>
    <w:p>
      <w:pPr>
        <w:pStyle w:val="TableContents"/>
        <w:numPr>
          <w:ilvl w:val="0"/>
          <w:numId w:val="8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Проверка заказчиков и сделанной работы перед подписанием договора и оплатой</w:t>
      </w:r>
    </w:p>
    <w:p>
      <w:pPr>
        <w:pStyle w:val="TableContents"/>
        <w:numPr>
          <w:ilvl w:val="0"/>
          <w:numId w:val="8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Б</w:t>
      </w: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олее тщательная проверка персонала</w:t>
      </w:r>
    </w:p>
    <w:p>
      <w:pPr>
        <w:pStyle w:val="TableContents"/>
        <w:numPr>
          <w:ilvl w:val="0"/>
          <w:numId w:val="8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Создание условий для соблюдения правил</w:t>
      </w:r>
    </w:p>
    <w:p>
      <w:pPr>
        <w:pStyle w:val="TableContents"/>
        <w:numPr>
          <w:ilvl w:val="0"/>
          <w:numId w:val="8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Создание условий для сохранения сотрудников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Проведение обучения персонала</w:t>
      </w:r>
    </w:p>
    <w:p>
      <w:pPr>
        <w:pStyle w:val="Normal"/>
        <w:rPr/>
      </w:pPr>
      <w:r>
        <w:rPr>
          <w:rFonts w:ascii="Times New Roman" w:hAnsi="Times New Roman"/>
          <w:color w:val="A3238E"/>
          <w:sz w:val="32"/>
          <w:szCs w:val="32"/>
        </w:rPr>
        <w:tab/>
      </w:r>
      <w:r>
        <w:rPr>
          <w:rFonts w:ascii="Times New Roman" w:hAnsi="Times New Roman"/>
          <w:color w:val="00A65D"/>
          <w:sz w:val="32"/>
          <w:szCs w:val="32"/>
        </w:rPr>
        <w:t>Организационно - технические: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Внедрение контроля доступа в помещения</w:t>
      </w:r>
    </w:p>
    <w:p>
      <w:pPr>
        <w:pStyle w:val="TableContents"/>
        <w:numPr>
          <w:ilvl w:val="0"/>
          <w:numId w:val="3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Введение видеонаблюдения</w:t>
      </w:r>
    </w:p>
    <w:p>
      <w:pPr>
        <w:pStyle w:val="Normal"/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/>
      </w:r>
    </w:p>
    <w:p>
      <w:pPr>
        <w:pStyle w:val="TableContents"/>
        <w:numPr>
          <w:ilvl w:val="0"/>
          <w:numId w:val="0"/>
        </w:numPr>
        <w:ind w:left="1440" w:hanging="0"/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/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Криптографические меры:</w:t>
      </w:r>
    </w:p>
    <w:p>
      <w:pPr>
        <w:pStyle w:val="TableContents"/>
        <w:numPr>
          <w:ilvl w:val="0"/>
          <w:numId w:val="5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 xml:space="preserve"> </w:t>
      </w: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Шифрование данных, отправляемых на сервер</w:t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Технические меры:</w:t>
      </w:r>
    </w:p>
    <w:p>
      <w:pPr>
        <w:pStyle w:val="TableContents"/>
        <w:numPr>
          <w:ilvl w:val="0"/>
          <w:numId w:val="4"/>
        </w:numPr>
        <w:rPr/>
      </w:pPr>
      <w:r>
        <w:rPr>
          <w:rFonts w:ascii="Times New Roman" w:hAnsi="Times New Roman"/>
          <w:color w:val="000000"/>
          <w:sz w:val="32"/>
          <w:szCs w:val="32"/>
        </w:rPr>
        <w:t>Код ревью</w:t>
      </w:r>
    </w:p>
    <w:p>
      <w:pPr>
        <w:pStyle w:val="TableContents"/>
        <w:numPr>
          <w:ilvl w:val="0"/>
          <w:numId w:val="4"/>
        </w:numPr>
        <w:rPr/>
      </w:pPr>
      <w:r>
        <w:rPr>
          <w:rFonts w:ascii="Times New Roman" w:hAnsi="Times New Roman"/>
          <w:color w:val="000000"/>
          <w:sz w:val="32"/>
          <w:szCs w:val="32"/>
        </w:rPr>
        <w:t xml:space="preserve">Создание тестовой среды </w:t>
      </w:r>
    </w:p>
    <w:p>
      <w:pPr>
        <w:pStyle w:val="TableContents"/>
        <w:numPr>
          <w:ilvl w:val="0"/>
          <w:numId w:val="4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 xml:space="preserve">Введение проверок, в том числе нештатных </w:t>
      </w:r>
    </w:p>
    <w:p>
      <w:pPr>
        <w:pStyle w:val="TableContents"/>
        <w:numPr>
          <w:ilvl w:val="0"/>
          <w:numId w:val="4"/>
        </w:numPr>
        <w:rPr>
          <w:rFonts w:ascii="Times New Roman" w:hAnsi="Times New Roman" w:eastAsia="Noto Sans CJK SC" w:cs="Lohit Devanagari"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Проведение аудита веб-сайта и всей компании</w:t>
      </w:r>
    </w:p>
    <w:p>
      <w:pPr>
        <w:pStyle w:val="TableContents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A3238E"/>
          <w:sz w:val="32"/>
          <w:szCs w:val="32"/>
        </w:rPr>
      </w:pPr>
      <w:r>
        <w:rPr>
          <w:rFonts w:ascii="Times New Roman" w:hAnsi="Times New Roman"/>
          <w:color w:val="A3238E"/>
          <w:sz w:val="32"/>
          <w:szCs w:val="32"/>
        </w:rPr>
        <w:t>Стеганографические меры:</w:t>
      </w:r>
    </w:p>
    <w:p>
      <w:pPr>
        <w:pStyle w:val="TableContents"/>
        <w:numPr>
          <w:ilvl w:val="0"/>
          <w:numId w:val="6"/>
        </w:numPr>
        <w:rPr/>
      </w:pPr>
      <w:r>
        <w:rPr>
          <w:rFonts w:eastAsia="Noto Sans CJK SC" w:cs="Lohit Devanagari" w:ascii="Times New Roman" w:hAnsi="Times New Roman"/>
          <w:color w:val="auto"/>
          <w:kern w:val="2"/>
          <w:sz w:val="32"/>
          <w:szCs w:val="32"/>
          <w:lang w:val="ru-RU" w:eastAsia="zh-CN" w:bidi="hi-IN"/>
        </w:rPr>
        <w:t>Использование цифровых водяных знаков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3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3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3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LibreOffice/6.0.7.3$Linux_X86_64 LibreOffice_project/00m0$Build-3</Application>
  <Pages>16</Pages>
  <Words>1795</Words>
  <Characters>12092</Characters>
  <CharactersWithSpaces>13560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2020-05-30T06:48:58Z</dcterms:modified>
  <cp:revision>28</cp:revision>
  <dc:subject/>
  <dc:title/>
</cp:coreProperties>
</file>