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mbria" w:hAnsi="Cambria"/>
          <w:b/>
          <w:color w:val="C8102E"/>
          <w:sz w:val="30"/>
        </w:rPr>
        <w:t>CLARK ATLANTA UNIVERSITY</w:t>
      </w:r>
    </w:p>
    <w:p>
      <w:pPr>
        <w:spacing w:after="200"/>
      </w:pPr>
      <w:r>
        <w:rPr>
          <w:rFonts w:ascii="Cambria" w:hAnsi="Cambria"/>
          <w:b/>
          <w:color w:val="1B1512"/>
          <w:sz w:val="26"/>
        </w:rPr>
        <w:t>CUSW 403 – Practice Competency I</w:t>
      </w:r>
    </w:p>
    <w:p>
      <w:pPr>
        <w:spacing w:after="120"/>
      </w:pPr>
      <w:r>
        <w:rPr>
          <w:b w:val="0"/>
          <w:i w:val="0"/>
          <w:sz w:val="22"/>
        </w:rPr>
        <w:t>Whitney M. Young, Jr. School of Social Work</w:t>
      </w:r>
    </w:p>
    <w:p>
      <w:pPr>
        <w:spacing w:after="120"/>
      </w:pPr>
      <w:r>
        <w:rPr>
          <w:b w:val="0"/>
          <w:i w:val="0"/>
          <w:sz w:val="22"/>
        </w:rPr>
        <w:t>BSW Program</w:t>
      </w:r>
    </w:p>
    <w:p>
      <w:pPr>
        <w:spacing w:after="120"/>
      </w:pPr>
      <w:r>
        <w:rPr>
          <w:b/>
          <w:i w:val="0"/>
          <w:sz w:val="22"/>
        </w:rPr>
        <w:t>Instructor: Dr. Ivis Renee King</w:t>
      </w:r>
    </w:p>
    <w:p>
      <w:pPr>
        <w:spacing w:after="120"/>
      </w:pPr>
      <w:r>
        <w:rPr>
          <w:b w:val="0"/>
          <w:i w:val="0"/>
          <w:sz w:val="22"/>
        </w:rPr>
        <w:t>Email: iking@cau.edu</w:t>
      </w:r>
    </w:p>
    <w:p>
      <w:pPr>
        <w:spacing w:after="120"/>
      </w:pPr>
      <w:r>
        <w:rPr>
          <w:b w:val="0"/>
          <w:i w:val="0"/>
          <w:sz w:val="22"/>
        </w:rPr>
        <w:t>Term: Fall 2026 (Pre-Practice Experience Pilot)</w:t>
      </w:r>
    </w:p>
    <w:p>
      <w:pPr>
        <w:spacing w:after="120"/>
      </w:pPr>
      <w:r>
        <w:rPr>
          <w:b w:val="0"/>
          <w:i w:val="0"/>
          <w:sz w:val="22"/>
        </w:rPr>
        <w:t>Office Location: Thayer Hall, Room 317</w:t>
      </w:r>
    </w:p>
    <w:p>
      <w:pPr>
        <w:spacing w:after="120"/>
      </w:pPr>
      <w:r>
        <w:rPr>
          <w:b w:val="0"/>
          <w:i w:val="0"/>
          <w:sz w:val="22"/>
        </w:rPr>
        <w:t>Office Phone: [ADD OFFICE PHONE]</w:t>
      </w:r>
    </w:p>
    <w:p>
      <w:pPr>
        <w:spacing w:after="120"/>
      </w:pPr>
      <w:r>
        <w:rPr>
          <w:b w:val="0"/>
          <w:i w:val="0"/>
          <w:sz w:val="22"/>
        </w:rPr>
        <w:t>Office Hours: Wednesdays 1:00pm–4:00pm (in-person, Thayer Hall Room 317) · Thursdays 9:00am–12:00pm (Zoom, Meeting ID 465 836 7382, no passcode, waiting room enabled) · Book via the Zoom item in the Canvas course menu</w:t>
      </w:r>
    </w:p>
    <w:p>
      <w:pPr>
        <w:spacing w:after="280"/>
      </w:pPr>
      <w:r>
        <w:rPr>
          <w:b w:val="0"/>
          <w:i w:val="0"/>
          <w:sz w:val="22"/>
        </w:rPr>
        <w:t>Zoom Meetings Link: [ADD SCHEDULING LINK]</w:t>
      </w:r>
    </w:p>
    <w:p>
      <w:r>
        <w:br/>
      </w:r>
    </w:p>
    <w:p>
      <w:pPr>
        <w:pStyle w:val="Heading1"/>
      </w:pPr>
      <w:r>
        <w:t>Course Information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3024"/>
            <w:shd w:val="clear" w:color="auto" w:fill="F7F1E4"/>
          </w:tcPr>
          <w:p>
            <w:r/>
            <w:r>
              <w:rPr>
                <w:rFonts w:ascii="Calibri" w:hAnsi="Calibri"/>
                <w:b/>
                <w:sz w:val="20"/>
              </w:rPr>
              <w:t>CUSW 403</w:t>
            </w:r>
          </w:p>
        </w:tc>
        <w:tc>
          <w:tcPr>
            <w:tcW w:type="dxa" w:w="6336"/>
            <w:gridSpan w:val="2"/>
            <w:shd w:val="clear" w:color="auto" w:fill="F7F1E4"/>
          </w:tcPr>
          <w:p>
            <w:r/>
            <w:r>
              <w:rPr>
                <w:rFonts w:ascii="Calibri" w:hAnsi="Calibri"/>
                <w:b w:val="0"/>
                <w:sz w:val="20"/>
              </w:rPr>
              <w:t>Practice Competency I</w:t>
            </w:r>
          </w:p>
        </w:tc>
      </w:tr>
      <w:tr>
        <w:tc>
          <w:tcPr>
            <w:tcW w:type="dxa" w:w="3024"/>
            <w:shd w:val="clear" w:color="auto" w:fill="F7F1E4"/>
          </w:tcPr>
          <w:p>
            <w:r/>
            <w:r>
              <w:rPr>
                <w:rFonts w:ascii="Calibri" w:hAnsi="Calibri"/>
                <w:b w:val="0"/>
                <w:sz w:val="20"/>
              </w:rPr>
              <w:t>Course Section: [SECTION]</w:t>
            </w:r>
          </w:p>
        </w:tc>
        <w:tc>
          <w:tcPr>
            <w:tcW w:type="dxa" w:w="3024"/>
            <w:shd w:val="clear" w:color="auto" w:fill="F7F1E4"/>
          </w:tcPr>
          <w:p>
            <w:r/>
            <w:r>
              <w:rPr>
                <w:rFonts w:ascii="Calibri" w:hAnsi="Calibri"/>
                <w:b w:val="0"/>
                <w:sz w:val="20"/>
              </w:rPr>
              <w:t>Semester Hours: 3</w:t>
            </w:r>
          </w:p>
        </w:tc>
        <w:tc>
          <w:tcPr>
            <w:tcW w:type="dxa" w:w="3312"/>
            <w:shd w:val="clear" w:color="auto" w:fill="F7F1E4"/>
          </w:tcPr>
          <w:p>
            <w:r/>
            <w:r>
              <w:rPr>
                <w:rFonts w:ascii="Calibri" w:hAnsi="Calibri"/>
                <w:b w:val="0"/>
                <w:sz w:val="20"/>
              </w:rPr>
              <w:t>Level (U/G): Undergraduate</w:t>
            </w:r>
          </w:p>
        </w:tc>
      </w:tr>
      <w:tr>
        <w:tc>
          <w:tcPr>
            <w:tcW w:type="dxa" w:w="3024"/>
            <w:shd w:val="clear" w:color="auto" w:fill="F7F1E4"/>
          </w:tcPr>
          <w:p>
            <w:r/>
            <w:r>
              <w:rPr>
                <w:rFonts w:ascii="Calibri" w:hAnsi="Calibri"/>
                <w:b w:val="0"/>
                <w:sz w:val="20"/>
              </w:rPr>
              <w:t>Meeting Day(s): [TBD]</w:t>
            </w:r>
          </w:p>
        </w:tc>
        <w:tc>
          <w:tcPr>
            <w:tcW w:type="dxa" w:w="3024"/>
            <w:shd w:val="clear" w:color="auto" w:fill="F7F1E4"/>
          </w:tcPr>
          <w:p>
            <w:r/>
            <w:r>
              <w:rPr>
                <w:rFonts w:ascii="Calibri" w:hAnsi="Calibri"/>
                <w:b w:val="0"/>
                <w:sz w:val="20"/>
              </w:rPr>
              <w:t>Meeting Time(s): [TBD]</w:t>
            </w:r>
          </w:p>
        </w:tc>
        <w:tc>
          <w:tcPr>
            <w:tcW w:type="dxa" w:w="3312"/>
            <w:shd w:val="clear" w:color="auto" w:fill="F7F1E4"/>
          </w:tcPr>
          <w:p>
            <w:r/>
            <w:r>
              <w:rPr>
                <w:rFonts w:ascii="Calibri" w:hAnsi="Calibri"/>
                <w:b w:val="0"/>
                <w:sz w:val="20"/>
              </w:rPr>
              <w:t>Meeting Location: [TBD]</w:t>
            </w:r>
          </w:p>
        </w:tc>
      </w:tr>
    </w:tbl>
    <w:p>
      <w:pPr>
        <w:spacing w:after="120"/>
      </w:pPr>
      <w:r>
        <w:rPr>
          <w:b w:val="0"/>
          <w:i w:val="0"/>
          <w:sz w:val="22"/>
        </w:rPr>
      </w:r>
    </w:p>
    <w:p>
      <w:pPr>
        <w:pStyle w:val="Heading1"/>
      </w:pPr>
      <w:r>
        <w:t>Course Description</w:t>
      </w:r>
    </w:p>
    <w:p>
      <w:pPr>
        <w:spacing w:after="120"/>
      </w:pPr>
      <w:r>
        <w:rPr>
          <w:b w:val="0"/>
          <w:i w:val="0"/>
          <w:sz w:val="22"/>
        </w:rPr>
        <w:t>CUSW 403, Practice Competency I, introduces generalist social work practice through the Generalist Intervention Model (GIM). This pilot section incorporates a Pre-Practice Experience (PPE): students build and benchmark engagement, assessment, and planning skills through simulation and a shared case study before rotating through supervised observation in child welfare, mental health, and community-organization settings. The course also introduces students to the ethical use of AI tools in generalist practice. The Afrocentric Perspective — the School's culturally grounded practice framework — is applied throughout, with specific focus in this course on Matrix Roles, Intuitive, and Humanistic Values.</w:t>
      </w:r>
    </w:p>
    <w:p>
      <w:pPr>
        <w:pStyle w:val="Heading1"/>
      </w:pPr>
      <w:r>
        <w:t>Course Learning Objectives</w:t>
      </w:r>
    </w:p>
    <w:p>
      <w:pPr>
        <w:spacing w:after="120"/>
      </w:pPr>
      <w:r>
        <w:rPr>
          <w:b w:val="0"/>
          <w:i w:val="0"/>
          <w:sz w:val="22"/>
        </w:rPr>
        <w:t>Upon completion of the course, students will be able to:</w:t>
      </w:r>
    </w:p>
    <w:p>
      <w:pPr>
        <w:pStyle w:val="ListNumber"/>
      </w:pPr>
      <w:r>
        <w:rPr>
          <w:sz w:val="22"/>
        </w:rPr>
        <w:t>Explain core social work knowledge, skills, and professional behaviors for generalist social work practice. (Modules 1–2)</w:t>
      </w:r>
    </w:p>
    <w:p>
      <w:pPr>
        <w:pStyle w:val="ListNumber"/>
      </w:pPr>
      <w:r>
        <w:rPr>
          <w:sz w:val="22"/>
        </w:rPr>
        <w:t>Describe the services, programs, and interventions for various social problems. (Modules 5–7)</w:t>
      </w:r>
    </w:p>
    <w:p>
      <w:pPr>
        <w:pStyle w:val="ListNumber"/>
      </w:pPr>
      <w:r>
        <w:rPr>
          <w:sz w:val="22"/>
        </w:rPr>
        <w:t>Identify and discuss the social themes of social justice, cultural competence, intersectionality, and spirituality that impact people's lives in their social environments. (Modules 6–7)</w:t>
      </w:r>
    </w:p>
    <w:p>
      <w:pPr>
        <w:pStyle w:val="ListNumber"/>
      </w:pPr>
      <w:r>
        <w:rPr>
          <w:sz w:val="22"/>
        </w:rPr>
        <w:t>Identify the sources of knowledge for the social work profession. (Module 1; reinforced concurrently in CUSW 401, 411, 333)</w:t>
      </w:r>
    </w:p>
    <w:p>
      <w:pPr>
        <w:pStyle w:val="ListNumber"/>
      </w:pPr>
      <w:r>
        <w:rPr>
          <w:sz w:val="22"/>
        </w:rPr>
        <w:t>Identify the function and purpose of professional social work organizations. (Module 2)</w:t>
      </w:r>
    </w:p>
    <w:p>
      <w:pPr>
        <w:pStyle w:val="ListNumber"/>
      </w:pPr>
      <w:r>
        <w:rPr>
          <w:sz w:val="22"/>
        </w:rPr>
        <w:t>Identify the role of professional social workers with diverse, special, and at-risk populations. (Modules 5–7)</w:t>
      </w:r>
    </w:p>
    <w:p>
      <w:pPr>
        <w:pStyle w:val="Heading1"/>
      </w:pPr>
      <w:r>
        <w:t>Learning Outcomes by Module</w:t>
      </w:r>
    </w:p>
    <w:tbl>
      <w:tblPr>
        <w:tblStyle w:val="TableGrid"/>
        <w:tblW w:type="auto" w:w="0"/>
        <w:tblLayout w:type="fixed"/>
        <w:tblLook w:firstColumn="1" w:firstRow="1" w:lastColumn="0" w:lastRow="0" w:noHBand="0" w:noVBand="1" w:val="04A0"/>
      </w:tblPr>
      <w:tblGrid>
        <w:gridCol w:w="4680"/>
        <w:gridCol w:w="4680"/>
      </w:tblGrid>
      <w:tr>
        <w:tc>
          <w:tcPr>
            <w:tcW w:type="dxa" w:w="3888"/>
            <w:shd w:val="clear" w:color="auto" w:fill="C8102E"/>
          </w:tcPr>
          <w:p>
            <w:r/>
            <w:r>
              <w:rPr>
                <w:rFonts w:ascii="Calibri" w:hAnsi="Calibri"/>
                <w:b/>
                <w:color w:val="FFFFFF"/>
                <w:sz w:val="20"/>
              </w:rPr>
              <w:t>Module</w:t>
            </w:r>
          </w:p>
        </w:tc>
        <w:tc>
          <w:tcPr>
            <w:tcW w:type="dxa" w:w="5472"/>
            <w:shd w:val="clear" w:color="auto" w:fill="C8102E"/>
          </w:tcPr>
          <w:p>
            <w:r/>
            <w:r>
              <w:rPr>
                <w:rFonts w:ascii="Calibri" w:hAnsi="Calibri"/>
                <w:b/>
                <w:color w:val="FFFFFF"/>
                <w:sz w:val="20"/>
              </w:rPr>
              <w:t>Learning Outcome</w:t>
            </w:r>
          </w:p>
        </w:tc>
      </w:tr>
      <w:tr>
        <w:tc>
          <w:tcPr>
            <w:tcW w:type="dxa" w:w="4680"/>
          </w:tcPr>
          <w:p>
            <w:r/>
            <w:r>
              <w:rPr>
                <w:rFonts w:ascii="Calibri" w:hAnsi="Calibri"/>
                <w:b/>
                <w:sz w:val="19"/>
              </w:rPr>
              <w:t>1. Orientation to Generalist Practice &amp; the GIM Model</w:t>
            </w:r>
          </w:p>
        </w:tc>
        <w:tc>
          <w:tcPr>
            <w:tcW w:type="dxa" w:w="4680"/>
          </w:tcPr>
          <w:p>
            <w:r/>
            <w:r>
              <w:rPr>
                <w:rFonts w:ascii="Calibri" w:hAnsi="Calibri"/>
                <w:b w:val="0"/>
                <w:sz w:val="19"/>
              </w:rPr>
              <w:t>Explain core social work knowledge, skills, and professional behaviors, using the GIM model as the organizing framework</w:t>
            </w:r>
          </w:p>
        </w:tc>
      </w:tr>
      <w:tr>
        <w:tc>
          <w:tcPr>
            <w:tcW w:type="dxa" w:w="4680"/>
          </w:tcPr>
          <w:p>
            <w:r/>
            <w:r>
              <w:rPr>
                <w:rFonts w:ascii="Calibri" w:hAnsi="Calibri"/>
                <w:b/>
                <w:sz w:val="19"/>
              </w:rPr>
              <w:t>2. Introduction to AI in Social Work Practice</w:t>
            </w:r>
          </w:p>
        </w:tc>
        <w:tc>
          <w:tcPr>
            <w:tcW w:type="dxa" w:w="4680"/>
          </w:tcPr>
          <w:p>
            <w:r/>
            <w:r>
              <w:rPr>
                <w:rFonts w:ascii="Calibri" w:hAnsi="Calibri"/>
                <w:b w:val="0"/>
                <w:sz w:val="19"/>
              </w:rPr>
              <w:t>Identify ethical considerations, benefits, and limitations of AI tools in generalist practice</w:t>
            </w:r>
          </w:p>
        </w:tc>
      </w:tr>
      <w:tr>
        <w:tc>
          <w:tcPr>
            <w:tcW w:type="dxa" w:w="4680"/>
          </w:tcPr>
          <w:p>
            <w:r/>
            <w:r>
              <w:rPr>
                <w:rFonts w:ascii="Calibri" w:hAnsi="Calibri"/>
                <w:b/>
                <w:sz w:val="19"/>
              </w:rPr>
              <w:t>3. Engagement &amp; Micro Practice Skills</w:t>
            </w:r>
          </w:p>
        </w:tc>
        <w:tc>
          <w:tcPr>
            <w:tcW w:type="dxa" w:w="4680"/>
          </w:tcPr>
          <w:p>
            <w:r/>
            <w:r>
              <w:rPr>
                <w:rFonts w:ascii="Calibri" w:hAnsi="Calibri"/>
                <w:b w:val="0"/>
                <w:sz w:val="19"/>
              </w:rPr>
              <w:t>Apply empathy, reflection, and interpersonal skills to engage diverse clients and constituencies</w:t>
            </w:r>
          </w:p>
        </w:tc>
      </w:tr>
      <w:tr>
        <w:tc>
          <w:tcPr>
            <w:tcW w:type="dxa" w:w="4680"/>
          </w:tcPr>
          <w:p>
            <w:r/>
            <w:r>
              <w:rPr>
                <w:rFonts w:ascii="Calibri" w:hAnsi="Calibri"/>
                <w:b/>
                <w:sz w:val="19"/>
              </w:rPr>
              <w:t>4. Assessment &amp; Planning</w:t>
            </w:r>
          </w:p>
        </w:tc>
        <w:tc>
          <w:tcPr>
            <w:tcW w:type="dxa" w:w="4680"/>
          </w:tcPr>
          <w:p>
            <w:r/>
            <w:r>
              <w:rPr>
                <w:rFonts w:ascii="Calibri" w:hAnsi="Calibri"/>
                <w:b w:val="0"/>
                <w:sz w:val="19"/>
              </w:rPr>
              <w:t>Collect and critically analyze client data; develop measurable, mutually agreed-on intervention goals</w:t>
            </w:r>
          </w:p>
        </w:tc>
      </w:tr>
      <w:tr>
        <w:tc>
          <w:tcPr>
            <w:tcW w:type="dxa" w:w="4680"/>
          </w:tcPr>
          <w:p>
            <w:r/>
            <w:r>
              <w:rPr>
                <w:rFonts w:ascii="Calibri" w:hAnsi="Calibri"/>
                <w:b/>
                <w:sz w:val="19"/>
              </w:rPr>
              <w:t>5. Implementation I — Child Welfare &amp; Family Systems</w:t>
            </w:r>
          </w:p>
        </w:tc>
        <w:tc>
          <w:tcPr>
            <w:tcW w:type="dxa" w:w="4680"/>
          </w:tcPr>
          <w:p>
            <w:r/>
            <w:r>
              <w:rPr>
                <w:rFonts w:ascii="Calibri" w:hAnsi="Calibri"/>
                <w:b w:val="0"/>
                <w:sz w:val="19"/>
              </w:rPr>
              <w:t>Describe generalist intervention approaches in child welfare and family-systems settings</w:t>
            </w:r>
          </w:p>
        </w:tc>
      </w:tr>
      <w:tr>
        <w:tc>
          <w:tcPr>
            <w:tcW w:type="dxa" w:w="4680"/>
          </w:tcPr>
          <w:p>
            <w:r/>
            <w:r>
              <w:rPr>
                <w:rFonts w:ascii="Calibri" w:hAnsi="Calibri"/>
                <w:b/>
                <w:sz w:val="19"/>
              </w:rPr>
              <w:t>6. Implementation II — Mental Health &amp; Culturally Competent Practice</w:t>
            </w:r>
          </w:p>
        </w:tc>
        <w:tc>
          <w:tcPr>
            <w:tcW w:type="dxa" w:w="4680"/>
          </w:tcPr>
          <w:p>
            <w:r/>
            <w:r>
              <w:rPr>
                <w:rFonts w:ascii="Calibri" w:hAnsi="Calibri"/>
                <w:b w:val="0"/>
                <w:sz w:val="19"/>
              </w:rPr>
              <w:t>Demonstrate culturally competent engagement using the Afrocentric Perspective (Matrix Roles, Intuitive, Humanistic Values)</w:t>
            </w:r>
          </w:p>
        </w:tc>
      </w:tr>
      <w:tr>
        <w:tc>
          <w:tcPr>
            <w:tcW w:type="dxa" w:w="4680"/>
          </w:tcPr>
          <w:p>
            <w:r/>
            <w:r>
              <w:rPr>
                <w:rFonts w:ascii="Calibri" w:hAnsi="Calibri"/>
                <w:b/>
                <w:sz w:val="19"/>
              </w:rPr>
              <w:t>7. Implementation III — Community Organizations &amp; Gender-Sensitive Practice</w:t>
            </w:r>
          </w:p>
        </w:tc>
        <w:tc>
          <w:tcPr>
            <w:tcW w:type="dxa" w:w="4680"/>
          </w:tcPr>
          <w:p>
            <w:r/>
            <w:r>
              <w:rPr>
                <w:rFonts w:ascii="Calibri" w:hAnsi="Calibri"/>
                <w:b w:val="0"/>
                <w:sz w:val="19"/>
              </w:rPr>
              <w:t>Apply resource mapping and gender-sensitive practice to engage organizations and communities</w:t>
            </w:r>
          </w:p>
        </w:tc>
      </w:tr>
      <w:tr>
        <w:tc>
          <w:tcPr>
            <w:tcW w:type="dxa" w:w="4680"/>
          </w:tcPr>
          <w:p>
            <w:r/>
            <w:r>
              <w:rPr>
                <w:rFonts w:ascii="Calibri" w:hAnsi="Calibri"/>
                <w:b/>
                <w:sz w:val="19"/>
              </w:rPr>
              <w:t>8. Evaluation, Termination, Follow-Up &amp; Field Readiness</w:t>
            </w:r>
          </w:p>
        </w:tc>
        <w:tc>
          <w:tcPr>
            <w:tcW w:type="dxa" w:w="4680"/>
          </w:tcPr>
          <w:p>
            <w:r/>
            <w:r>
              <w:rPr>
                <w:rFonts w:ascii="Calibri" w:hAnsi="Calibri"/>
                <w:b w:val="0"/>
                <w:sz w:val="19"/>
              </w:rPr>
              <w:t>Synthesize the semester's work into a professional portfolio demonstrating field readiness</w:t>
            </w:r>
          </w:p>
        </w:tc>
      </w:tr>
    </w:tbl>
    <w:p>
      <w:pPr>
        <w:spacing w:after="120"/>
      </w:pPr>
      <w:r>
        <w:rPr>
          <w:b w:val="0"/>
          <w:i w:val="0"/>
          <w:sz w:val="22"/>
        </w:rPr>
      </w:r>
    </w:p>
    <w:p>
      <w:pPr>
        <w:pStyle w:val="Heading1"/>
      </w:pPr>
      <w:r>
        <w:t>Competencies</w:t>
      </w:r>
    </w:p>
    <w:p>
      <w:pPr>
        <w:spacing w:after="120"/>
      </w:pPr>
      <w:r>
        <w:rPr>
          <w:b w:val="0"/>
          <w:i/>
          <w:color w:val="554D45"/>
          <w:sz w:val="20"/>
        </w:rPr>
        <w:t>EPAS Competencies + School Competency 10, per the Generalist Practice Curriculum Matrix.</w:t>
      </w:r>
    </w:p>
    <w:tbl>
      <w:tblPr>
        <w:tblStyle w:val="TableGrid"/>
        <w:tblW w:type="auto" w:w="0"/>
        <w:tblLayout w:type="fixed"/>
        <w:tblLook w:firstColumn="1" w:firstRow="1" w:lastColumn="0" w:lastRow="0" w:noHBand="0" w:noVBand="1" w:val="04A0"/>
      </w:tblPr>
      <w:tblGrid>
        <w:gridCol w:w="3120"/>
        <w:gridCol w:w="3120"/>
        <w:gridCol w:w="3120"/>
      </w:tblGrid>
      <w:tr>
        <w:tc>
          <w:tcPr>
            <w:tcW w:type="dxa" w:w="3744"/>
            <w:shd w:val="clear" w:color="auto" w:fill="C8102E"/>
          </w:tcPr>
          <w:p>
            <w:r/>
            <w:r>
              <w:rPr>
                <w:rFonts w:ascii="Calibri" w:hAnsi="Calibri"/>
                <w:b/>
                <w:color w:val="FFFFFF"/>
                <w:sz w:val="20"/>
              </w:rPr>
              <w:t>Competency</w:t>
            </w:r>
          </w:p>
        </w:tc>
        <w:tc>
          <w:tcPr>
            <w:tcW w:type="dxa" w:w="2448"/>
            <w:shd w:val="clear" w:color="auto" w:fill="C8102E"/>
          </w:tcPr>
          <w:p>
            <w:r/>
            <w:r>
              <w:rPr>
                <w:rFonts w:ascii="Calibri" w:hAnsi="Calibri"/>
                <w:b/>
                <w:color w:val="FFFFFF"/>
                <w:sz w:val="20"/>
              </w:rPr>
              <w:t>Level in CUSW 403</w:t>
            </w:r>
          </w:p>
        </w:tc>
        <w:tc>
          <w:tcPr>
            <w:tcW w:type="dxa" w:w="3168"/>
            <w:shd w:val="clear" w:color="auto" w:fill="C8102E"/>
          </w:tcPr>
          <w:p>
            <w:r/>
            <w:r>
              <w:rPr>
                <w:rFonts w:ascii="Calibri" w:hAnsi="Calibri"/>
                <w:b/>
                <w:color w:val="FFFFFF"/>
                <w:sz w:val="20"/>
              </w:rPr>
              <w:t>Assessment</w:t>
            </w:r>
          </w:p>
        </w:tc>
      </w:tr>
      <w:tr>
        <w:tc>
          <w:tcPr>
            <w:tcW w:type="dxa" w:w="3120"/>
          </w:tcPr>
          <w:p>
            <w:r/>
            <w:r>
              <w:rPr>
                <w:rFonts w:ascii="Calibri" w:hAnsi="Calibri"/>
                <w:b w:val="0"/>
                <w:sz w:val="19"/>
              </w:rPr>
              <w:t>Comp 1 — Ethical &amp; Professional Behavior</w:t>
            </w:r>
          </w:p>
        </w:tc>
        <w:tc>
          <w:tcPr>
            <w:tcW w:type="dxa" w:w="3120"/>
          </w:tcPr>
          <w:p>
            <w:r/>
            <w:r>
              <w:rPr>
                <w:rFonts w:ascii="Calibri" w:hAnsi="Calibri"/>
                <w:b w:val="0"/>
                <w:sz w:val="19"/>
              </w:rPr>
              <w:t>Assessed</w:t>
            </w:r>
          </w:p>
        </w:tc>
        <w:tc>
          <w:tcPr>
            <w:tcW w:type="dxa" w:w="3120"/>
          </w:tcPr>
          <w:p>
            <w:r/>
            <w:r>
              <w:rPr>
                <w:rFonts w:ascii="Calibri" w:hAnsi="Calibri"/>
                <w:b w:val="0"/>
                <w:sz w:val="19"/>
              </w:rPr>
              <w:t>Orientation Quiz; AI Ethics Reflection</w:t>
            </w:r>
          </w:p>
        </w:tc>
      </w:tr>
      <w:tr>
        <w:tc>
          <w:tcPr>
            <w:tcW w:type="dxa" w:w="3120"/>
          </w:tcPr>
          <w:p>
            <w:r/>
            <w:r>
              <w:rPr>
                <w:rFonts w:ascii="Calibri" w:hAnsi="Calibri"/>
                <w:b w:val="0"/>
                <w:sz w:val="19"/>
              </w:rPr>
              <w:t>Comp 6 — Engage with Individuals, Families, Groups, Organizations, Communities</w:t>
            </w:r>
          </w:p>
        </w:tc>
        <w:tc>
          <w:tcPr>
            <w:tcW w:type="dxa" w:w="3120"/>
          </w:tcPr>
          <w:p>
            <w:r/>
            <w:r>
              <w:rPr>
                <w:rFonts w:ascii="Calibri" w:hAnsi="Calibri"/>
                <w:b w:val="0"/>
                <w:sz w:val="19"/>
              </w:rPr>
              <w:t>Assessed</w:t>
            </w:r>
          </w:p>
        </w:tc>
        <w:tc>
          <w:tcPr>
            <w:tcW w:type="dxa" w:w="3120"/>
          </w:tcPr>
          <w:p>
            <w:r/>
            <w:r>
              <w:rPr>
                <w:rFonts w:ascii="Calibri" w:hAnsi="Calibri"/>
                <w:b w:val="0"/>
                <w:sz w:val="19"/>
              </w:rPr>
              <w:t>Engagement Simulation</w:t>
            </w:r>
          </w:p>
        </w:tc>
      </w:tr>
      <w:tr>
        <w:tc>
          <w:tcPr>
            <w:tcW w:type="dxa" w:w="3120"/>
          </w:tcPr>
          <w:p>
            <w:r/>
            <w:r>
              <w:rPr>
                <w:rFonts w:ascii="Calibri" w:hAnsi="Calibri"/>
                <w:b w:val="0"/>
                <w:sz w:val="19"/>
              </w:rPr>
              <w:t>Comp 7 — Assess Individuals, Families, Groups, Organizations, Communities</w:t>
            </w:r>
          </w:p>
        </w:tc>
        <w:tc>
          <w:tcPr>
            <w:tcW w:type="dxa" w:w="3120"/>
          </w:tcPr>
          <w:p>
            <w:r/>
            <w:r>
              <w:rPr>
                <w:rFonts w:ascii="Calibri" w:hAnsi="Calibri"/>
                <w:b w:val="0"/>
                <w:sz w:val="19"/>
              </w:rPr>
              <w:t>Assessed</w:t>
            </w:r>
          </w:p>
        </w:tc>
        <w:tc>
          <w:tcPr>
            <w:tcW w:type="dxa" w:w="3120"/>
          </w:tcPr>
          <w:p>
            <w:r/>
            <w:r>
              <w:rPr>
                <w:rFonts w:ascii="Calibri" w:hAnsi="Calibri"/>
                <w:b w:val="0"/>
                <w:sz w:val="19"/>
              </w:rPr>
              <w:t>First Client Case (genogram, ecomap, treatment plan)</w:t>
            </w:r>
          </w:p>
        </w:tc>
      </w:tr>
      <w:tr>
        <w:tc>
          <w:tcPr>
            <w:tcW w:type="dxa" w:w="3120"/>
          </w:tcPr>
          <w:p>
            <w:r/>
            <w:r>
              <w:rPr>
                <w:rFonts w:ascii="Calibri" w:hAnsi="Calibri"/>
                <w:b w:val="0"/>
                <w:sz w:val="19"/>
              </w:rPr>
              <w:t>Comp 8 — Intervene with Individuals, Families, Groups, Organizations, Communities</w:t>
            </w:r>
          </w:p>
        </w:tc>
        <w:tc>
          <w:tcPr>
            <w:tcW w:type="dxa" w:w="3120"/>
          </w:tcPr>
          <w:p>
            <w:r/>
            <w:r>
              <w:rPr>
                <w:rFonts w:ascii="Calibri" w:hAnsi="Calibri"/>
                <w:b w:val="0"/>
                <w:sz w:val="19"/>
              </w:rPr>
              <w:t>Introduced (exposure only — mastery in CUSW 404)</w:t>
            </w:r>
          </w:p>
        </w:tc>
        <w:tc>
          <w:tcPr>
            <w:tcW w:type="dxa" w:w="3120"/>
          </w:tcPr>
          <w:p>
            <w:r/>
            <w:r>
              <w:rPr>
                <w:rFonts w:ascii="Calibri" w:hAnsi="Calibri"/>
                <w:b w:val="0"/>
                <w:sz w:val="19"/>
              </w:rPr>
              <w:t>Rotation observation logs</w:t>
            </w:r>
          </w:p>
        </w:tc>
      </w:tr>
      <w:tr>
        <w:tc>
          <w:tcPr>
            <w:tcW w:type="dxa" w:w="3120"/>
          </w:tcPr>
          <w:p>
            <w:r/>
            <w:r>
              <w:rPr>
                <w:rFonts w:ascii="Calibri" w:hAnsi="Calibri"/>
                <w:b w:val="0"/>
                <w:sz w:val="19"/>
              </w:rPr>
              <w:t>Comp 9 — Evaluate Practice</w:t>
            </w:r>
          </w:p>
        </w:tc>
        <w:tc>
          <w:tcPr>
            <w:tcW w:type="dxa" w:w="3120"/>
          </w:tcPr>
          <w:p>
            <w:r/>
            <w:r>
              <w:rPr>
                <w:rFonts w:ascii="Calibri" w:hAnsi="Calibri"/>
                <w:b w:val="0"/>
                <w:sz w:val="19"/>
              </w:rPr>
              <w:t>Assessed</w:t>
            </w:r>
          </w:p>
        </w:tc>
        <w:tc>
          <w:tcPr>
            <w:tcW w:type="dxa" w:w="3120"/>
          </w:tcPr>
          <w:p>
            <w:r/>
            <w:r>
              <w:rPr>
                <w:rFonts w:ascii="Calibri" w:hAnsi="Calibri"/>
                <w:b w:val="0"/>
                <w:sz w:val="19"/>
              </w:rPr>
              <w:t>Professional Portfolio; Field Readiness Evaluation</w:t>
            </w:r>
          </w:p>
        </w:tc>
      </w:tr>
      <w:tr>
        <w:tc>
          <w:tcPr>
            <w:tcW w:type="dxa" w:w="3120"/>
          </w:tcPr>
          <w:p>
            <w:r/>
            <w:r>
              <w:rPr>
                <w:rFonts w:ascii="Calibri" w:hAnsi="Calibri"/>
                <w:b w:val="0"/>
                <w:sz w:val="19"/>
              </w:rPr>
              <w:t>Comp 10 (School) — Afrocentric Perspective</w:t>
            </w:r>
          </w:p>
        </w:tc>
        <w:tc>
          <w:tcPr>
            <w:tcW w:type="dxa" w:w="3120"/>
          </w:tcPr>
          <w:p>
            <w:r/>
            <w:r>
              <w:rPr>
                <w:rFonts w:ascii="Calibri" w:hAnsi="Calibri"/>
                <w:b w:val="0"/>
                <w:sz w:val="19"/>
              </w:rPr>
              <w:t>Assessed</w:t>
            </w:r>
          </w:p>
        </w:tc>
        <w:tc>
          <w:tcPr>
            <w:tcW w:type="dxa" w:w="3120"/>
          </w:tcPr>
          <w:p>
            <w:r/>
            <w:r>
              <w:rPr>
                <w:rFonts w:ascii="Calibri" w:hAnsi="Calibri"/>
                <w:b w:val="0"/>
                <w:sz w:val="19"/>
              </w:rPr>
              <w:t>Afrocentric Perspective Case Study (DIASPORA Model)</w:t>
            </w:r>
          </w:p>
        </w:tc>
      </w:tr>
    </w:tbl>
    <w:p>
      <w:pPr>
        <w:spacing w:after="120"/>
      </w:pPr>
      <w:r>
        <w:rPr>
          <w:b w:val="0"/>
          <w:i w:val="0"/>
          <w:sz w:val="22"/>
        </w:rPr>
      </w:r>
    </w:p>
    <w:p>
      <w:pPr>
        <w:pStyle w:val="Heading1"/>
      </w:pPr>
      <w:r>
        <w:t>Required Text</w:t>
      </w:r>
    </w:p>
    <w:p>
      <w:pPr>
        <w:spacing w:after="120"/>
      </w:pPr>
      <w:r>
        <w:rPr>
          <w:b w:val="0"/>
          <w:i w:val="0"/>
          <w:sz w:val="22"/>
        </w:rPr>
        <w:t>Hepworth, D. H., Vang, P. D., Blakey, J. M., Schwalbe, C., Evans, C. B. R., Rooney, R. H., Rooney, G. D., &amp; Strom-Gottfried, K. (2023). Empowerment Series: Direct Social Work Practice: Theory and Skills (11th ed.). Cengage.</w:t>
      </w:r>
    </w:p>
    <w:p>
      <w:pPr>
        <w:spacing w:after="120"/>
      </w:pPr>
      <w:r>
        <w:rPr>
          <w:b w:val="0"/>
          <w:i/>
          <w:color w:val="554D45"/>
          <w:sz w:val="20"/>
        </w:rPr>
        <w:t>Check the campus bookstore or the publisher directly for current print, rental, and e-text options.</w:t>
      </w:r>
    </w:p>
    <w:p>
      <w:pPr>
        <w:pStyle w:val="Heading2"/>
      </w:pPr>
      <w:r>
        <w:t>Supplemental Text</w:t>
      </w:r>
    </w:p>
    <w:p>
      <w:pPr>
        <w:spacing w:after="120"/>
      </w:pPr>
      <w:r>
        <w:rPr>
          <w:b w:val="0"/>
          <w:i w:val="0"/>
          <w:sz w:val="22"/>
        </w:rPr>
        <w:t>American Psychological Association. (2020). Publication Manual of the American Psychological Association (7th ed.). Washington, DC: Author.</w:t>
      </w:r>
    </w:p>
    <w:p>
      <w:pPr>
        <w:pStyle w:val="Heading1"/>
      </w:pPr>
      <w:r>
        <w:t>Methods of Instruction</w:t>
      </w:r>
    </w:p>
    <w:p>
      <w:pPr>
        <w:spacing w:after="120"/>
      </w:pPr>
      <w:r>
        <w:rPr>
          <w:b w:val="0"/>
          <w:i w:val="0"/>
          <w:sz w:val="22"/>
        </w:rPr>
        <w:t>This course combines readings, lectures, discussions, classroom exercises, simulation, supervised agency observation, and two course-specific AI assistants: the CUSW 403 Practice Coach, used for coaching and self-assessment feedback on graded work, and the CUSW 403 Course TA, used for general logistics, policy, and concept questions.</w:t>
      </w:r>
    </w:p>
    <w:p>
      <w:pPr>
        <w:pStyle w:val="Heading1"/>
      </w:pPr>
      <w:r>
        <w:t>Course Requirements</w:t>
      </w:r>
    </w:p>
    <w:p>
      <w:pPr>
        <w:pStyle w:val="ListNumber"/>
      </w:pPr>
      <w:r>
        <w:rPr>
          <w:sz w:val="22"/>
        </w:rPr>
        <w:t>Weekly attendance and participation (in-class activities, discussion).</w:t>
      </w:r>
    </w:p>
    <w:p>
      <w:pPr>
        <w:pStyle w:val="ListNumber"/>
      </w:pPr>
      <w:r>
        <w:rPr>
          <w:sz w:val="22"/>
        </w:rPr>
        <w:t>Complete weekly chapter readings and the AI Ethics Reflection (Module 2).</w:t>
      </w:r>
    </w:p>
    <w:p>
      <w:pPr>
        <w:pStyle w:val="ListNumber"/>
      </w:pPr>
      <w:r>
        <w:rPr>
          <w:sz w:val="22"/>
        </w:rPr>
        <w:t>Engagement Simulation: a recorded practice intake interview with a self-assessment against the Competency 6 rubric (Module 3).</w:t>
      </w:r>
    </w:p>
    <w:p>
      <w:pPr>
        <w:pStyle w:val="ListNumber"/>
      </w:pPr>
      <w:r>
        <w:rPr>
          <w:sz w:val="22"/>
        </w:rPr>
        <w:t>First Client Case: a semester-spanning small-group case study — genogram, ecomap, and treatment plan — plus individual weekly reflections (Module 4), culminating in the Phase 1 Benchmark Checkpoint.</w:t>
      </w:r>
    </w:p>
    <w:p>
      <w:pPr>
        <w:pStyle w:val="ListNumber"/>
      </w:pPr>
      <w:r>
        <w:rPr>
          <w:sz w:val="22"/>
        </w:rPr>
        <w:t>Three Phase 2 agency rotations (child welfare/family systems, mental health, community organization), each with a structured observation log (Modules 5–7).</w:t>
      </w:r>
    </w:p>
    <w:p>
      <w:pPr>
        <w:pStyle w:val="ListNumber"/>
      </w:pPr>
      <w:r>
        <w:rPr>
          <w:sz w:val="22"/>
        </w:rPr>
        <w:t>Afrocentric Perspective Case Study applying the DIASPORA Model to a de-identified, composite case (Module 6).</w:t>
      </w:r>
    </w:p>
    <w:p>
      <w:pPr>
        <w:pStyle w:val="ListNumber"/>
      </w:pPr>
      <w:r>
        <w:rPr>
          <w:sz w:val="22"/>
        </w:rPr>
        <w:t>Community Asset Map and Supervisor Mini-Evaluation Form (Module 7).</w:t>
      </w:r>
    </w:p>
    <w:p>
      <w:pPr>
        <w:pStyle w:val="ListNumber"/>
      </w:pPr>
      <w:r>
        <w:rPr>
          <w:sz w:val="22"/>
        </w:rPr>
        <w:t>Professional Portfolio and Field Readiness Evaluation, synthesizing the full semester (Module 8).</w:t>
      </w:r>
    </w:p>
    <w:p>
      <w:pPr>
        <w:pStyle w:val="ListNumber"/>
      </w:pPr>
      <w:r>
        <w:rPr>
          <w:sz w:val="22"/>
        </w:rPr>
        <w:t>Final Exam (Module 8).</w:t>
      </w:r>
    </w:p>
    <w:p>
      <w:pPr>
        <w:pStyle w:val="Heading1"/>
      </w:pPr>
      <w:r>
        <w:t>Sources of Total Points for the Course</w:t>
      </w:r>
    </w:p>
    <w:tbl>
      <w:tblPr>
        <w:tblStyle w:val="TableGrid"/>
        <w:tblW w:type="auto" w:w="0"/>
        <w:tblLayout w:type="fixed"/>
        <w:tblLook w:firstColumn="1" w:firstRow="1" w:lastColumn="0" w:lastRow="0" w:noHBand="0" w:noVBand="1" w:val="04A0"/>
      </w:tblPr>
      <w:tblGrid>
        <w:gridCol w:w="4680"/>
        <w:gridCol w:w="4680"/>
      </w:tblGrid>
      <w:tr>
        <w:tc>
          <w:tcPr>
            <w:tcW w:type="dxa" w:w="6480"/>
            <w:shd w:val="clear" w:color="auto" w:fill="C8102E"/>
          </w:tcPr>
          <w:p>
            <w:r/>
            <w:r>
              <w:rPr>
                <w:rFonts w:ascii="Calibri" w:hAnsi="Calibri"/>
                <w:b/>
                <w:color w:val="FFFFFF"/>
                <w:sz w:val="20"/>
              </w:rPr>
              <w:t>Assignment</w:t>
            </w:r>
          </w:p>
        </w:tc>
        <w:tc>
          <w:tcPr>
            <w:tcW w:type="dxa" w:w="2160"/>
            <w:shd w:val="clear" w:color="auto" w:fill="C8102E"/>
          </w:tcPr>
          <w:p>
            <w:pPr>
              <w:jc w:val="center"/>
            </w:pPr>
            <w:r/>
            <w:r>
              <w:rPr>
                <w:rFonts w:ascii="Calibri" w:hAnsi="Calibri"/>
                <w:b/>
                <w:color w:val="FFFFFF"/>
                <w:sz w:val="20"/>
              </w:rPr>
              <w:t>% of Grade</w:t>
            </w:r>
          </w:p>
        </w:tc>
      </w:tr>
      <w:tr>
        <w:tc>
          <w:tcPr>
            <w:tcW w:type="dxa" w:w="4680"/>
          </w:tcPr>
          <w:p>
            <w:r/>
            <w:r>
              <w:rPr>
                <w:rFonts w:ascii="Calibri" w:hAnsi="Calibri"/>
                <w:b w:val="0"/>
                <w:sz w:val="20"/>
              </w:rPr>
              <w:t>Attendance &amp; Participation</w:t>
            </w:r>
          </w:p>
        </w:tc>
        <w:tc>
          <w:tcPr>
            <w:tcW w:type="dxa" w:w="4680"/>
          </w:tcPr>
          <w:p>
            <w:pPr>
              <w:jc w:val="center"/>
            </w:pPr>
            <w:r/>
            <w:r>
              <w:rPr>
                <w:rFonts w:ascii="Calibri" w:hAnsi="Calibri"/>
                <w:b/>
                <w:sz w:val="20"/>
              </w:rPr>
              <w:t>10%</w:t>
            </w:r>
          </w:p>
        </w:tc>
      </w:tr>
      <w:tr>
        <w:tc>
          <w:tcPr>
            <w:tcW w:type="dxa" w:w="4680"/>
          </w:tcPr>
          <w:p>
            <w:r/>
            <w:r>
              <w:rPr>
                <w:rFonts w:ascii="Calibri" w:hAnsi="Calibri"/>
                <w:b w:val="0"/>
                <w:sz w:val="20"/>
              </w:rPr>
              <w:t>Orientation Quiz (Module 1)</w:t>
            </w:r>
          </w:p>
        </w:tc>
        <w:tc>
          <w:tcPr>
            <w:tcW w:type="dxa" w:w="4680"/>
          </w:tcPr>
          <w:p>
            <w:pPr>
              <w:jc w:val="center"/>
            </w:pPr>
            <w:r/>
            <w:r>
              <w:rPr>
                <w:rFonts w:ascii="Calibri" w:hAnsi="Calibri"/>
                <w:b/>
                <w:sz w:val="20"/>
              </w:rPr>
              <w:t>5%</w:t>
            </w:r>
          </w:p>
        </w:tc>
      </w:tr>
      <w:tr>
        <w:tc>
          <w:tcPr>
            <w:tcW w:type="dxa" w:w="4680"/>
          </w:tcPr>
          <w:p>
            <w:r/>
            <w:r>
              <w:rPr>
                <w:rFonts w:ascii="Calibri" w:hAnsi="Calibri"/>
                <w:b w:val="0"/>
                <w:sz w:val="20"/>
              </w:rPr>
              <w:t>AI Ethics Reflection (Module 2)</w:t>
            </w:r>
          </w:p>
        </w:tc>
        <w:tc>
          <w:tcPr>
            <w:tcW w:type="dxa" w:w="4680"/>
          </w:tcPr>
          <w:p>
            <w:pPr>
              <w:jc w:val="center"/>
            </w:pPr>
            <w:r/>
            <w:r>
              <w:rPr>
                <w:rFonts w:ascii="Calibri" w:hAnsi="Calibri"/>
                <w:b/>
                <w:sz w:val="20"/>
              </w:rPr>
              <w:t>5%</w:t>
            </w:r>
          </w:p>
        </w:tc>
      </w:tr>
      <w:tr>
        <w:tc>
          <w:tcPr>
            <w:tcW w:type="dxa" w:w="4680"/>
          </w:tcPr>
          <w:p>
            <w:r/>
            <w:r>
              <w:rPr>
                <w:rFonts w:ascii="Calibri" w:hAnsi="Calibri"/>
                <w:b w:val="0"/>
                <w:sz w:val="20"/>
              </w:rPr>
              <w:t>Engagement Simulation (Module 3)</w:t>
            </w:r>
          </w:p>
        </w:tc>
        <w:tc>
          <w:tcPr>
            <w:tcW w:type="dxa" w:w="4680"/>
          </w:tcPr>
          <w:p>
            <w:pPr>
              <w:jc w:val="center"/>
            </w:pPr>
            <w:r/>
            <w:r>
              <w:rPr>
                <w:rFonts w:ascii="Calibri" w:hAnsi="Calibri"/>
                <w:b/>
                <w:sz w:val="20"/>
              </w:rPr>
              <w:t>15%</w:t>
            </w:r>
          </w:p>
        </w:tc>
      </w:tr>
      <w:tr>
        <w:tc>
          <w:tcPr>
            <w:tcW w:type="dxa" w:w="4680"/>
          </w:tcPr>
          <w:p>
            <w:r/>
            <w:r>
              <w:rPr>
                <w:rFonts w:ascii="Calibri" w:hAnsi="Calibri"/>
                <w:b w:val="0"/>
                <w:sz w:val="20"/>
              </w:rPr>
              <w:t>First Client Case (Module 4)</w:t>
            </w:r>
          </w:p>
        </w:tc>
        <w:tc>
          <w:tcPr>
            <w:tcW w:type="dxa" w:w="4680"/>
          </w:tcPr>
          <w:p>
            <w:pPr>
              <w:jc w:val="center"/>
            </w:pPr>
            <w:r/>
            <w:r>
              <w:rPr>
                <w:rFonts w:ascii="Calibri" w:hAnsi="Calibri"/>
                <w:b/>
                <w:sz w:val="20"/>
              </w:rPr>
              <w:t>15%</w:t>
            </w:r>
          </w:p>
        </w:tc>
      </w:tr>
      <w:tr>
        <w:tc>
          <w:tcPr>
            <w:tcW w:type="dxa" w:w="4680"/>
          </w:tcPr>
          <w:p>
            <w:r/>
            <w:r>
              <w:rPr>
                <w:rFonts w:ascii="Calibri" w:hAnsi="Calibri"/>
                <w:b w:val="0"/>
                <w:sz w:val="20"/>
              </w:rPr>
              <w:t>Child Welfare Observation Log + Reflection (Module 5)</w:t>
            </w:r>
          </w:p>
        </w:tc>
        <w:tc>
          <w:tcPr>
            <w:tcW w:type="dxa" w:w="4680"/>
          </w:tcPr>
          <w:p>
            <w:pPr>
              <w:jc w:val="center"/>
            </w:pPr>
            <w:r/>
            <w:r>
              <w:rPr>
                <w:rFonts w:ascii="Calibri" w:hAnsi="Calibri"/>
                <w:b/>
                <w:sz w:val="20"/>
              </w:rPr>
              <w:t>10%</w:t>
            </w:r>
          </w:p>
        </w:tc>
      </w:tr>
      <w:tr>
        <w:tc>
          <w:tcPr>
            <w:tcW w:type="dxa" w:w="4680"/>
          </w:tcPr>
          <w:p>
            <w:r/>
            <w:r>
              <w:rPr>
                <w:rFonts w:ascii="Calibri" w:hAnsi="Calibri"/>
                <w:b w:val="0"/>
                <w:sz w:val="20"/>
              </w:rPr>
              <w:t>Afrocentric Perspective Case Study (Module 6)</w:t>
            </w:r>
          </w:p>
        </w:tc>
        <w:tc>
          <w:tcPr>
            <w:tcW w:type="dxa" w:w="4680"/>
          </w:tcPr>
          <w:p>
            <w:pPr>
              <w:jc w:val="center"/>
            </w:pPr>
            <w:r/>
            <w:r>
              <w:rPr>
                <w:rFonts w:ascii="Calibri" w:hAnsi="Calibri"/>
                <w:b/>
                <w:sz w:val="20"/>
              </w:rPr>
              <w:t>10%</w:t>
            </w:r>
          </w:p>
        </w:tc>
      </w:tr>
      <w:tr>
        <w:tc>
          <w:tcPr>
            <w:tcW w:type="dxa" w:w="4680"/>
          </w:tcPr>
          <w:p>
            <w:r/>
            <w:r>
              <w:rPr>
                <w:rFonts w:ascii="Calibri" w:hAnsi="Calibri"/>
                <w:b w:val="0"/>
                <w:sz w:val="20"/>
              </w:rPr>
              <w:t>Community Asset Map + Supervisor Mini-Evaluation (Module 7)</w:t>
            </w:r>
          </w:p>
        </w:tc>
        <w:tc>
          <w:tcPr>
            <w:tcW w:type="dxa" w:w="4680"/>
          </w:tcPr>
          <w:p>
            <w:pPr>
              <w:jc w:val="center"/>
            </w:pPr>
            <w:r/>
            <w:r>
              <w:rPr>
                <w:rFonts w:ascii="Calibri" w:hAnsi="Calibri"/>
                <w:b/>
                <w:sz w:val="20"/>
              </w:rPr>
              <w:t>10%</w:t>
            </w:r>
          </w:p>
        </w:tc>
      </w:tr>
      <w:tr>
        <w:tc>
          <w:tcPr>
            <w:tcW w:type="dxa" w:w="4680"/>
          </w:tcPr>
          <w:p>
            <w:r/>
            <w:r>
              <w:rPr>
                <w:rFonts w:ascii="Calibri" w:hAnsi="Calibri"/>
                <w:b w:val="0"/>
                <w:sz w:val="20"/>
              </w:rPr>
              <w:t>Professional Portfolio + Field Readiness Evaluation (Module 8)</w:t>
            </w:r>
          </w:p>
        </w:tc>
        <w:tc>
          <w:tcPr>
            <w:tcW w:type="dxa" w:w="4680"/>
          </w:tcPr>
          <w:p>
            <w:pPr>
              <w:jc w:val="center"/>
            </w:pPr>
            <w:r/>
            <w:r>
              <w:rPr>
                <w:rFonts w:ascii="Calibri" w:hAnsi="Calibri"/>
                <w:b/>
                <w:sz w:val="20"/>
              </w:rPr>
              <w:t>10%</w:t>
            </w:r>
          </w:p>
        </w:tc>
      </w:tr>
      <w:tr>
        <w:tc>
          <w:tcPr>
            <w:tcW w:type="dxa" w:w="4680"/>
          </w:tcPr>
          <w:p>
            <w:r/>
            <w:r>
              <w:rPr>
                <w:rFonts w:ascii="Calibri" w:hAnsi="Calibri"/>
                <w:b w:val="0"/>
                <w:sz w:val="20"/>
              </w:rPr>
              <w:t>Final Exam</w:t>
            </w:r>
          </w:p>
        </w:tc>
        <w:tc>
          <w:tcPr>
            <w:tcW w:type="dxa" w:w="4680"/>
          </w:tcPr>
          <w:p>
            <w:pPr>
              <w:jc w:val="center"/>
            </w:pPr>
            <w:r/>
            <w:r>
              <w:rPr>
                <w:rFonts w:ascii="Calibri" w:hAnsi="Calibri"/>
                <w:b/>
                <w:sz w:val="20"/>
              </w:rPr>
              <w:t>10%</w:t>
            </w:r>
          </w:p>
        </w:tc>
      </w:tr>
      <w:tr>
        <w:tc>
          <w:tcPr>
            <w:tcW w:type="dxa" w:w="9360"/>
            <w:gridSpan w:val="2"/>
            <w:shd w:val="clear" w:color="auto" w:fill="EAAA00"/>
          </w:tcPr>
          <w:p>
            <w:pPr>
              <w:jc w:val="center"/>
            </w:pPr>
            <w:r/>
            <w:r>
              <w:rPr>
                <w:rFonts w:ascii="Calibri" w:hAnsi="Calibri"/>
                <w:b/>
                <w:sz w:val="20"/>
              </w:rPr>
              <w:t>TOTAL FOR COURSE: 100%</w:t>
            </w:r>
          </w:p>
        </w:tc>
      </w:tr>
    </w:tbl>
    <w:p>
      <w:pPr>
        <w:spacing w:after="120"/>
      </w:pPr>
      <w:r>
        <w:rPr>
          <w:b w:val="0"/>
          <w:i w:val="0"/>
          <w:sz w:val="22"/>
        </w:rPr>
      </w:r>
    </w:p>
    <w:p>
      <w:pPr>
        <w:spacing w:after="120"/>
      </w:pPr>
      <w:r>
        <w:rPr>
          <w:b/>
          <w:i w:val="0"/>
          <w:sz w:val="22"/>
        </w:rPr>
        <w:t>The final grade is determined by final percentage totals at the end of the semester. A grade of C or better is required to pass this course.</w:t>
      </w:r>
    </w:p>
    <w:p>
      <w:r>
        <w:rPr>
          <w:sz w:val="20"/>
        </w:rPr>
        <w:t>Grade ranges: A (90–100) · B (80–89) · C (70–79) · D (60–69) · F (below 60)</w:t>
      </w:r>
    </w:p>
    <w:p>
      <w:pPr>
        <w:pStyle w:val="Heading2"/>
      </w:pPr>
      <w:r>
        <w:t>Phase 1 Benchmark Checkpoint</w:t>
      </w:r>
    </w:p>
    <w:p>
      <w:pPr>
        <w:spacing w:after="120"/>
      </w:pPr>
      <w:r>
        <w:rPr>
          <w:b w:val="0"/>
          <w:i w:val="0"/>
          <w:sz w:val="22"/>
        </w:rPr>
        <w:t>The Module 4 checkpoint requires a minimum 80% to advance to Phase 2 agency rotations — a readiness gate in addition to its 15% weight above, not simply part of the running average. A student below 80% receives a one-week remediation window before starting rotations (Phase 2 begins Week 9 instead of Week 8 for that student).</w:t>
      </w:r>
    </w:p>
    <w:p>
      <w:pPr>
        <w:pStyle w:val="Heading2"/>
      </w:pPr>
      <w:r>
        <w:t>Field Readiness Evaluation (Module 8)</w:t>
      </w:r>
    </w:p>
    <w:p>
      <w:pPr>
        <w:spacing w:after="120"/>
      </w:pPr>
      <w:r>
        <w:rPr>
          <w:b w:val="0"/>
          <w:i w:val="0"/>
          <w:sz w:val="22"/>
        </w:rPr>
        <w:t>Independent of the numeric course grade above. Rated Ready / Ready with Conditions / Not Ready:</w:t>
      </w:r>
    </w:p>
    <w:p>
      <w:pPr>
        <w:pStyle w:val="ListBullet"/>
      </w:pPr>
      <w:r>
        <w:rPr>
          <w:sz w:val="22"/>
        </w:rPr>
        <w:t>Ready with Conditions does not block progression — a documented Field Readiness Conditions Memo is handed off to the CUSW 404 instructor.</w:t>
      </w:r>
    </w:p>
    <w:p>
      <w:pPr>
        <w:pStyle w:val="ListBullet"/>
      </w:pPr>
      <w:r>
        <w:rPr>
          <w:sz w:val="22"/>
        </w:rPr>
        <w:t>Not Ready blocks CUSW 404 enrollment (not automatically a retake) and triggers a PPE Development and Improvement Plan — a time-bound remediation plan co-reviewed by the instructor and a second faculty reader or the BSW Program Director. If not completed successfully by the review date, the defined fallback is retaking CUSW 403.</w:t>
      </w:r>
    </w:p>
    <w:p>
      <w:pPr>
        <w:pStyle w:val="Heading1"/>
      </w:pPr>
      <w:r>
        <w:t>Academic Integrity / AI Use Policy</w:t>
      </w:r>
    </w:p>
    <w:p>
      <w:pPr>
        <w:spacing w:after="120"/>
      </w:pPr>
      <w:r>
        <w:rPr>
          <w:b w:val="0"/>
          <w:i w:val="0"/>
          <w:sz w:val="22"/>
        </w:rPr>
        <w:t>This course explicitly teaches AI tools as part of generalist practice (Module 2) and provides two course-specific assistants: the CUSW 403 Practice Coach, which coaches on the Engagement Simulation, First Client Case reflections, and Afrocentric Perspective Case Study without ever drafting submittable text; and the CUSW 403 Course TA, which answers general logistics, policy, and concept questions directly. Appropriate use:</w:t>
      </w:r>
    </w:p>
    <w:p>
      <w:pPr>
        <w:pStyle w:val="ListBullet"/>
      </w:pPr>
      <w:r>
        <w:rPr>
          <w:sz w:val="22"/>
        </w:rPr>
        <w:t>The Practice Coach (and any other AI tool used in this course) may be used for feedback, self-assessment, and coaching questions — never to draft text a student submits as their own work.</w:t>
      </w:r>
    </w:p>
    <w:p>
      <w:pPr>
        <w:pStyle w:val="ListBullet"/>
      </w:pPr>
      <w:r>
        <w:rPr>
          <w:sz w:val="22"/>
        </w:rPr>
        <w:t>The Course TA answers factual and logistics questions directly, but does not draft graded work either — that request routes to the Practice Coach instead.</w:t>
      </w:r>
    </w:p>
    <w:p>
      <w:pPr>
        <w:pStyle w:val="ListBullet"/>
      </w:pPr>
      <w:r>
        <w:rPr>
          <w:sz w:val="22"/>
        </w:rPr>
        <w:t>AI tools may not be used to generate graded reflections, case analyses, or portfolio content submitted as the student's own work.</w:t>
      </w:r>
    </w:p>
    <w:p>
      <w:pPr>
        <w:pStyle w:val="ListBullet"/>
      </w:pPr>
      <w:r>
        <w:rPr>
          <w:sz w:val="22"/>
        </w:rPr>
        <w:t>Client-identifying information — real or from a rotation site — must never be entered into either assistant, or any AI tool. All case materials used with AI tools must be de-identified and composite.</w:t>
      </w:r>
    </w:p>
    <w:p>
      <w:pPr>
        <w:spacing w:after="120"/>
      </w:pPr>
      <w:r>
        <w:rPr>
          <w:b w:val="0"/>
          <w:i/>
          <w:color w:val="554D45"/>
          <w:sz w:val="20"/>
        </w:rPr>
        <w:t>[Full institutional Academic Integrity policy statement; cross-reference BSW Student Handbook.]</w:t>
      </w:r>
    </w:p>
    <w:p>
      <w:r>
        <w:br w:type="page"/>
      </w:r>
    </w:p>
    <w:p>
      <w:pPr>
        <w:pStyle w:val="Heading1"/>
      </w:pPr>
      <w:r>
        <w:t>Disabilities Act Statement</w:t>
      </w:r>
    </w:p>
    <w:p>
      <w:pPr>
        <w:spacing w:after="120"/>
      </w:pPr>
      <w:r>
        <w:rPr>
          <w:b w:val="0"/>
          <w:i w:val="0"/>
          <w:sz w:val="22"/>
        </w:rPr>
        <w:t>Clark Atlanta University is committed to providing students with a documented disability an equal opportunity to pursue a college education. Efforts will be made to meet requests for reasonable accommodations for those eligible under the Americans with Disabilities Act (ADA) of 2008, the Rehabilitation Act of 1973, and Section 504. Students with disabilities are encouraged to contact the Office of Counseling and Disability Services (404-880-8044), located on the 3rd floor of Trevor Arnett Hall, to discuss accommodation. Once reasonable accommodations are determined, it is the student's responsibility to present the Letter of Accommodation from The Office of Counseling and Disability Services to their professors within the first two weeks of class.</w:t>
      </w:r>
    </w:p>
    <w:p>
      <w:pPr>
        <w:pStyle w:val="Heading1"/>
      </w:pPr>
      <w:r>
        <w:t>Clark Atlanta University Title IX &amp; Clery Policy</w:t>
      </w:r>
    </w:p>
    <w:p>
      <w:pPr>
        <w:spacing w:after="120"/>
      </w:pPr>
      <w:r>
        <w:rPr>
          <w:b w:val="0"/>
          <w:i w:val="0"/>
          <w:sz w:val="22"/>
        </w:rPr>
        <w:t>Sexual, gender, or any other type of harassment is not tolerated at CAU. The university complies with federal law to provide appropriate and timely assistance to any student who has experienced or is experiencing any discriminatory or sexually harassing actions by any other student, faculty, staff, or any other person on campus. This policy is detailed on the university's website.</w:t>
      </w:r>
    </w:p>
    <w:p>
      <w:pPr>
        <w:pStyle w:val="Heading1"/>
      </w:pPr>
      <w:r>
        <w:t>Afrocentric Perspective</w:t>
      </w:r>
    </w:p>
    <w:p>
      <w:pPr>
        <w:spacing w:after="120"/>
      </w:pPr>
      <w:r>
        <w:rPr>
          <w:b w:val="0"/>
          <w:i w:val="0"/>
          <w:sz w:val="22"/>
        </w:rPr>
        <w:t>The Afrocentric Perspective is a culturally grounded social work practice-based model that affirms, codifies, and integrates common cultural experiences, values, and interpretations that cut across people of African descent. The perspective encompasses the intersectionality of race and other societal factors such as gender, ethnicity, social class, ability status, and sexual orientation. Further, the perspective acknowledges African cultural resiliency as a foundation to help social work practitioners solve pressing social problems that diminish human potential and preclude positive social change. Thus, Afrocentric social work practice, as a pedagogy embedded within the Whitney M. Young, Jr. School of Social Work programs, endeavors to prepare students to address specific psychological, social, spiritual, and economic problems experienced by people of African descent and to address problems confronted by all people.</w:t>
      </w:r>
    </w:p>
    <w:p>
      <w:pPr>
        <w:pStyle w:val="Heading2"/>
      </w:pPr>
      <w:r>
        <w:t>Key Terms</w:t>
      </w:r>
    </w:p>
    <w:p>
      <w:r>
        <w:rPr>
          <w:b/>
        </w:rPr>
        <w:t xml:space="preserve">Culturally Grounded social work practice: </w:t>
      </w:r>
      <w:r>
        <w:t>The combination and utilization of cultural sensitivity and cultural competence in social work practice.</w:t>
      </w:r>
    </w:p>
    <w:p>
      <w:r>
        <w:rPr>
          <w:b/>
        </w:rPr>
        <w:t xml:space="preserve">Intersectionality: </w:t>
      </w:r>
      <w:r>
        <w:t>The examination of how two or more social constructions of oppression and/or privilege intersect to shape people's social environment and cumulative lived experiences.</w:t>
      </w:r>
    </w:p>
    <w:p>
      <w:r>
        <w:rPr>
          <w:b/>
        </w:rPr>
        <w:t xml:space="preserve">Spiritual: </w:t>
      </w:r>
      <w:r>
        <w:t>In social work practice, this area of assessment and intervention seeks to understand a client's sense of self and sense of meaning and purpose, in an attempt to offer solutions to better manage life challenges.</w:t>
      </w:r>
    </w:p>
    <w:p>
      <w:pPr>
        <w:pStyle w:val="Heading2"/>
      </w:pPr>
      <w:r>
        <w:t>Concepts Assigned to CUSW 403</w:t>
      </w:r>
    </w:p>
    <w:p>
      <w:pPr>
        <w:spacing w:after="120"/>
      </w:pPr>
      <w:r>
        <w:rPr>
          <w:b w:val="0"/>
          <w:i w:val="0"/>
          <w:sz w:val="22"/>
        </w:rPr>
        <w:t>Of the Afrocentric Perspective's ten concepts, CUSW 403 is specifically assigned three, applied in Module 6 through the DIASPORA Model (King, 2019):</w:t>
      </w:r>
    </w:p>
    <w:p>
      <w:r>
        <w:rPr>
          <w:b/>
        </w:rPr>
        <w:t xml:space="preserve">Humanistic Values: </w:t>
      </w:r>
      <w:r>
        <w:t>Values that place priority on eliminating human oppression and enhancing human potential.</w:t>
      </w:r>
    </w:p>
    <w:p>
      <w:r>
        <w:rPr>
          <w:b/>
        </w:rPr>
        <w:t xml:space="preserve">Intuitive: </w:t>
      </w:r>
      <w:r>
        <w:t>Recognizing and accepting the importance of emotion in determining what is real.</w:t>
      </w:r>
    </w:p>
    <w:p>
      <w:r>
        <w:rPr>
          <w:b/>
        </w:rPr>
        <w:t xml:space="preserve">Matrix Roles: </w:t>
      </w:r>
      <w:r>
        <w:t>The personification of effective professional strategies for eliminating human oppression and enhancing human potential.</w:t>
      </w:r>
    </w:p>
    <w:p>
      <w:pPr>
        <w:pStyle w:val="Heading1"/>
      </w:pPr>
      <w:r>
        <w:t>Relationship of the Course to Five Curricular Themes</w:t>
      </w:r>
    </w:p>
    <w:p>
      <w:pPr>
        <w:pStyle w:val="ListBullet"/>
      </w:pPr>
      <w:r>
        <w:rPr>
          <w:b/>
        </w:rPr>
        <w:t xml:space="preserve">Afrocentric Perspective: </w:t>
      </w:r>
      <w:r>
        <w:t>Students will develop an understanding of the Afrocentric Perspective as it relates to working with diverse, special, and at-risk populations.</w:t>
      </w:r>
    </w:p>
    <w:p>
      <w:pPr>
        <w:pStyle w:val="ListBullet"/>
      </w:pPr>
      <w:r>
        <w:rPr>
          <w:b/>
        </w:rPr>
        <w:t xml:space="preserve">Multiculturalism and Diversity: </w:t>
      </w:r>
      <w:r>
        <w:t>Students will develop an understanding of multiculturalism and diversity and how this relates to social work practice with minorities.</w:t>
      </w:r>
    </w:p>
    <w:p>
      <w:pPr>
        <w:pStyle w:val="ListBullet"/>
      </w:pPr>
      <w:r>
        <w:rPr>
          <w:b/>
        </w:rPr>
        <w:t xml:space="preserve">Social Justice and Social Change: </w:t>
      </w:r>
      <w:r>
        <w:t>Students will acquire knowledge on how to promote social justice and social change.</w:t>
      </w:r>
    </w:p>
    <w:p>
      <w:pPr>
        <w:pStyle w:val="ListBullet"/>
      </w:pPr>
      <w:r>
        <w:rPr>
          <w:b/>
        </w:rPr>
        <w:t xml:space="preserve">Promotion and Prevention: </w:t>
      </w:r>
      <w:r>
        <w:t>Students will develop the capacity to promote social justice for minorities.</w:t>
      </w:r>
    </w:p>
    <w:p>
      <w:pPr>
        <w:pStyle w:val="ListBullet"/>
      </w:pPr>
      <w:r>
        <w:rPr>
          <w:b/>
        </w:rPr>
        <w:t xml:space="preserve">Social Science: </w:t>
      </w:r>
      <w:r>
        <w:t>Students will strengthen their capacity to use theoretical and empirical social science literature to understand social problems and issues.</w:t>
      </w:r>
    </w:p>
    <w:p>
      <w:pPr>
        <w:pStyle w:val="Heading1"/>
      </w:pPr>
      <w:r>
        <w:t>Grading and Other Policies and Expectations</w:t>
      </w:r>
    </w:p>
    <w:p>
      <w:pPr>
        <w:spacing w:after="120"/>
      </w:pPr>
      <w:r>
        <w:rPr>
          <w:b w:val="0"/>
          <w:i w:val="0"/>
          <w:sz w:val="22"/>
        </w:rPr>
        <w:t>Satisfactory performance is required to obtain a grade of C or better in the course. Students missing an exam with a legitimate excused absence must sit for a missed test within one week of the originally scheduled date. No make-up exams will be given except for extenuating circumstances (documented medical reasons, death in the immediate family, judicial cases, or official leave approved by the university administration). All work submitted must be edited for spelling and grammatical errors. Late work is penalized two points per day late (e.g., two points for one day late, four points for two days late). All assignments will be graded within 7–10 days.</w:t>
      </w:r>
    </w:p>
    <w:p>
      <w:pPr>
        <w:pStyle w:val="Heading2"/>
      </w:pPr>
      <w:r>
        <w:t>Classroom Decorum and Professionalism</w:t>
      </w:r>
    </w:p>
    <w:p>
      <w:pPr>
        <w:spacing w:after="120"/>
      </w:pPr>
      <w:r>
        <w:rPr>
          <w:b w:val="0"/>
          <w:i w:val="0"/>
          <w:sz w:val="22"/>
        </w:rPr>
        <w:t>All students are expected to follow professional classroom conduct in both in-person and virtual sessions. Please respect synchronous meetings as official class time and dress appropriately for both in-person and virtual attendance. Students should have their books, notepads, and writing tools available in class and online. Cell phones are not to be used during class or online instruction.</w:t>
      </w:r>
    </w:p>
    <w:p>
      <w:pPr>
        <w:pStyle w:val="Heading2"/>
      </w:pPr>
      <w:r>
        <w:t>Participation</w:t>
      </w:r>
    </w:p>
    <w:p>
      <w:pPr>
        <w:spacing w:after="120"/>
      </w:pPr>
      <w:r>
        <w:rPr>
          <w:b w:val="0"/>
          <w:i w:val="0"/>
          <w:sz w:val="22"/>
        </w:rPr>
        <w:t>This course addresses many aspects on which students and the instructor may hold differing viewpoints. All students are expected to extend respect to fellow students and the instructor to engage in open, professional dialogue. Class participation is evaluated using:</w:t>
      </w:r>
    </w:p>
    <w:p>
      <w:pPr>
        <w:pStyle w:val="ListBullet"/>
      </w:pPr>
      <w:r>
        <w:rPr>
          <w:sz w:val="22"/>
        </w:rPr>
        <w:t>Regular attendance to scheduled class sessions.</w:t>
      </w:r>
    </w:p>
    <w:p>
      <w:pPr>
        <w:pStyle w:val="ListBullet"/>
      </w:pPr>
      <w:r>
        <w:rPr>
          <w:sz w:val="22"/>
        </w:rPr>
        <w:t>The extent of contribution to class discussions and activities.</w:t>
      </w:r>
    </w:p>
    <w:p>
      <w:pPr>
        <w:pStyle w:val="ListBullet"/>
      </w:pPr>
      <w:r>
        <w:rPr>
          <w:sz w:val="22"/>
        </w:rPr>
        <w:t>Thoughtfulness of comments and active engagement with the course material.</w:t>
      </w:r>
    </w:p>
    <w:p>
      <w:pPr>
        <w:pStyle w:val="ListBullet"/>
      </w:pPr>
      <w:r>
        <w:rPr>
          <w:sz w:val="22"/>
        </w:rPr>
        <w:t>Ability to remain open to controversial viewpoints.</w:t>
      </w:r>
    </w:p>
    <w:p>
      <w:pPr>
        <w:pStyle w:val="ListBullet"/>
      </w:pPr>
      <w:r>
        <w:rPr>
          <w:sz w:val="22"/>
        </w:rPr>
        <w:t>Active engagement with the course via Canvas and in-class.</w:t>
      </w:r>
    </w:p>
    <w:p>
      <w:pPr>
        <w:pStyle w:val="ListBullet"/>
      </w:pPr>
      <w:r>
        <w:rPr>
          <w:sz w:val="22"/>
        </w:rPr>
        <w:t>Providing accurate and respectful feedback to others.</w:t>
      </w:r>
    </w:p>
    <w:p>
      <w:pPr>
        <w:pStyle w:val="ListBullet"/>
      </w:pPr>
      <w:r>
        <w:rPr>
          <w:sz w:val="22"/>
        </w:rPr>
        <w:t>Identifying any unique learning needs or problems directly to the instructor.</w:t>
      </w:r>
    </w:p>
    <w:p>
      <w:pPr>
        <w:pStyle w:val="ListBullet"/>
      </w:pPr>
      <w:r>
        <w:rPr>
          <w:sz w:val="22"/>
        </w:rPr>
        <w:t>Utilizing office hours when necessary.</w:t>
      </w:r>
    </w:p>
    <w:p>
      <w:pPr>
        <w:spacing w:after="120"/>
      </w:pPr>
      <w:r>
        <w:rPr>
          <w:b w:val="0"/>
          <w:i w:val="0"/>
          <w:sz w:val="22"/>
        </w:rPr>
        <w:t>Students found in violation of the CAU Academic Honesty Policy or other policies listed in this syllabus may be subject to the procedures of accusation, penalty, and appeal described in the BSW Student Handbook.</w:t>
      </w:r>
    </w:p>
    <w:p>
      <w:pPr>
        <w:pStyle w:val="Heading2"/>
      </w:pPr>
      <w:r>
        <w:t>Course Incompletes</w:t>
      </w:r>
    </w:p>
    <w:p>
      <w:pPr>
        <w:spacing w:after="120"/>
      </w:pPr>
      <w:r>
        <w:rPr>
          <w:b w:val="0"/>
          <w:i w:val="0"/>
          <w:sz w:val="22"/>
        </w:rPr>
        <w:t>An incomplete (“I”) is a temporary grade assigned when extenuating and documentable circumstances (illness, death of a family member, or other reasons acceptable to the instructor) prevent a student who is passing the course from completing final requirements by the end of the semester. The “I” is not a substitute for a failing grade. To be eligible, a student must have attended class regularly and passed a substantial amount of required coursework, and must provide official verification of the circumstances. The responsibility for completing the coursework rests with the student. An “I” grade cannot be removed by re-enrolling in the course, and a student cannot register for any course for which an “I”-graded course is a prerequisite.</w:t>
      </w:r>
    </w:p>
    <w:p>
      <w:pPr>
        <w:pStyle w:val="Heading1"/>
      </w:pPr>
      <w:r>
        <w:t>Technical Support</w:t>
      </w:r>
    </w:p>
    <w:p>
      <w:pPr>
        <w:pStyle w:val="Heading2"/>
      </w:pPr>
      <w:r>
        <w:t>OITC &amp; Help Desk</w:t>
      </w:r>
    </w:p>
    <w:p>
      <w:pPr>
        <w:spacing w:after="120"/>
      </w:pPr>
      <w:r>
        <w:rPr>
          <w:b w:val="0"/>
          <w:i w:val="0"/>
          <w:sz w:val="22"/>
        </w:rPr>
        <w:t>The Office of Information Technology and Communications (OITC) has a 24-hour Help Desk. Call 404-880-6482 or email support@cau.edu.</w:t>
      </w:r>
    </w:p>
    <w:p>
      <w:pPr>
        <w:pStyle w:val="Heading2"/>
      </w:pPr>
      <w:r>
        <w:t>Canvas Support</w:t>
      </w:r>
    </w:p>
    <w:p>
      <w:pPr>
        <w:spacing w:after="120"/>
      </w:pPr>
      <w:r>
        <w:rPr>
          <w:b w:val="0"/>
          <w:i w:val="0"/>
          <w:sz w:val="22"/>
        </w:rPr>
        <w:t>For support needs related to applications within Canvas, reach a support team member Monday–Friday, 9:00am–5:00pm via online@cau.edu.</w:t>
      </w:r>
    </w:p>
    <w:p>
      <w:pPr>
        <w:pStyle w:val="Heading1"/>
      </w:pPr>
      <w:r>
        <w:t>Library &amp; Student Resources</w:t>
      </w:r>
    </w:p>
    <w:p>
      <w:pPr>
        <w:spacing w:after="120"/>
      </w:pPr>
      <w:r>
        <w:rPr>
          <w:b w:val="0"/>
          <w:i w:val="0"/>
          <w:sz w:val="22"/>
        </w:rPr>
        <w:t>A full range of services is available via the library website, 24/7, from any device with Internet access. For additional resources, visit the AUC Woodruff Library website.</w:t>
      </w:r>
    </w:p>
    <w:p>
      <w:pPr>
        <w:pStyle w:val="Heading1"/>
      </w:pPr>
      <w:r>
        <w:t>About Your Professor</w:t>
      </w:r>
    </w:p>
    <w:p>
      <w:pPr>
        <w:spacing w:after="120"/>
      </w:pPr>
      <w:r>
        <w:rPr>
          <w:b w:val="0"/>
          <w:i/>
          <w:color w:val="554D45"/>
          <w:sz w:val="22"/>
        </w:rPr>
        <w:t>Dr. Ivis Renee King — [ADD INSTRUCTOR BIO: background, practice experience, teaching philosophy.]</w:t>
      </w:r>
    </w:p>
    <w:p>
      <w:r>
        <w:br w:type="page"/>
      </w:r>
    </w:p>
    <w:p>
      <w:pPr>
        <w:pStyle w:val="Heading1"/>
      </w:pPr>
      <w:r>
        <w:t>Assignments Outline and Due Dates</w:t>
      </w:r>
    </w:p>
    <w:p>
      <w:pPr>
        <w:spacing w:after="120"/>
      </w:pPr>
      <w:r>
        <w:rPr>
          <w:b w:val="0"/>
          <w:i/>
          <w:color w:val="554D45"/>
          <w:sz w:val="20"/>
        </w:rPr>
        <w:t>CUSW 403 – Practice Competency I · organized into three Pre-Practice Experience (PPE) phases.</w:t>
      </w:r>
    </w:p>
    <w:p>
      <w:pPr>
        <w:pStyle w:val="Heading2"/>
      </w:pPr>
      <w:r>
        <w:t>Phase 1: Engagement, Assessment &amp; Planning (Weeks 1–7)</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76"/>
            <w:shd w:val="clear" w:color="auto" w:fill="8E0B20"/>
          </w:tcPr>
          <w:p>
            <w:r/>
            <w:r>
              <w:rPr>
                <w:rFonts w:ascii="Calibri" w:hAnsi="Calibri"/>
                <w:b/>
                <w:color w:val="FFFFFF"/>
                <w:sz w:val="18"/>
              </w:rPr>
              <w:t>Wk</w:t>
            </w:r>
          </w:p>
        </w:tc>
        <w:tc>
          <w:tcPr>
            <w:tcW w:type="dxa" w:w="2880"/>
            <w:shd w:val="clear" w:color="auto" w:fill="8E0B20"/>
          </w:tcPr>
          <w:p>
            <w:r/>
            <w:r>
              <w:rPr>
                <w:rFonts w:ascii="Calibri" w:hAnsi="Calibri"/>
                <w:b/>
                <w:color w:val="FFFFFF"/>
                <w:sz w:val="18"/>
              </w:rPr>
              <w:t>Module</w:t>
            </w:r>
          </w:p>
        </w:tc>
        <w:tc>
          <w:tcPr>
            <w:tcW w:type="dxa" w:w="2448"/>
            <w:shd w:val="clear" w:color="auto" w:fill="8E0B20"/>
          </w:tcPr>
          <w:p>
            <w:r/>
            <w:r>
              <w:rPr>
                <w:rFonts w:ascii="Calibri" w:hAnsi="Calibri"/>
                <w:b/>
                <w:color w:val="FFFFFF"/>
                <w:sz w:val="18"/>
              </w:rPr>
              <w:t>Topic</w:t>
            </w:r>
          </w:p>
        </w:tc>
        <w:tc>
          <w:tcPr>
            <w:tcW w:type="dxa" w:w="1872"/>
            <w:shd w:val="clear" w:color="auto" w:fill="8E0B20"/>
          </w:tcPr>
          <w:p>
            <w:r/>
            <w:r>
              <w:rPr>
                <w:rFonts w:ascii="Calibri" w:hAnsi="Calibri"/>
                <w:b/>
                <w:color w:val="FFFFFF"/>
                <w:sz w:val="18"/>
              </w:rPr>
              <w:t>Reading</w:t>
            </w:r>
          </w:p>
        </w:tc>
        <w:tc>
          <w:tcPr>
            <w:tcW w:type="dxa" w:w="2160"/>
            <w:shd w:val="clear" w:color="auto" w:fill="8E0B20"/>
          </w:tcPr>
          <w:p>
            <w:r/>
            <w:r>
              <w:rPr>
                <w:rFonts w:ascii="Calibri" w:hAnsi="Calibri"/>
                <w:b/>
                <w:color w:val="FFFFFF"/>
                <w:sz w:val="18"/>
              </w:rPr>
              <w:t>Assignment Due</w:t>
            </w:r>
          </w:p>
        </w:tc>
      </w:tr>
      <w:tr>
        <w:tc>
          <w:tcPr>
            <w:tcW w:type="dxa" w:w="1872"/>
          </w:tcPr>
          <w:p>
            <w:pPr>
              <w:jc w:val="center"/>
            </w:pPr>
            <w:r/>
            <w:r>
              <w:rPr>
                <w:rFonts w:ascii="Calibri" w:hAnsi="Calibri"/>
                <w:b/>
                <w:sz w:val="17"/>
              </w:rPr>
              <w:t>1</w:t>
            </w:r>
          </w:p>
        </w:tc>
        <w:tc>
          <w:tcPr>
            <w:tcW w:type="dxa" w:w="1872"/>
          </w:tcPr>
          <w:p>
            <w:r/>
            <w:r>
              <w:rPr>
                <w:rFonts w:ascii="Calibri" w:hAnsi="Calibri"/>
                <w:b w:val="0"/>
                <w:sz w:val="17"/>
              </w:rPr>
              <w:t>Module 1: Orientation to Generalist Practice &amp; the GIM Model</w:t>
            </w:r>
          </w:p>
        </w:tc>
        <w:tc>
          <w:tcPr>
            <w:tcW w:type="dxa" w:w="1872"/>
          </w:tcPr>
          <w:p>
            <w:r/>
            <w:r>
              <w:rPr>
                <w:rFonts w:ascii="Calibri" w:hAnsi="Calibri"/>
                <w:b w:val="0"/>
                <w:sz w:val="17"/>
              </w:rPr>
              <w:t>Course intro; GIM model overview; PPE pilot overview</w:t>
            </w:r>
          </w:p>
        </w:tc>
        <w:tc>
          <w:tcPr>
            <w:tcW w:type="dxa" w:w="1872"/>
          </w:tcPr>
          <w:p>
            <w:r/>
            <w:r>
              <w:rPr>
                <w:rFonts w:ascii="Calibri" w:hAnsi="Calibri"/>
                <w:b w:val="0"/>
                <w:sz w:val="17"/>
              </w:rPr>
              <w:t>Ch. 1–2</w:t>
            </w:r>
          </w:p>
        </w:tc>
        <w:tc>
          <w:tcPr>
            <w:tcW w:type="dxa" w:w="1872"/>
          </w:tcPr>
          <w:p>
            <w:r/>
            <w:r>
              <w:rPr>
                <w:rFonts w:ascii="Calibri" w:hAnsi="Calibri"/>
                <w:b w:val="0"/>
                <w:sz w:val="17"/>
              </w:rPr>
              <w:t>—</w:t>
            </w:r>
          </w:p>
        </w:tc>
      </w:tr>
      <w:tr>
        <w:tc>
          <w:tcPr>
            <w:tcW w:type="dxa" w:w="1872"/>
          </w:tcPr>
          <w:p>
            <w:pPr>
              <w:jc w:val="center"/>
            </w:pPr>
            <w:r/>
            <w:r>
              <w:rPr>
                <w:rFonts w:ascii="Calibri" w:hAnsi="Calibri"/>
                <w:b/>
                <w:sz w:val="17"/>
              </w:rPr>
              <w:t>2</w:t>
            </w:r>
          </w:p>
        </w:tc>
        <w:tc>
          <w:tcPr>
            <w:tcW w:type="dxa" w:w="1872"/>
          </w:tcPr>
          <w:p>
            <w:r/>
            <w:r>
              <w:rPr>
                <w:rFonts w:ascii="Calibri" w:hAnsi="Calibri"/>
                <w:b w:val="0"/>
                <w:sz w:val="17"/>
              </w:rPr>
              <w:t>Module 2: Introduction to AI in Social Work Practice</w:t>
            </w:r>
          </w:p>
        </w:tc>
        <w:tc>
          <w:tcPr>
            <w:tcW w:type="dxa" w:w="1872"/>
          </w:tcPr>
          <w:p>
            <w:r/>
            <w:r>
              <w:rPr>
                <w:rFonts w:ascii="Calibri" w:hAnsi="Calibri"/>
                <w:b w:val="0"/>
                <w:sz w:val="17"/>
              </w:rPr>
              <w:t>AI ethics, NASW/tech standards, confidentiality, bias</w:t>
            </w:r>
          </w:p>
        </w:tc>
        <w:tc>
          <w:tcPr>
            <w:tcW w:type="dxa" w:w="1872"/>
          </w:tcPr>
          <w:p>
            <w:r/>
            <w:r>
              <w:rPr>
                <w:rFonts w:ascii="Calibri" w:hAnsi="Calibri"/>
                <w:b w:val="0"/>
                <w:sz w:val="17"/>
              </w:rPr>
              <w:t>Ch. 3; NASW Tech Standards</w:t>
            </w:r>
          </w:p>
        </w:tc>
        <w:tc>
          <w:tcPr>
            <w:tcW w:type="dxa" w:w="1872"/>
          </w:tcPr>
          <w:p>
            <w:r/>
            <w:r>
              <w:rPr>
                <w:rFonts w:ascii="Calibri" w:hAnsi="Calibri"/>
                <w:b/>
                <w:sz w:val="17"/>
              </w:rPr>
              <w:t>AI Ethics Reflection</w:t>
            </w:r>
          </w:p>
        </w:tc>
      </w:tr>
      <w:tr>
        <w:tc>
          <w:tcPr>
            <w:tcW w:type="dxa" w:w="1872"/>
          </w:tcPr>
          <w:p>
            <w:pPr>
              <w:jc w:val="center"/>
            </w:pPr>
            <w:r/>
            <w:r>
              <w:rPr>
                <w:rFonts w:ascii="Calibri" w:hAnsi="Calibri"/>
                <w:b/>
                <w:sz w:val="17"/>
              </w:rPr>
              <w:t>3</w:t>
            </w:r>
          </w:p>
        </w:tc>
        <w:tc>
          <w:tcPr>
            <w:tcW w:type="dxa" w:w="1872"/>
          </w:tcPr>
          <w:p>
            <w:r/>
            <w:r>
              <w:rPr>
                <w:rFonts w:ascii="Calibri" w:hAnsi="Calibri"/>
                <w:b w:val="0"/>
                <w:sz w:val="17"/>
              </w:rPr>
              <w:t>Module 3: Engagement &amp; Micro Practice Skills</w:t>
            </w:r>
          </w:p>
        </w:tc>
        <w:tc>
          <w:tcPr>
            <w:tcW w:type="dxa" w:w="1872"/>
          </w:tcPr>
          <w:p>
            <w:r/>
            <w:r>
              <w:rPr>
                <w:rFonts w:ascii="Calibri" w:hAnsi="Calibri"/>
                <w:b w:val="0"/>
                <w:sz w:val="17"/>
              </w:rPr>
              <w:t>Micro practice skills; engagement techniques</w:t>
            </w:r>
          </w:p>
        </w:tc>
        <w:tc>
          <w:tcPr>
            <w:tcW w:type="dxa" w:w="1872"/>
          </w:tcPr>
          <w:p>
            <w:r/>
            <w:r>
              <w:rPr>
                <w:rFonts w:ascii="Calibri" w:hAnsi="Calibri"/>
                <w:b w:val="0"/>
                <w:sz w:val="17"/>
              </w:rPr>
              <w:t>Ch. 4–5</w:t>
            </w:r>
          </w:p>
        </w:tc>
        <w:tc>
          <w:tcPr>
            <w:tcW w:type="dxa" w:w="1872"/>
          </w:tcPr>
          <w:p>
            <w:r/>
            <w:r>
              <w:rPr>
                <w:rFonts w:ascii="Calibri" w:hAnsi="Calibri"/>
                <w:b w:val="0"/>
                <w:sz w:val="17"/>
              </w:rPr>
              <w:t>—</w:t>
            </w:r>
          </w:p>
        </w:tc>
      </w:tr>
      <w:tr>
        <w:tc>
          <w:tcPr>
            <w:tcW w:type="dxa" w:w="1872"/>
          </w:tcPr>
          <w:p>
            <w:pPr>
              <w:jc w:val="center"/>
            </w:pPr>
            <w:r/>
            <w:r>
              <w:rPr>
                <w:rFonts w:ascii="Calibri" w:hAnsi="Calibri"/>
                <w:b/>
                <w:sz w:val="17"/>
              </w:rPr>
              <w:t>4</w:t>
            </w:r>
          </w:p>
        </w:tc>
        <w:tc>
          <w:tcPr>
            <w:tcW w:type="dxa" w:w="1872"/>
          </w:tcPr>
          <w:p>
            <w:r/>
            <w:r>
              <w:rPr>
                <w:rFonts w:ascii="Calibri" w:hAnsi="Calibri"/>
                <w:b w:val="0"/>
                <w:sz w:val="17"/>
              </w:rPr>
              <w:t>Module 3: Engagement &amp; Micro Practice Skills</w:t>
            </w:r>
          </w:p>
        </w:tc>
        <w:tc>
          <w:tcPr>
            <w:tcW w:type="dxa" w:w="1872"/>
          </w:tcPr>
          <w:p>
            <w:r/>
            <w:r>
              <w:rPr>
                <w:rFonts w:ascii="Calibri" w:hAnsi="Calibri"/>
                <w:b w:val="0"/>
                <w:sz w:val="17"/>
              </w:rPr>
              <w:t>AI-assisted self-assessment feedback</w:t>
            </w:r>
          </w:p>
        </w:tc>
        <w:tc>
          <w:tcPr>
            <w:tcW w:type="dxa" w:w="1872"/>
          </w:tcPr>
          <w:p>
            <w:r/>
            <w:r>
              <w:rPr>
                <w:rFonts w:ascii="Calibri" w:hAnsi="Calibri"/>
                <w:b w:val="0"/>
                <w:sz w:val="17"/>
              </w:rPr>
              <w:t>Ch. 6–7</w:t>
            </w:r>
          </w:p>
        </w:tc>
        <w:tc>
          <w:tcPr>
            <w:tcW w:type="dxa" w:w="1872"/>
          </w:tcPr>
          <w:p>
            <w:r/>
            <w:r>
              <w:rPr>
                <w:rFonts w:ascii="Calibri" w:hAnsi="Calibri"/>
                <w:b/>
                <w:sz w:val="17"/>
              </w:rPr>
              <w:t>Engagement Simulation</w:t>
            </w:r>
          </w:p>
        </w:tc>
      </w:tr>
      <w:tr>
        <w:tc>
          <w:tcPr>
            <w:tcW w:type="dxa" w:w="1872"/>
          </w:tcPr>
          <w:p>
            <w:pPr>
              <w:jc w:val="center"/>
            </w:pPr>
            <w:r/>
            <w:r>
              <w:rPr>
                <w:rFonts w:ascii="Calibri" w:hAnsi="Calibri"/>
                <w:b/>
                <w:sz w:val="17"/>
              </w:rPr>
              <w:t>5</w:t>
            </w:r>
          </w:p>
        </w:tc>
        <w:tc>
          <w:tcPr>
            <w:tcW w:type="dxa" w:w="1872"/>
          </w:tcPr>
          <w:p>
            <w:r/>
            <w:r>
              <w:rPr>
                <w:rFonts w:ascii="Calibri" w:hAnsi="Calibri"/>
                <w:b w:val="0"/>
                <w:sz w:val="17"/>
              </w:rPr>
              <w:t>Module 4: Assessment &amp; Planning</w:t>
            </w:r>
          </w:p>
        </w:tc>
        <w:tc>
          <w:tcPr>
            <w:tcW w:type="dxa" w:w="1872"/>
          </w:tcPr>
          <w:p>
            <w:r/>
            <w:r>
              <w:rPr>
                <w:rFonts w:ascii="Calibri" w:hAnsi="Calibri"/>
                <w:b w:val="0"/>
                <w:sz w:val="17"/>
              </w:rPr>
              <w:t>First Client Case begins: case staffing, assessment methods</w:t>
            </w:r>
          </w:p>
        </w:tc>
        <w:tc>
          <w:tcPr>
            <w:tcW w:type="dxa" w:w="1872"/>
          </w:tcPr>
          <w:p>
            <w:r/>
            <w:r>
              <w:rPr>
                <w:rFonts w:ascii="Calibri" w:hAnsi="Calibri"/>
                <w:b w:val="0"/>
                <w:sz w:val="17"/>
              </w:rPr>
              <w:t>Ch. 8</w:t>
            </w:r>
          </w:p>
        </w:tc>
        <w:tc>
          <w:tcPr>
            <w:tcW w:type="dxa" w:w="1872"/>
          </w:tcPr>
          <w:p>
            <w:r/>
            <w:r>
              <w:rPr>
                <w:rFonts w:ascii="Calibri" w:hAnsi="Calibri"/>
                <w:b/>
                <w:sz w:val="17"/>
              </w:rPr>
              <w:t>Genogram + Reflection #1</w:t>
            </w:r>
          </w:p>
        </w:tc>
      </w:tr>
      <w:tr>
        <w:tc>
          <w:tcPr>
            <w:tcW w:type="dxa" w:w="1872"/>
          </w:tcPr>
          <w:p>
            <w:pPr>
              <w:jc w:val="center"/>
            </w:pPr>
            <w:r/>
            <w:r>
              <w:rPr>
                <w:rFonts w:ascii="Calibri" w:hAnsi="Calibri"/>
                <w:b/>
                <w:sz w:val="17"/>
              </w:rPr>
              <w:t>6</w:t>
            </w:r>
          </w:p>
        </w:tc>
        <w:tc>
          <w:tcPr>
            <w:tcW w:type="dxa" w:w="1872"/>
          </w:tcPr>
          <w:p>
            <w:r/>
            <w:r>
              <w:rPr>
                <w:rFonts w:ascii="Calibri" w:hAnsi="Calibri"/>
                <w:b w:val="0"/>
                <w:sz w:val="17"/>
              </w:rPr>
              <w:t>Module 4: Assessment &amp; Planning</w:t>
            </w:r>
          </w:p>
        </w:tc>
        <w:tc>
          <w:tcPr>
            <w:tcW w:type="dxa" w:w="1872"/>
          </w:tcPr>
          <w:p>
            <w:r/>
            <w:r>
              <w:rPr>
                <w:rFonts w:ascii="Calibri" w:hAnsi="Calibri"/>
                <w:b w:val="0"/>
                <w:sz w:val="17"/>
              </w:rPr>
              <w:t>First Client Case continues: treatment planning</w:t>
            </w:r>
          </w:p>
        </w:tc>
        <w:tc>
          <w:tcPr>
            <w:tcW w:type="dxa" w:w="1872"/>
          </w:tcPr>
          <w:p>
            <w:r/>
            <w:r>
              <w:rPr>
                <w:rFonts w:ascii="Calibri" w:hAnsi="Calibri"/>
                <w:b w:val="0"/>
                <w:sz w:val="17"/>
              </w:rPr>
              <w:t>Ch. 9, 12</w:t>
            </w:r>
          </w:p>
        </w:tc>
        <w:tc>
          <w:tcPr>
            <w:tcW w:type="dxa" w:w="1872"/>
          </w:tcPr>
          <w:p>
            <w:r/>
            <w:r>
              <w:rPr>
                <w:rFonts w:ascii="Calibri" w:hAnsi="Calibri"/>
                <w:b/>
                <w:sz w:val="17"/>
              </w:rPr>
              <w:t>Ecomap + Treatment Plan + Reflection #2</w:t>
            </w:r>
          </w:p>
        </w:tc>
      </w:tr>
      <w:tr>
        <w:tc>
          <w:tcPr>
            <w:tcW w:type="dxa" w:w="1872"/>
          </w:tcPr>
          <w:p>
            <w:pPr>
              <w:jc w:val="center"/>
            </w:pPr>
            <w:r/>
            <w:r>
              <w:rPr>
                <w:rFonts w:ascii="Calibri" w:hAnsi="Calibri"/>
                <w:b/>
                <w:sz w:val="17"/>
              </w:rPr>
              <w:t>7</w:t>
            </w:r>
          </w:p>
        </w:tc>
        <w:tc>
          <w:tcPr>
            <w:tcW w:type="dxa" w:w="1872"/>
          </w:tcPr>
          <w:p>
            <w:r/>
            <w:r>
              <w:rPr>
                <w:rFonts w:ascii="Calibri" w:hAnsi="Calibri"/>
                <w:b w:val="0"/>
                <w:sz w:val="17"/>
              </w:rPr>
              <w:t>Module 4: Assessment &amp; Planning</w:t>
            </w:r>
          </w:p>
        </w:tc>
        <w:tc>
          <w:tcPr>
            <w:tcW w:type="dxa" w:w="1872"/>
          </w:tcPr>
          <w:p>
            <w:r/>
            <w:r>
              <w:rPr>
                <w:rFonts w:ascii="Calibri" w:hAnsi="Calibri"/>
                <w:b w:val="0"/>
                <w:sz w:val="17"/>
              </w:rPr>
              <w:t>Phase 1 wrap-up</w:t>
            </w:r>
          </w:p>
        </w:tc>
        <w:tc>
          <w:tcPr>
            <w:tcW w:type="dxa" w:w="1872"/>
          </w:tcPr>
          <w:p>
            <w:r/>
            <w:r>
              <w:rPr>
                <w:rFonts w:ascii="Calibri" w:hAnsi="Calibri"/>
                <w:b w:val="0"/>
                <w:sz w:val="17"/>
              </w:rPr>
              <w:t>—</w:t>
            </w:r>
          </w:p>
        </w:tc>
        <w:tc>
          <w:tcPr>
            <w:tcW w:type="dxa" w:w="1872"/>
          </w:tcPr>
          <w:p>
            <w:r/>
            <w:r>
              <w:rPr>
                <w:rFonts w:ascii="Calibri" w:hAnsi="Calibri"/>
                <w:b/>
                <w:sz w:val="17"/>
              </w:rPr>
              <w:t>Phase 1 Benchmark Checkpoint (min. 80%)</w:t>
            </w:r>
          </w:p>
        </w:tc>
      </w:tr>
    </w:tbl>
    <w:p>
      <w:pPr>
        <w:spacing w:after="120"/>
      </w:pPr>
      <w:r>
        <w:rPr>
          <w:b w:val="0"/>
          <w:i w:val="0"/>
          <w:sz w:val="22"/>
        </w:rPr>
      </w:r>
    </w:p>
    <w:p>
      <w:pPr>
        <w:pStyle w:val="Heading2"/>
      </w:pPr>
      <w:r>
        <w:t>— Fall Break — no class —</w:t>
      </w:r>
    </w:p>
    <w:p>
      <w:pPr>
        <w:pStyle w:val="Heading2"/>
      </w:pPr>
      <w:r>
        <w:t>Phase 2: Implementation (Weeks 8–13)</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76"/>
            <w:shd w:val="clear" w:color="auto" w:fill="8E0B20"/>
          </w:tcPr>
          <w:p>
            <w:r/>
            <w:r>
              <w:rPr>
                <w:rFonts w:ascii="Calibri" w:hAnsi="Calibri"/>
                <w:b/>
                <w:color w:val="FFFFFF"/>
                <w:sz w:val="18"/>
              </w:rPr>
              <w:t>Wk</w:t>
            </w:r>
          </w:p>
        </w:tc>
        <w:tc>
          <w:tcPr>
            <w:tcW w:type="dxa" w:w="2880"/>
            <w:shd w:val="clear" w:color="auto" w:fill="8E0B20"/>
          </w:tcPr>
          <w:p>
            <w:r/>
            <w:r>
              <w:rPr>
                <w:rFonts w:ascii="Calibri" w:hAnsi="Calibri"/>
                <w:b/>
                <w:color w:val="FFFFFF"/>
                <w:sz w:val="18"/>
              </w:rPr>
              <w:t>Module</w:t>
            </w:r>
          </w:p>
        </w:tc>
        <w:tc>
          <w:tcPr>
            <w:tcW w:type="dxa" w:w="2448"/>
            <w:shd w:val="clear" w:color="auto" w:fill="8E0B20"/>
          </w:tcPr>
          <w:p>
            <w:r/>
            <w:r>
              <w:rPr>
                <w:rFonts w:ascii="Calibri" w:hAnsi="Calibri"/>
                <w:b/>
                <w:color w:val="FFFFFF"/>
                <w:sz w:val="18"/>
              </w:rPr>
              <w:t>Topic</w:t>
            </w:r>
          </w:p>
        </w:tc>
        <w:tc>
          <w:tcPr>
            <w:tcW w:type="dxa" w:w="1872"/>
            <w:shd w:val="clear" w:color="auto" w:fill="8E0B20"/>
          </w:tcPr>
          <w:p>
            <w:r/>
            <w:r>
              <w:rPr>
                <w:rFonts w:ascii="Calibri" w:hAnsi="Calibri"/>
                <w:b/>
                <w:color w:val="FFFFFF"/>
                <w:sz w:val="18"/>
              </w:rPr>
              <w:t>Reading</w:t>
            </w:r>
          </w:p>
        </w:tc>
        <w:tc>
          <w:tcPr>
            <w:tcW w:type="dxa" w:w="2160"/>
            <w:shd w:val="clear" w:color="auto" w:fill="8E0B20"/>
          </w:tcPr>
          <w:p>
            <w:r/>
            <w:r>
              <w:rPr>
                <w:rFonts w:ascii="Calibri" w:hAnsi="Calibri"/>
                <w:b/>
                <w:color w:val="FFFFFF"/>
                <w:sz w:val="18"/>
              </w:rPr>
              <w:t>Assignment Due</w:t>
            </w:r>
          </w:p>
        </w:tc>
      </w:tr>
      <w:tr>
        <w:tc>
          <w:tcPr>
            <w:tcW w:type="dxa" w:w="1872"/>
          </w:tcPr>
          <w:p>
            <w:pPr>
              <w:jc w:val="center"/>
            </w:pPr>
            <w:r/>
            <w:r>
              <w:rPr>
                <w:rFonts w:ascii="Calibri" w:hAnsi="Calibri"/>
                <w:b/>
                <w:sz w:val="17"/>
              </w:rPr>
              <w:t>8</w:t>
            </w:r>
          </w:p>
        </w:tc>
        <w:tc>
          <w:tcPr>
            <w:tcW w:type="dxa" w:w="1872"/>
          </w:tcPr>
          <w:p>
            <w:r/>
            <w:r>
              <w:rPr>
                <w:rFonts w:ascii="Calibri" w:hAnsi="Calibri"/>
                <w:b w:val="0"/>
                <w:sz w:val="17"/>
              </w:rPr>
              <w:t>Module 5: Implementation I — Child Welfare &amp; Family Systems</w:t>
            </w:r>
          </w:p>
        </w:tc>
        <w:tc>
          <w:tcPr>
            <w:tcW w:type="dxa" w:w="1872"/>
          </w:tcPr>
          <w:p>
            <w:r/>
            <w:r>
              <w:rPr>
                <w:rFonts w:ascii="Calibri" w:hAnsi="Calibri"/>
                <w:b w:val="0"/>
                <w:sz w:val="17"/>
              </w:rPr>
              <w:t>Family systems content; rotation begins</w:t>
            </w:r>
          </w:p>
        </w:tc>
        <w:tc>
          <w:tcPr>
            <w:tcW w:type="dxa" w:w="1872"/>
          </w:tcPr>
          <w:p>
            <w:r/>
            <w:r>
              <w:rPr>
                <w:rFonts w:ascii="Calibri" w:hAnsi="Calibri"/>
                <w:b w:val="0"/>
                <w:sz w:val="17"/>
              </w:rPr>
              <w:t>Ch. 10</w:t>
            </w:r>
          </w:p>
        </w:tc>
        <w:tc>
          <w:tcPr>
            <w:tcW w:type="dxa" w:w="1872"/>
          </w:tcPr>
          <w:p>
            <w:r/>
            <w:r>
              <w:rPr>
                <w:rFonts w:ascii="Calibri" w:hAnsi="Calibri"/>
                <w:b w:val="0"/>
                <w:sz w:val="17"/>
              </w:rPr>
              <w:t>—</w:t>
            </w:r>
          </w:p>
        </w:tc>
      </w:tr>
      <w:tr>
        <w:tc>
          <w:tcPr>
            <w:tcW w:type="dxa" w:w="1872"/>
          </w:tcPr>
          <w:p>
            <w:pPr>
              <w:jc w:val="center"/>
            </w:pPr>
            <w:r/>
            <w:r>
              <w:rPr>
                <w:rFonts w:ascii="Calibri" w:hAnsi="Calibri"/>
                <w:b/>
                <w:sz w:val="17"/>
              </w:rPr>
              <w:t>9</w:t>
            </w:r>
          </w:p>
        </w:tc>
        <w:tc>
          <w:tcPr>
            <w:tcW w:type="dxa" w:w="1872"/>
          </w:tcPr>
          <w:p>
            <w:r/>
            <w:r>
              <w:rPr>
                <w:rFonts w:ascii="Calibri" w:hAnsi="Calibri"/>
                <w:b w:val="0"/>
                <w:sz w:val="17"/>
              </w:rPr>
              <w:t>Module 5: Implementation I — Child Welfare &amp; Family Systems</w:t>
            </w:r>
          </w:p>
        </w:tc>
        <w:tc>
          <w:tcPr>
            <w:tcW w:type="dxa" w:w="1872"/>
          </w:tcPr>
          <w:p>
            <w:r/>
            <w:r>
              <w:rPr>
                <w:rFonts w:ascii="Calibri" w:hAnsi="Calibri"/>
                <w:b w:val="0"/>
                <w:sz w:val="17"/>
              </w:rPr>
              <w:t>Rotation continues</w:t>
            </w:r>
          </w:p>
        </w:tc>
        <w:tc>
          <w:tcPr>
            <w:tcW w:type="dxa" w:w="1872"/>
          </w:tcPr>
          <w:p>
            <w:r/>
            <w:r>
              <w:rPr>
                <w:rFonts w:ascii="Calibri" w:hAnsi="Calibri"/>
                <w:b w:val="0"/>
                <w:sz w:val="17"/>
              </w:rPr>
              <w:t>Ch. 16</w:t>
            </w:r>
          </w:p>
        </w:tc>
        <w:tc>
          <w:tcPr>
            <w:tcW w:type="dxa" w:w="1872"/>
          </w:tcPr>
          <w:p>
            <w:r/>
            <w:r>
              <w:rPr>
                <w:rFonts w:ascii="Calibri" w:hAnsi="Calibri"/>
                <w:b/>
                <w:sz w:val="17"/>
              </w:rPr>
              <w:t>Observation Log + Reflection</w:t>
            </w:r>
          </w:p>
        </w:tc>
      </w:tr>
      <w:tr>
        <w:tc>
          <w:tcPr>
            <w:tcW w:type="dxa" w:w="1872"/>
          </w:tcPr>
          <w:p>
            <w:pPr>
              <w:jc w:val="center"/>
            </w:pPr>
            <w:r/>
            <w:r>
              <w:rPr>
                <w:rFonts w:ascii="Calibri" w:hAnsi="Calibri"/>
                <w:b/>
                <w:sz w:val="17"/>
              </w:rPr>
              <w:t>10</w:t>
            </w:r>
          </w:p>
        </w:tc>
        <w:tc>
          <w:tcPr>
            <w:tcW w:type="dxa" w:w="1872"/>
          </w:tcPr>
          <w:p>
            <w:r/>
            <w:r>
              <w:rPr>
                <w:rFonts w:ascii="Calibri" w:hAnsi="Calibri"/>
                <w:b w:val="0"/>
                <w:sz w:val="17"/>
              </w:rPr>
              <w:t>Module 6: Implementation II — Mental Health &amp; Culturally Competent Practice</w:t>
            </w:r>
          </w:p>
        </w:tc>
        <w:tc>
          <w:tcPr>
            <w:tcW w:type="dxa" w:w="1872"/>
          </w:tcPr>
          <w:p>
            <w:r/>
            <w:r>
              <w:rPr>
                <w:rFonts w:ascii="Calibri" w:hAnsi="Calibri"/>
                <w:b w:val="0"/>
                <w:sz w:val="17"/>
              </w:rPr>
              <w:t>Afrocentric Perspective foundations; rotation begins</w:t>
            </w:r>
          </w:p>
        </w:tc>
        <w:tc>
          <w:tcPr>
            <w:tcW w:type="dxa" w:w="1872"/>
          </w:tcPr>
          <w:p>
            <w:r/>
            <w:r>
              <w:rPr>
                <w:rFonts w:ascii="Calibri" w:hAnsi="Calibri"/>
                <w:b w:val="0"/>
                <w:sz w:val="17"/>
              </w:rPr>
              <w:t>Ch. 14; Afrocentric overview; Schiele (2015)</w:t>
            </w:r>
          </w:p>
        </w:tc>
        <w:tc>
          <w:tcPr>
            <w:tcW w:type="dxa" w:w="1872"/>
          </w:tcPr>
          <w:p>
            <w:r/>
            <w:r>
              <w:rPr>
                <w:rFonts w:ascii="Calibri" w:hAnsi="Calibri"/>
                <w:b w:val="0"/>
                <w:sz w:val="17"/>
              </w:rPr>
              <w:t>—</w:t>
            </w:r>
          </w:p>
        </w:tc>
      </w:tr>
      <w:tr>
        <w:tc>
          <w:tcPr>
            <w:tcW w:type="dxa" w:w="1872"/>
          </w:tcPr>
          <w:p>
            <w:pPr>
              <w:jc w:val="center"/>
            </w:pPr>
            <w:r/>
            <w:r>
              <w:rPr>
                <w:rFonts w:ascii="Calibri" w:hAnsi="Calibri"/>
                <w:b/>
                <w:sz w:val="17"/>
              </w:rPr>
              <w:t>11</w:t>
            </w:r>
          </w:p>
        </w:tc>
        <w:tc>
          <w:tcPr>
            <w:tcW w:type="dxa" w:w="1872"/>
          </w:tcPr>
          <w:p>
            <w:r/>
            <w:r>
              <w:rPr>
                <w:rFonts w:ascii="Calibri" w:hAnsi="Calibri"/>
                <w:b w:val="0"/>
                <w:sz w:val="17"/>
              </w:rPr>
              <w:t>Module 6: Implementation II — Mental Health &amp; Culturally Competent Practice</w:t>
            </w:r>
          </w:p>
        </w:tc>
        <w:tc>
          <w:tcPr>
            <w:tcW w:type="dxa" w:w="1872"/>
          </w:tcPr>
          <w:p>
            <w:r/>
            <w:r>
              <w:rPr>
                <w:rFonts w:ascii="Calibri" w:hAnsi="Calibri"/>
                <w:b w:val="0"/>
                <w:sz w:val="17"/>
              </w:rPr>
              <w:t>DIASPORA Model applied to a de-identified, composite case</w:t>
            </w:r>
          </w:p>
        </w:tc>
        <w:tc>
          <w:tcPr>
            <w:tcW w:type="dxa" w:w="1872"/>
          </w:tcPr>
          <w:p>
            <w:r/>
            <w:r>
              <w:rPr>
                <w:rFonts w:ascii="Calibri" w:hAnsi="Calibri"/>
                <w:b w:val="0"/>
                <w:sz w:val="17"/>
              </w:rPr>
              <w:t>DIASPORA worksheet</w:t>
            </w:r>
          </w:p>
        </w:tc>
        <w:tc>
          <w:tcPr>
            <w:tcW w:type="dxa" w:w="1872"/>
          </w:tcPr>
          <w:p>
            <w:r/>
            <w:r>
              <w:rPr>
                <w:rFonts w:ascii="Calibri" w:hAnsi="Calibri"/>
                <w:b/>
                <w:sz w:val="17"/>
              </w:rPr>
              <w:t>Afrocentric Case Study + Flipgrid</w:t>
            </w:r>
          </w:p>
        </w:tc>
      </w:tr>
      <w:tr>
        <w:tc>
          <w:tcPr>
            <w:tcW w:type="dxa" w:w="1872"/>
          </w:tcPr>
          <w:p>
            <w:pPr>
              <w:jc w:val="center"/>
            </w:pPr>
            <w:r/>
            <w:r>
              <w:rPr>
                <w:rFonts w:ascii="Calibri" w:hAnsi="Calibri"/>
                <w:b/>
                <w:sz w:val="17"/>
              </w:rPr>
              <w:t>12</w:t>
            </w:r>
          </w:p>
        </w:tc>
        <w:tc>
          <w:tcPr>
            <w:tcW w:type="dxa" w:w="1872"/>
          </w:tcPr>
          <w:p>
            <w:r/>
            <w:r>
              <w:rPr>
                <w:rFonts w:ascii="Calibri" w:hAnsi="Calibri"/>
                <w:b w:val="0"/>
                <w:sz w:val="17"/>
              </w:rPr>
              <w:t>Module 7: Implementation III — Community Organizations &amp; Gender-Sensitive Practice</w:t>
            </w:r>
          </w:p>
        </w:tc>
        <w:tc>
          <w:tcPr>
            <w:tcW w:type="dxa" w:w="1872"/>
          </w:tcPr>
          <w:p>
            <w:r/>
            <w:r>
              <w:rPr>
                <w:rFonts w:ascii="Calibri" w:hAnsi="Calibri"/>
                <w:b w:val="0"/>
                <w:sz w:val="17"/>
              </w:rPr>
              <w:t>Gender-sensitive practice content; rotation begins</w:t>
            </w:r>
          </w:p>
        </w:tc>
        <w:tc>
          <w:tcPr>
            <w:tcW w:type="dxa" w:w="1872"/>
          </w:tcPr>
          <w:p>
            <w:r/>
            <w:r>
              <w:rPr>
                <w:rFonts w:ascii="Calibri" w:hAnsi="Calibri"/>
                <w:b w:val="0"/>
                <w:sz w:val="17"/>
              </w:rPr>
              <w:t>Ch. 11</w:t>
            </w:r>
          </w:p>
        </w:tc>
        <w:tc>
          <w:tcPr>
            <w:tcW w:type="dxa" w:w="1872"/>
          </w:tcPr>
          <w:p>
            <w:r/>
            <w:r>
              <w:rPr>
                <w:rFonts w:ascii="Calibri" w:hAnsi="Calibri"/>
                <w:b w:val="0"/>
                <w:sz w:val="17"/>
              </w:rPr>
              <w:t>—</w:t>
            </w:r>
          </w:p>
        </w:tc>
      </w:tr>
      <w:tr>
        <w:tc>
          <w:tcPr>
            <w:tcW w:type="dxa" w:w="1872"/>
          </w:tcPr>
          <w:p>
            <w:pPr>
              <w:jc w:val="center"/>
            </w:pPr>
            <w:r/>
            <w:r>
              <w:rPr>
                <w:rFonts w:ascii="Calibri" w:hAnsi="Calibri"/>
                <w:b/>
                <w:sz w:val="17"/>
              </w:rPr>
              <w:t>13</w:t>
            </w:r>
          </w:p>
        </w:tc>
        <w:tc>
          <w:tcPr>
            <w:tcW w:type="dxa" w:w="1872"/>
          </w:tcPr>
          <w:p>
            <w:r/>
            <w:r>
              <w:rPr>
                <w:rFonts w:ascii="Calibri" w:hAnsi="Calibri"/>
                <w:b w:val="0"/>
                <w:sz w:val="17"/>
              </w:rPr>
              <w:t>Module 7: Implementation III — Community Organizations &amp; Gender-Sensitive Practice</w:t>
            </w:r>
          </w:p>
        </w:tc>
        <w:tc>
          <w:tcPr>
            <w:tcW w:type="dxa" w:w="1872"/>
          </w:tcPr>
          <w:p>
            <w:r/>
            <w:r>
              <w:rPr>
                <w:rFonts w:ascii="Calibri" w:hAnsi="Calibri"/>
                <w:b w:val="0"/>
                <w:sz w:val="17"/>
              </w:rPr>
              <w:t>Rotation continues</w:t>
            </w:r>
          </w:p>
        </w:tc>
        <w:tc>
          <w:tcPr>
            <w:tcW w:type="dxa" w:w="1872"/>
          </w:tcPr>
          <w:p>
            <w:r/>
            <w:r>
              <w:rPr>
                <w:rFonts w:ascii="Calibri" w:hAnsi="Calibri"/>
                <w:b w:val="0"/>
                <w:sz w:val="17"/>
              </w:rPr>
              <w:t>Ch. 15</w:t>
            </w:r>
          </w:p>
        </w:tc>
        <w:tc>
          <w:tcPr>
            <w:tcW w:type="dxa" w:w="1872"/>
          </w:tcPr>
          <w:p>
            <w:r/>
            <w:r>
              <w:rPr>
                <w:rFonts w:ascii="Calibri" w:hAnsi="Calibri"/>
                <w:b/>
                <w:sz w:val="17"/>
              </w:rPr>
              <w:t>Community Asset Map + Supervisor Mini-Evaluation</w:t>
            </w:r>
          </w:p>
        </w:tc>
      </w:tr>
    </w:tbl>
    <w:p>
      <w:pPr>
        <w:spacing w:after="120"/>
      </w:pPr>
      <w:r>
        <w:rPr>
          <w:b w:val="0"/>
          <w:i w:val="0"/>
          <w:sz w:val="22"/>
        </w:rPr>
      </w:r>
    </w:p>
    <w:p>
      <w:pPr>
        <w:pStyle w:val="Heading2"/>
      </w:pPr>
      <w:r>
        <w:t>Phase 3: Evaluation, Termination &amp; Follow-Up (Weeks 14–15)</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576"/>
            <w:shd w:val="clear" w:color="auto" w:fill="8E0B20"/>
          </w:tcPr>
          <w:p>
            <w:r/>
            <w:r>
              <w:rPr>
                <w:rFonts w:ascii="Calibri" w:hAnsi="Calibri"/>
                <w:b/>
                <w:color w:val="FFFFFF"/>
                <w:sz w:val="18"/>
              </w:rPr>
              <w:t>Wk</w:t>
            </w:r>
          </w:p>
        </w:tc>
        <w:tc>
          <w:tcPr>
            <w:tcW w:type="dxa" w:w="2880"/>
            <w:shd w:val="clear" w:color="auto" w:fill="8E0B20"/>
          </w:tcPr>
          <w:p>
            <w:r/>
            <w:r>
              <w:rPr>
                <w:rFonts w:ascii="Calibri" w:hAnsi="Calibri"/>
                <w:b/>
                <w:color w:val="FFFFFF"/>
                <w:sz w:val="18"/>
              </w:rPr>
              <w:t>Module</w:t>
            </w:r>
          </w:p>
        </w:tc>
        <w:tc>
          <w:tcPr>
            <w:tcW w:type="dxa" w:w="2448"/>
            <w:shd w:val="clear" w:color="auto" w:fill="8E0B20"/>
          </w:tcPr>
          <w:p>
            <w:r/>
            <w:r>
              <w:rPr>
                <w:rFonts w:ascii="Calibri" w:hAnsi="Calibri"/>
                <w:b/>
                <w:color w:val="FFFFFF"/>
                <w:sz w:val="18"/>
              </w:rPr>
              <w:t>Topic</w:t>
            </w:r>
          </w:p>
        </w:tc>
        <w:tc>
          <w:tcPr>
            <w:tcW w:type="dxa" w:w="1872"/>
            <w:shd w:val="clear" w:color="auto" w:fill="8E0B20"/>
          </w:tcPr>
          <w:p>
            <w:r/>
            <w:r>
              <w:rPr>
                <w:rFonts w:ascii="Calibri" w:hAnsi="Calibri"/>
                <w:b/>
                <w:color w:val="FFFFFF"/>
                <w:sz w:val="18"/>
              </w:rPr>
              <w:t>Reading</w:t>
            </w:r>
          </w:p>
        </w:tc>
        <w:tc>
          <w:tcPr>
            <w:tcW w:type="dxa" w:w="2160"/>
            <w:shd w:val="clear" w:color="auto" w:fill="8E0B20"/>
          </w:tcPr>
          <w:p>
            <w:r/>
            <w:r>
              <w:rPr>
                <w:rFonts w:ascii="Calibri" w:hAnsi="Calibri"/>
                <w:b/>
                <w:color w:val="FFFFFF"/>
                <w:sz w:val="18"/>
              </w:rPr>
              <w:t>Assignment Due</w:t>
            </w:r>
          </w:p>
        </w:tc>
      </w:tr>
      <w:tr>
        <w:tc>
          <w:tcPr>
            <w:tcW w:type="dxa" w:w="1872"/>
          </w:tcPr>
          <w:p>
            <w:pPr>
              <w:jc w:val="center"/>
            </w:pPr>
            <w:r/>
            <w:r>
              <w:rPr>
                <w:rFonts w:ascii="Calibri" w:hAnsi="Calibri"/>
                <w:b/>
                <w:sz w:val="17"/>
              </w:rPr>
              <w:t>14</w:t>
            </w:r>
          </w:p>
        </w:tc>
        <w:tc>
          <w:tcPr>
            <w:tcW w:type="dxa" w:w="1872"/>
          </w:tcPr>
          <w:p>
            <w:r/>
            <w:r>
              <w:rPr>
                <w:rFonts w:ascii="Calibri" w:hAnsi="Calibri"/>
                <w:b w:val="0"/>
                <w:sz w:val="17"/>
              </w:rPr>
              <w:t>Module 8: Evaluation, Termination, Follow-Up &amp; Field Readiness</w:t>
            </w:r>
          </w:p>
        </w:tc>
        <w:tc>
          <w:tcPr>
            <w:tcW w:type="dxa" w:w="1872"/>
          </w:tcPr>
          <w:p>
            <w:r/>
            <w:r>
              <w:rPr>
                <w:rFonts w:ascii="Calibri" w:hAnsi="Calibri"/>
                <w:b w:val="0"/>
                <w:sz w:val="17"/>
              </w:rPr>
              <w:t>Portfolio compilation</w:t>
            </w:r>
          </w:p>
        </w:tc>
        <w:tc>
          <w:tcPr>
            <w:tcW w:type="dxa" w:w="1872"/>
          </w:tcPr>
          <w:p>
            <w:r/>
            <w:r>
              <w:rPr>
                <w:rFonts w:ascii="Calibri" w:hAnsi="Calibri"/>
                <w:b w:val="0"/>
                <w:sz w:val="17"/>
              </w:rPr>
              <w:t>Ch. 19</w:t>
            </w:r>
          </w:p>
        </w:tc>
        <w:tc>
          <w:tcPr>
            <w:tcW w:type="dxa" w:w="1872"/>
          </w:tcPr>
          <w:p>
            <w:r/>
            <w:r>
              <w:rPr>
                <w:rFonts w:ascii="Calibri" w:hAnsi="Calibri"/>
                <w:b/>
                <w:sz w:val="17"/>
              </w:rPr>
              <w:t>Professional Portfolio</w:t>
            </w:r>
          </w:p>
        </w:tc>
      </w:tr>
      <w:tr>
        <w:tc>
          <w:tcPr>
            <w:tcW w:type="dxa" w:w="1872"/>
          </w:tcPr>
          <w:p>
            <w:pPr>
              <w:jc w:val="center"/>
            </w:pPr>
            <w:r/>
            <w:r>
              <w:rPr>
                <w:rFonts w:ascii="Calibri" w:hAnsi="Calibri"/>
                <w:b/>
                <w:sz w:val="17"/>
              </w:rPr>
              <w:t>15</w:t>
            </w:r>
          </w:p>
        </w:tc>
        <w:tc>
          <w:tcPr>
            <w:tcW w:type="dxa" w:w="1872"/>
          </w:tcPr>
          <w:p>
            <w:r/>
            <w:r>
              <w:rPr>
                <w:rFonts w:ascii="Calibri" w:hAnsi="Calibri"/>
                <w:b w:val="0"/>
                <w:sz w:val="17"/>
              </w:rPr>
              <w:t>Module 8: Evaluation, Termination, Follow-Up &amp; Field Readiness</w:t>
            </w:r>
          </w:p>
        </w:tc>
        <w:tc>
          <w:tcPr>
            <w:tcW w:type="dxa" w:w="1872"/>
          </w:tcPr>
          <w:p>
            <w:r/>
            <w:r>
              <w:rPr>
                <w:rFonts w:ascii="Calibri" w:hAnsi="Calibri"/>
                <w:b w:val="0"/>
                <w:sz w:val="17"/>
              </w:rPr>
              <w:t>Certification</w:t>
            </w:r>
          </w:p>
        </w:tc>
        <w:tc>
          <w:tcPr>
            <w:tcW w:type="dxa" w:w="1872"/>
          </w:tcPr>
          <w:p>
            <w:r/>
            <w:r>
              <w:rPr>
                <w:rFonts w:ascii="Calibri" w:hAnsi="Calibri"/>
                <w:b w:val="0"/>
                <w:sz w:val="17"/>
              </w:rPr>
              <w:t>—</w:t>
            </w:r>
          </w:p>
        </w:tc>
        <w:tc>
          <w:tcPr>
            <w:tcW w:type="dxa" w:w="1872"/>
          </w:tcPr>
          <w:p>
            <w:r/>
            <w:r>
              <w:rPr>
                <w:rFonts w:ascii="Calibri" w:hAnsi="Calibri"/>
                <w:b/>
                <w:sz w:val="17"/>
              </w:rPr>
              <w:t>Field Readiness Evaluation; Final Exam</w:t>
            </w:r>
          </w:p>
        </w:tc>
      </w:tr>
    </w:tbl>
    <w:p>
      <w:pPr>
        <w:spacing w:after="120"/>
      </w:pPr>
      <w:r>
        <w:rPr>
          <w:b w:val="0"/>
          <w:i w:val="0"/>
          <w:sz w:val="22"/>
        </w:rPr>
      </w:r>
    </w:p>
    <w:p>
      <w:pPr>
        <w:spacing w:after="120"/>
      </w:pPr>
      <w:r>
        <w:rPr>
          <w:b w:val="0"/>
          <w:i/>
          <w:color w:val="554D45"/>
          <w:sz w:val="19"/>
        </w:rPr>
        <w:t>Note on Module 4: The First Client Case is the school's existing semester-long small-group assignment. The Phase 1 Benchmark Checkpoint is scored on both the shared group case materials and each student's individual weekly reflections.</w:t>
      </w:r>
    </w:p>
    <w:p>
      <w:pPr>
        <w:spacing w:after="120"/>
      </w:pPr>
      <w:r>
        <w:rPr>
          <w:b w:val="0"/>
          <w:i/>
          <w:color w:val="554D45"/>
          <w:sz w:val="19"/>
        </w:rPr>
        <w:t>Note on Module 6: Hepworth has no dedicated culturally-competent-practice chapter, so this module draws on the School's own Afrocentric Perspective materials, applied through the DIASPORA Model. Confidentiality note: the case must be de-identified and composite — no real client names, identifying details, or agency-identifying information.</w:t>
      </w:r>
    </w:p>
    <w:p>
      <w:r>
        <w:br w:type="page"/>
      </w:r>
    </w:p>
    <w:p>
      <w:pPr>
        <w:pStyle w:val="Heading1"/>
      </w:pPr>
      <w:r>
        <w:t>For Instructor Review — Remove Before Distributing</w:t>
      </w:r>
    </w:p>
    <w:p>
      <w:pPr>
        <w:spacing w:after="120"/>
      </w:pPr>
      <w:r>
        <w:rPr>
          <w:b/>
          <w:i w:val="0"/>
          <w:sz w:val="22"/>
        </w:rPr>
        <w:t>The following items are flagged for review before this syllabus is finalized and distributed to students. Not yet confirmed against current institutional policy:</w:t>
      </w:r>
    </w:p>
    <w:p>
      <w:pPr>
        <w:pStyle w:val="ListBullet"/>
      </w:pPr>
      <w:r>
        <w:rPr>
          <w:sz w:val="22"/>
        </w:rPr>
        <w:t>Current Academic Integrity policy text (previously referenced but not quoted in full).</w:t>
      </w:r>
    </w:p>
    <w:p>
      <w:pPr>
        <w:pStyle w:val="ListBullet"/>
      </w:pPr>
      <w:r>
        <w:rPr>
          <w:sz w:val="22"/>
        </w:rPr>
        <w:t>Attendance policy narrative (weighting is set at 10% above; still needs the actual policy — how many absences, tardiness handling, etc.).</w:t>
      </w:r>
    </w:p>
    <w:p>
      <w:pPr>
        <w:pStyle w:val="ListBullet"/>
      </w:pPr>
      <w:r>
        <w:rPr>
          <w:sz w:val="22"/>
        </w:rPr>
        <w:t>Agency rotation liability/waiver language for the Phase 2 rotations (new to this pilot — not present in any prior syllabus version).</w:t>
      </w:r>
    </w:p>
    <w:p>
      <w:pPr>
        <w:pStyle w:val="ListBullet"/>
      </w:pPr>
      <w:r>
        <w:rPr>
          <w:sz w:val="22"/>
        </w:rPr>
        <w:t>The PPE Development and Improvement Plan is new to CUSW 403 with no existing program-level committee behind it — confirm with the BSW Program Director whether it should eventually fold into a formal Professional Fitness Review/Retention process.</w:t>
      </w:r>
    </w:p>
    <w:p>
      <w:pPr>
        <w:pStyle w:val="ListBullet"/>
      </w:pPr>
      <w:r>
        <w:rPr>
          <w:sz w:val="22"/>
        </w:rPr>
        <w:t>Instructor office phone (placeholder above).</w:t>
      </w:r>
    </w:p>
    <w:p>
      <w:pPr>
        <w:pStyle w:val="ListBullet"/>
      </w:pPr>
      <w:r>
        <w:rPr>
          <w:sz w:val="22"/>
        </w:rPr>
        <w:t>Instructor bio (placeholder above).</w:t>
      </w:r>
    </w:p>
    <w:p>
      <w:pPr>
        <w:pStyle w:val="ListBullet"/>
      </w:pPr>
      <w:r>
        <w:rPr>
          <w:sz w:val="22"/>
        </w:rPr>
        <w:t>Course section, meeting day/time/location (placeholders above).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54D45"/>
        <w:sz w:val="18"/>
      </w:rPr>
      <w:t>Fall 2026 (Pilot) · IRK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B15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mbria" w:hAnsi="Cambria"/>
      <w:b/>
      <w:bCs/>
      <w:color w:val="C8102E"/>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mbria" w:hAnsi="Cambria"/>
      <w:b/>
      <w:bCs/>
      <w:color w:val="C810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