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37.png" ContentType="image/png"/>
  <Override PartName="/word/media/rId39.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strategies</w:t>
      </w:r>
      <w:r>
        <w:t xml:space="preserve"> </w:t>
      </w:r>
      <w:r>
        <w:t xml:space="preserve">on</w:t>
      </w:r>
      <w:r>
        <w:t xml:space="preserve"> </w:t>
      </w:r>
      <w:r>
        <w:t xml:space="preserve">High</w:t>
      </w:r>
      <w:r>
        <w:t xml:space="preserve"> </w:t>
      </w:r>
      <w:r>
        <w:t xml:space="preserve">Frequency</w:t>
      </w:r>
      <w:r>
        <w:t xml:space="preserve"> </w:t>
      </w:r>
      <w:r>
        <w:t xml:space="preserve">Data</w:t>
      </w:r>
    </w:p>
    <w:p>
      <w:pPr>
        <w:pStyle w:val="Subtitle"/>
      </w:pPr>
      <w:r>
        <w:t xml:space="preserve">submission</w:t>
      </w:r>
      <w:r>
        <w:t xml:space="preserve"> </w:t>
      </w:r>
      <w:r>
        <w:t xml:space="preserve">of</w:t>
      </w:r>
      <w:r>
        <w:t xml:space="preserve"> </w:t>
      </w:r>
      <w:r>
        <w:t xml:space="preserve">research</w:t>
      </w:r>
      <w:r>
        <w:t xml:space="preserve"> </w:t>
      </w:r>
      <w:r>
        <w:t xml:space="preserve">project</w:t>
      </w:r>
      <w:r>
        <w:t xml:space="preserve"> </w:t>
      </w:r>
      <w:r>
        <w:t xml:space="preserve">–</w:t>
      </w:r>
      <w:r>
        <w:t xml:space="preserve"> </w:t>
      </w:r>
      <w:r>
        <w:t xml:space="preserve">SAMPLE</w:t>
      </w:r>
      <w:r>
        <w:t xml:space="preserve"> </w:t>
      </w:r>
      <w:r>
        <w:t xml:space="preserve">REPORT</w:t>
      </w:r>
    </w:p>
    <w:p>
      <w:pPr>
        <w:pStyle w:val="Author"/>
      </w:pPr>
      <w:r>
        <w:t xml:space="preserve">Team</w:t>
      </w:r>
      <w:r>
        <w:t xml:space="preserve"> </w:t>
      </w:r>
      <w:r>
        <w:t xml:space="preserve">members:</w:t>
      </w:r>
      <w:r>
        <w:t xml:space="preserve"> </w:t>
      </w:r>
      <w:r>
        <w:t xml:space="preserve">Author</w:t>
      </w:r>
      <w:r>
        <w:t xml:space="preserve"> </w:t>
      </w:r>
      <w:r>
        <w:t xml:space="preserve">nr</w:t>
      </w:r>
      <w:r>
        <w:t xml:space="preserve"> </w:t>
      </w:r>
      <w:r>
        <w:t xml:space="preserve">1</w:t>
      </w:r>
      <w:r>
        <w:t xml:space="preserve"> </w:t>
      </w:r>
      <w:r>
        <w:t xml:space="preserve">and</w:t>
      </w:r>
      <w:r>
        <w:t xml:space="preserve"> </w:t>
      </w:r>
      <w:r>
        <w:t xml:space="preserve">Author</w:t>
      </w:r>
      <w:r>
        <w:t xml:space="preserve"> </w:t>
      </w:r>
      <w:r>
        <w:t xml:space="preserve">nr</w:t>
      </w:r>
      <w:r>
        <w:t xml:space="preserve"> </w:t>
      </w:r>
      <w:r>
        <w:t xml:space="preserve">2</w:t>
      </w:r>
    </w:p>
    <w:p>
      <w:pPr>
        <w:pStyle w:val="Heading1"/>
      </w:pPr>
      <w:bookmarkStart w:id="21" w:name="approaches-undertaken"/>
      <w:bookmarkEnd w:id="21"/>
      <w:r>
        <w:t xml:space="preserve">Approaches undertaken</w:t>
      </w:r>
    </w:p>
    <w:p>
      <w:pPr>
        <w:pStyle w:val="FirstParagraph"/>
      </w:pPr>
      <w:r>
        <w:t xml:space="preserve">This part should describe</w:t>
      </w:r>
      <w:r>
        <w:t xml:space="preserve"> </w:t>
      </w:r>
      <w:r>
        <w:rPr>
          <w:b/>
        </w:rPr>
        <w:t xml:space="preserve">with all the details</w:t>
      </w:r>
      <w:r>
        <w:t xml:space="preserve"> </w:t>
      </w:r>
      <w:r>
        <w:t xml:space="preserve">what particular methods you used, all entry/exit techniques considered, all additional assumptions.</w:t>
      </w:r>
    </w:p>
    <w:p>
      <w:pPr>
        <w:pStyle w:val="BodyText"/>
      </w:pPr>
      <w:r>
        <w:t xml:space="preserve">For</w:t>
      </w:r>
      <w:r>
        <w:t xml:space="preserve"> </w:t>
      </w:r>
      <w:r>
        <w:rPr>
          <w:b/>
        </w:rPr>
        <w:t xml:space="preserve">each group of assets separately</w:t>
      </w:r>
      <w:r>
        <w:t xml:space="preserve"> </w:t>
      </w:r>
      <w:r>
        <w:t xml:space="preserve">You should also explain</w:t>
      </w:r>
      <w:r>
        <w:t xml:space="preserve"> </w:t>
      </w:r>
      <w:r>
        <w:rPr>
          <w:b/>
        </w:rPr>
        <w:t xml:space="preserve">WHAT different parameters</w:t>
      </w:r>
      <w:r>
        <w:t xml:space="preserve"> </w:t>
      </w:r>
      <w:r>
        <w:t xml:space="preserve">you considered (e.g. memories of moving averages, types of moving averages, types of volatility measures, memory of volatility measures, types of additional indicators, memories of additional indicators, etc.), what (if any) additional filtering rules you applied.</w:t>
      </w:r>
    </w:p>
    <w:p>
      <w:pPr>
        <w:pStyle w:val="BodyText"/>
      </w:pPr>
      <w:r>
        <w:t xml:space="preserve">You should also explain with details</w:t>
      </w:r>
      <w:r>
        <w:t xml:space="preserve"> </w:t>
      </w:r>
      <w:r>
        <w:rPr>
          <w:b/>
        </w:rPr>
        <w:t xml:space="preserve">HOW</w:t>
      </w:r>
      <w:r>
        <w:t xml:space="preserve"> </w:t>
      </w:r>
      <w:r>
        <w:t xml:space="preserve">you searched for the best combination of parameters for a particular group of assets.</w:t>
      </w:r>
    </w:p>
    <w:p>
      <w:pPr>
        <w:pStyle w:val="Heading1"/>
      </w:pPr>
      <w:bookmarkStart w:id="22" w:name="group-1-summary-of-results-including-out-of-sample"/>
      <w:bookmarkEnd w:id="22"/>
      <w:r>
        <w:t xml:space="preserve">Group 1 – summary of results (including out-of-sample)</w:t>
      </w:r>
    </w:p>
    <w:p>
      <w:pPr>
        <w:pStyle w:val="Heading2"/>
      </w:pPr>
      <w:bookmarkStart w:id="23" w:name="finally-selected-strategy-for-group-1"/>
      <w:bookmarkEnd w:id="23"/>
      <w:r>
        <w:t xml:space="preserve">Finally selected strategy for group 1</w:t>
      </w:r>
    </w:p>
    <w:p>
      <w:pPr>
        <w:pStyle w:val="FirstParagraph"/>
      </w:pPr>
      <w:r>
        <w:t xml:space="preserve">Provide</w:t>
      </w:r>
      <w:r>
        <w:t xml:space="preserve"> </w:t>
      </w:r>
      <w:r>
        <w:rPr>
          <w:b/>
        </w:rPr>
        <w:t xml:space="preserve">all the details</w:t>
      </w:r>
      <w:r>
        <w:t xml:space="preserve"> </w:t>
      </w:r>
      <w:r>
        <w:t xml:space="preserve">(approach and a set of</w:t>
      </w:r>
      <w:r>
        <w:t xml:space="preserve"> </w:t>
      </w:r>
      <w:r>
        <w:rPr>
          <w:b/>
        </w:rPr>
        <w:t xml:space="preserve">final parameters</w:t>
      </w:r>
      <w:r>
        <w:t xml:space="preserve">) for assets from</w:t>
      </w:r>
      <w:r>
        <w:t xml:space="preserve"> </w:t>
      </w:r>
      <w:r>
        <w:rPr>
          <w:b/>
        </w:rPr>
        <w:t xml:space="preserve">group 1</w:t>
      </w:r>
      <w:r>
        <w:t xml:space="preserve">.</w:t>
      </w:r>
      <w:r>
        <w:t xml:space="preserve"> </w:t>
      </w:r>
      <w:r>
        <w:t xml:space="preserve">(e.g. momentum strategy, cross over of two exponential moving averages EMA10 and EMA60).</w:t>
      </w:r>
    </w:p>
    <w:p>
      <w:pPr>
        <w:pStyle w:val="Heading2"/>
      </w:pPr>
      <w:bookmarkStart w:id="24" w:name="summary-of-results-for-group-1"/>
      <w:bookmarkEnd w:id="24"/>
      <w:r>
        <w:t xml:space="preserve">Summary of results for group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quarter</w:t>
            </w:r>
          </w:p>
        </w:tc>
        <w:tc>
          <w:tcPr>
            <w:tcBorders>
              <w:bottom w:val="single"/>
            </w:tcBorders>
            <w:vAlign w:val="bottom"/>
          </w:tcPr>
          <w:p>
            <w:pPr>
              <w:pStyle w:val="Compact"/>
              <w:jc w:val="right"/>
            </w:pPr>
            <w:r>
              <w:t xml:space="preserve">grossSR</w:t>
            </w:r>
          </w:p>
        </w:tc>
        <w:tc>
          <w:tcPr>
            <w:tcBorders>
              <w:bottom w:val="single"/>
            </w:tcBorders>
            <w:vAlign w:val="bottom"/>
          </w:tcPr>
          <w:p>
            <w:pPr>
              <w:pStyle w:val="Compact"/>
              <w:jc w:val="right"/>
            </w:pPr>
            <w:r>
              <w:t xml:space="preserve">netSR</w:t>
            </w:r>
          </w:p>
        </w:tc>
        <w:tc>
          <w:tcPr>
            <w:tcBorders>
              <w:bottom w:val="single"/>
            </w:tcBorders>
            <w:vAlign w:val="bottom"/>
          </w:tcPr>
          <w:p>
            <w:pPr>
              <w:pStyle w:val="Compact"/>
              <w:jc w:val="right"/>
            </w:pPr>
            <w:r>
              <w:t xml:space="preserve">av.ntrades</w:t>
            </w:r>
          </w:p>
        </w:tc>
        <w:tc>
          <w:tcPr>
            <w:tcBorders>
              <w:bottom w:val="single"/>
            </w:tcBorders>
            <w:vAlign w:val="bottom"/>
          </w:tcPr>
          <w:p>
            <w:pPr>
              <w:pStyle w:val="Compact"/>
              <w:jc w:val="right"/>
            </w:pPr>
            <w:r>
              <w:t xml:space="preserve">grossPnL</w:t>
            </w:r>
          </w:p>
        </w:tc>
        <w:tc>
          <w:tcPr>
            <w:tcBorders>
              <w:bottom w:val="single"/>
            </w:tcBorders>
            <w:vAlign w:val="bottom"/>
          </w:tcPr>
          <w:p>
            <w:pPr>
              <w:pStyle w:val="Compact"/>
              <w:jc w:val="right"/>
            </w:pPr>
            <w:r>
              <w:t xml:space="preserve">netPnL</w:t>
            </w:r>
          </w:p>
        </w:tc>
        <w:tc>
          <w:tcPr>
            <w:tcBorders>
              <w:bottom w:val="single"/>
            </w:tcBorders>
            <w:vAlign w:val="bottom"/>
          </w:tcPr>
          <w:p>
            <w:pPr>
              <w:pStyle w:val="Compact"/>
              <w:jc w:val="right"/>
            </w:pPr>
            <w:r>
              <w:t xml:space="preserve">stat</w:t>
            </w:r>
          </w:p>
        </w:tc>
      </w:tr>
      <w:tr>
        <w:tc>
          <w:p>
            <w:pPr>
              <w:pStyle w:val="Compact"/>
              <w:jc w:val="left"/>
            </w:pPr>
            <w:r>
              <w:t xml:space="preserve">2011Q1</w:t>
            </w:r>
          </w:p>
        </w:tc>
        <w:tc>
          <w:p>
            <w:pPr>
              <w:pStyle w:val="Compact"/>
              <w:jc w:val="right"/>
            </w:pPr>
            <w:r>
              <w:t xml:space="preserve">2.303842</w:t>
            </w:r>
          </w:p>
        </w:tc>
        <w:tc>
          <w:p>
            <w:pPr>
              <w:pStyle w:val="Compact"/>
              <w:jc w:val="right"/>
            </w:pPr>
            <w:r>
              <w:t xml:space="preserve">-1.763254</w:t>
            </w:r>
          </w:p>
        </w:tc>
        <w:tc>
          <w:p>
            <w:pPr>
              <w:pStyle w:val="Compact"/>
              <w:jc w:val="right"/>
            </w:pPr>
            <w:r>
              <w:t xml:space="preserve">14.36000</w:t>
            </w:r>
          </w:p>
        </w:tc>
        <w:tc>
          <w:p>
            <w:pPr>
              <w:pStyle w:val="Compact"/>
              <w:jc w:val="right"/>
            </w:pPr>
            <w:r>
              <w:t xml:space="preserve">1578.848</w:t>
            </w:r>
          </w:p>
        </w:tc>
        <w:tc>
          <w:p>
            <w:pPr>
              <w:pStyle w:val="Compact"/>
              <w:jc w:val="right"/>
            </w:pPr>
            <w:r>
              <w:t xml:space="preserve">-1293.1516</w:t>
            </w:r>
          </w:p>
        </w:tc>
        <w:tc>
          <w:p>
            <w:pPr>
              <w:pStyle w:val="Compact"/>
              <w:jc w:val="right"/>
            </w:pPr>
            <w:r>
              <w:t xml:space="preserve">-17.32141</w:t>
            </w:r>
          </w:p>
        </w:tc>
      </w:tr>
      <w:tr>
        <w:tc>
          <w:p>
            <w:pPr>
              <w:pStyle w:val="Compact"/>
              <w:jc w:val="left"/>
            </w:pPr>
            <w:r>
              <w:t xml:space="preserve">2011Q2</w:t>
            </w:r>
          </w:p>
        </w:tc>
        <w:tc>
          <w:p>
            <w:pPr>
              <w:pStyle w:val="Compact"/>
              <w:jc w:val="right"/>
            </w:pPr>
            <w:r>
              <w:t xml:space="preserve">4.729891</w:t>
            </w:r>
          </w:p>
        </w:tc>
        <w:tc>
          <w:p>
            <w:pPr>
              <w:pStyle w:val="Compact"/>
              <w:jc w:val="right"/>
            </w:pPr>
            <w:r>
              <w:t xml:space="preserve">-1.558563</w:t>
            </w:r>
          </w:p>
        </w:tc>
        <w:tc>
          <w:p>
            <w:pPr>
              <w:pStyle w:val="Compact"/>
              <w:jc w:val="right"/>
            </w:pPr>
            <w:r>
              <w:t xml:space="preserve">13.33333</w:t>
            </w:r>
          </w:p>
        </w:tc>
        <w:tc>
          <w:p>
            <w:pPr>
              <w:pStyle w:val="Compact"/>
              <w:jc w:val="right"/>
            </w:pPr>
            <w:r>
              <w:t xml:space="preserve">1991.478</w:t>
            </w:r>
          </w:p>
        </w:tc>
        <w:tc>
          <w:p>
            <w:pPr>
              <w:pStyle w:val="Compact"/>
              <w:jc w:val="right"/>
            </w:pPr>
            <w:r>
              <w:t xml:space="preserve">-728.5216</w:t>
            </w:r>
          </w:p>
        </w:tc>
        <w:tc>
          <w:p>
            <w:pPr>
              <w:pStyle w:val="Compact"/>
              <w:jc w:val="right"/>
            </w:pPr>
            <w:r>
              <w:t xml:space="preserve">-11.20081</w:t>
            </w:r>
          </w:p>
        </w:tc>
      </w:tr>
      <w:tr>
        <w:tc>
          <w:p>
            <w:pPr>
              <w:pStyle w:val="Compact"/>
              <w:jc w:val="left"/>
            </w:pPr>
            <w:r>
              <w:t xml:space="preserve">2011Q4</w:t>
            </w:r>
          </w:p>
        </w:tc>
        <w:tc>
          <w:p>
            <w:pPr>
              <w:pStyle w:val="Compact"/>
              <w:jc w:val="right"/>
            </w:pPr>
            <w:r>
              <w:t xml:space="preserve">1.708645</w:t>
            </w:r>
          </w:p>
        </w:tc>
        <w:tc>
          <w:p>
            <w:pPr>
              <w:pStyle w:val="Compact"/>
              <w:jc w:val="right"/>
            </w:pPr>
            <w:r>
              <w:t xml:space="preserve">-2.069136</w:t>
            </w:r>
          </w:p>
        </w:tc>
        <w:tc>
          <w:p>
            <w:pPr>
              <w:pStyle w:val="Compact"/>
              <w:jc w:val="right"/>
            </w:pPr>
            <w:r>
              <w:t xml:space="preserve">14.92000</w:t>
            </w:r>
          </w:p>
        </w:tc>
        <w:tc>
          <w:p>
            <w:pPr>
              <w:pStyle w:val="Compact"/>
              <w:jc w:val="right"/>
            </w:pPr>
            <w:r>
              <w:t xml:space="preserve">1305.124</w:t>
            </w:r>
          </w:p>
        </w:tc>
        <w:tc>
          <w:p>
            <w:pPr>
              <w:pStyle w:val="Compact"/>
              <w:jc w:val="right"/>
            </w:pPr>
            <w:r>
              <w:t xml:space="preserve">-1678.8761</w:t>
            </w:r>
          </w:p>
        </w:tc>
        <w:tc>
          <w:p>
            <w:pPr>
              <w:pStyle w:val="Compact"/>
              <w:jc w:val="right"/>
            </w:pPr>
            <w:r>
              <w:t xml:space="preserve">-23.46378</w:t>
            </w:r>
          </w:p>
        </w:tc>
      </w:tr>
    </w:tbl>
    <w:p>
      <w:pPr>
        <w:pStyle w:val="BodyText"/>
      </w:pPr>
      <w:r>
        <w:t xml:space="preserve">your comments required !!!</w:t>
      </w:r>
    </w:p>
    <w:p>
      <w:pPr>
        <w:pStyle w:val="Heading2"/>
      </w:pPr>
      <w:bookmarkStart w:id="25" w:name="pnl-of-results-for-group-1-quarter-2011q1"/>
      <w:bookmarkEnd w:id="25"/>
      <w:r>
        <w:t xml:space="preserve">PnL of results for</w:t>
      </w:r>
      <w:r>
        <w:t xml:space="preserve"> </w:t>
      </w:r>
      <w:r>
        <w:rPr>
          <w:b/>
        </w:rPr>
        <w:t xml:space="preserve">group 1</w:t>
      </w:r>
      <w:r>
        <w:t xml:space="preserve"> </w:t>
      </w:r>
      <w:r>
        <w:t xml:space="preserve">– quarter 2011Q1</w:t>
      </w:r>
    </w:p>
    <w:p>
      <w:pPr>
        <w:pStyle w:val="FirstParagraph"/>
      </w:pPr>
      <w:r>
        <w:drawing>
          <wp:inline>
            <wp:extent cx="5334000" cy="3200400"/>
            <wp:effectExtent b="0" l="0" r="0" t="0"/>
            <wp:docPr descr="" title="" id="1" name="Picture"/>
            <a:graphic>
              <a:graphicData uri="http://schemas.openxmlformats.org/drawingml/2006/picture">
                <pic:pic>
                  <pic:nvPicPr>
                    <pic:cNvPr descr="pnl_group1_2011Q1.png" id="0"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your comments required !!!</w:t>
      </w:r>
    </w:p>
    <w:p>
      <w:pPr>
        <w:pStyle w:val="Heading2"/>
      </w:pPr>
      <w:bookmarkStart w:id="27" w:name="pnl-of-results-for-group-1-quarter-2011q2"/>
      <w:bookmarkEnd w:id="27"/>
      <w:r>
        <w:t xml:space="preserve">PnL of results for</w:t>
      </w:r>
      <w:r>
        <w:t xml:space="preserve"> </w:t>
      </w:r>
      <w:r>
        <w:rPr>
          <w:b/>
        </w:rPr>
        <w:t xml:space="preserve">group 1</w:t>
      </w:r>
      <w:r>
        <w:t xml:space="preserve"> </w:t>
      </w:r>
      <w:r>
        <w:t xml:space="preserve">– quarter 2011Q2</w:t>
      </w:r>
    </w:p>
    <w:p>
      <w:pPr>
        <w:pStyle w:val="FirstParagraph"/>
      </w:pPr>
      <w:r>
        <w:drawing>
          <wp:inline>
            <wp:extent cx="5334000" cy="3200400"/>
            <wp:effectExtent b="0" l="0" r="0" t="0"/>
            <wp:docPr descr="" title="" id="1" name="Picture"/>
            <a:graphic>
              <a:graphicData uri="http://schemas.openxmlformats.org/drawingml/2006/picture">
                <pic:pic>
                  <pic:nvPicPr>
                    <pic:cNvPr descr="pnl_group1_2011Q2.png" id="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your comments required !!!</w:t>
      </w:r>
    </w:p>
    <w:p>
      <w:pPr>
        <w:pStyle w:val="Heading2"/>
      </w:pPr>
      <w:bookmarkStart w:id="29" w:name="pnl-of-results-for-group-1-quarter-2011q3"/>
      <w:bookmarkEnd w:id="29"/>
      <w:r>
        <w:t xml:space="preserve">PnL of results for</w:t>
      </w:r>
      <w:r>
        <w:t xml:space="preserve"> </w:t>
      </w:r>
      <w:r>
        <w:rPr>
          <w:b/>
        </w:rPr>
        <w:t xml:space="preserve">group 1</w:t>
      </w:r>
      <w:r>
        <w:t xml:space="preserve"> </w:t>
      </w:r>
      <w:r>
        <w:t xml:space="preserve">– quarter 2011Q3</w:t>
      </w:r>
    </w:p>
    <w:p>
      <w:pPr>
        <w:pStyle w:val="FirstParagraph"/>
      </w:pPr>
      <w:r>
        <w:t xml:space="preserve">your comments required !!!</w:t>
      </w:r>
    </w:p>
    <w:p>
      <w:pPr>
        <w:pStyle w:val="Heading2"/>
      </w:pPr>
      <w:bookmarkStart w:id="30" w:name="pnl-of-results-for-group-1-quarter-2011q4"/>
      <w:bookmarkEnd w:id="30"/>
      <w:r>
        <w:t xml:space="preserve">PnL of results for</w:t>
      </w:r>
      <w:r>
        <w:t xml:space="preserve"> </w:t>
      </w:r>
      <w:r>
        <w:rPr>
          <w:b/>
        </w:rPr>
        <w:t xml:space="preserve">group 1</w:t>
      </w:r>
      <w:r>
        <w:t xml:space="preserve"> </w:t>
      </w:r>
      <w:r>
        <w:t xml:space="preserve">– quarter 2011Q4</w:t>
      </w:r>
    </w:p>
    <w:p>
      <w:pPr>
        <w:pStyle w:val="FirstParagraph"/>
      </w:pPr>
      <w:r>
        <w:drawing>
          <wp:inline>
            <wp:extent cx="5334000" cy="3200400"/>
            <wp:effectExtent b="0" l="0" r="0" t="0"/>
            <wp:docPr descr="" title="" id="1" name="Picture"/>
            <a:graphic>
              <a:graphicData uri="http://schemas.openxmlformats.org/drawingml/2006/picture">
                <pic:pic>
                  <pic:nvPicPr>
                    <pic:cNvPr descr="pnl_group1_2011Q4.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your comments required !!!</w:t>
      </w:r>
    </w:p>
    <w:p>
      <w:pPr>
        <w:pStyle w:val="Heading2"/>
      </w:pPr>
      <w:bookmarkStart w:id="32" w:name="pnl-of-results-for-group-1-quarter-2012q1"/>
      <w:bookmarkEnd w:id="32"/>
      <w:r>
        <w:t xml:space="preserve">PnL of results for</w:t>
      </w:r>
      <w:r>
        <w:t xml:space="preserve"> </w:t>
      </w:r>
      <w:r>
        <w:rPr>
          <w:b/>
        </w:rPr>
        <w:t xml:space="preserve">group 1</w:t>
      </w:r>
      <w:r>
        <w:t xml:space="preserve"> </w:t>
      </w:r>
      <w:r>
        <w:t xml:space="preserve">– quarter 2012Q1</w:t>
      </w:r>
    </w:p>
    <w:p>
      <w:pPr>
        <w:pStyle w:val="FirstParagraph"/>
      </w:pPr>
      <w:r>
        <w:t xml:space="preserve">your comments required !!!</w:t>
      </w:r>
    </w:p>
    <w:p>
      <w:pPr>
        <w:pStyle w:val="Heading1"/>
      </w:pPr>
      <w:bookmarkStart w:id="33" w:name="group-2-summary-of-results-including-out-of-sample"/>
      <w:bookmarkEnd w:id="33"/>
      <w:r>
        <w:t xml:space="preserve">Group 2 – summary of results (including out-of-sample)</w:t>
      </w:r>
    </w:p>
    <w:p>
      <w:pPr>
        <w:pStyle w:val="Heading2"/>
      </w:pPr>
      <w:bookmarkStart w:id="34" w:name="finally-selected-strategy-for-group-2"/>
      <w:bookmarkEnd w:id="34"/>
      <w:r>
        <w:t xml:space="preserve">Finally selected strategy for group 2</w:t>
      </w:r>
    </w:p>
    <w:p>
      <w:pPr>
        <w:pStyle w:val="FirstParagraph"/>
      </w:pPr>
      <w:r>
        <w:t xml:space="preserve">Provide</w:t>
      </w:r>
      <w:r>
        <w:t xml:space="preserve"> </w:t>
      </w:r>
      <w:r>
        <w:rPr>
          <w:b/>
        </w:rPr>
        <w:t xml:space="preserve">all the details</w:t>
      </w:r>
      <w:r>
        <w:t xml:space="preserve"> </w:t>
      </w:r>
      <w:r>
        <w:t xml:space="preserve">(approach and a set of</w:t>
      </w:r>
      <w:r>
        <w:t xml:space="preserve"> </w:t>
      </w:r>
      <w:r>
        <w:rPr>
          <w:b/>
        </w:rPr>
        <w:t xml:space="preserve">final parameters</w:t>
      </w:r>
      <w:r>
        <w:t xml:space="preserve">) for assets from</w:t>
      </w:r>
      <w:r>
        <w:t xml:space="preserve"> </w:t>
      </w:r>
      <w:r>
        <w:rPr>
          <w:b/>
        </w:rPr>
        <w:t xml:space="preserve">group 2</w:t>
      </w:r>
      <w:r>
        <w:t xml:space="preserve">.</w:t>
      </w:r>
      <w:r>
        <w:t xml:space="preserve"> </w:t>
      </w:r>
      <w:r>
        <w:t xml:space="preserve">(e.g. momentum strategy, cross over of two exponential moving averages EMA10 and EMA60 applied to EVERY single asset separately and then putting individual results into the portfolio with the weights: 50% for NASDAQ futures, 25% for AAPL stocks and 25% for MSFT).</w:t>
      </w:r>
    </w:p>
    <w:p>
      <w:pPr>
        <w:pStyle w:val="Heading2"/>
      </w:pPr>
      <w:bookmarkStart w:id="35" w:name="summary-of-results-for-group-2"/>
      <w:bookmarkEnd w:id="35"/>
      <w:r>
        <w:t xml:space="preserve">Summary of results for group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quarter</w:t>
            </w:r>
          </w:p>
        </w:tc>
        <w:tc>
          <w:tcPr>
            <w:tcBorders>
              <w:bottom w:val="single"/>
            </w:tcBorders>
            <w:vAlign w:val="bottom"/>
          </w:tcPr>
          <w:p>
            <w:pPr>
              <w:pStyle w:val="Compact"/>
              <w:jc w:val="right"/>
            </w:pPr>
            <w:r>
              <w:t xml:space="preserve">grossSR</w:t>
            </w:r>
          </w:p>
        </w:tc>
        <w:tc>
          <w:tcPr>
            <w:tcBorders>
              <w:bottom w:val="single"/>
            </w:tcBorders>
            <w:vAlign w:val="bottom"/>
          </w:tcPr>
          <w:p>
            <w:pPr>
              <w:pStyle w:val="Compact"/>
              <w:jc w:val="right"/>
            </w:pPr>
            <w:r>
              <w:t xml:space="preserve">netSR</w:t>
            </w:r>
          </w:p>
        </w:tc>
        <w:tc>
          <w:tcPr>
            <w:tcBorders>
              <w:bottom w:val="single"/>
            </w:tcBorders>
            <w:vAlign w:val="bottom"/>
          </w:tcPr>
          <w:p>
            <w:pPr>
              <w:pStyle w:val="Compact"/>
              <w:jc w:val="right"/>
            </w:pPr>
            <w:r>
              <w:t xml:space="preserve">av.ntrades</w:t>
            </w:r>
          </w:p>
        </w:tc>
        <w:tc>
          <w:tcPr>
            <w:tcBorders>
              <w:bottom w:val="single"/>
            </w:tcBorders>
            <w:vAlign w:val="bottom"/>
          </w:tcPr>
          <w:p>
            <w:pPr>
              <w:pStyle w:val="Compact"/>
              <w:jc w:val="right"/>
            </w:pPr>
            <w:r>
              <w:t xml:space="preserve">grossPnL</w:t>
            </w:r>
          </w:p>
        </w:tc>
        <w:tc>
          <w:tcPr>
            <w:tcBorders>
              <w:bottom w:val="single"/>
            </w:tcBorders>
            <w:vAlign w:val="bottom"/>
          </w:tcPr>
          <w:p>
            <w:pPr>
              <w:pStyle w:val="Compact"/>
              <w:jc w:val="right"/>
            </w:pPr>
            <w:r>
              <w:t xml:space="preserve">netPnL</w:t>
            </w:r>
          </w:p>
        </w:tc>
        <w:tc>
          <w:tcPr>
            <w:tcBorders>
              <w:bottom w:val="single"/>
            </w:tcBorders>
            <w:vAlign w:val="bottom"/>
          </w:tcPr>
          <w:p>
            <w:pPr>
              <w:pStyle w:val="Compact"/>
              <w:jc w:val="right"/>
            </w:pPr>
            <w:r>
              <w:t xml:space="preserve">stat</w:t>
            </w:r>
          </w:p>
        </w:tc>
      </w:tr>
      <w:tr>
        <w:tc>
          <w:p>
            <w:pPr>
              <w:pStyle w:val="Compact"/>
              <w:jc w:val="left"/>
            </w:pPr>
            <w:r>
              <w:t xml:space="preserve">2011Q1</w:t>
            </w:r>
          </w:p>
        </w:tc>
        <w:tc>
          <w:p>
            <w:pPr>
              <w:pStyle w:val="Compact"/>
              <w:jc w:val="right"/>
            </w:pPr>
            <w:r>
              <w:t xml:space="preserve">1.7243658</w:t>
            </w:r>
          </w:p>
        </w:tc>
        <w:tc>
          <w:p>
            <w:pPr>
              <w:pStyle w:val="Compact"/>
              <w:jc w:val="right"/>
            </w:pPr>
            <w:r>
              <w:t xml:space="preserve">-3.758442</w:t>
            </w:r>
          </w:p>
        </w:tc>
        <w:tc>
          <w:p>
            <w:pPr>
              <w:pStyle w:val="Compact"/>
              <w:jc w:val="right"/>
            </w:pPr>
            <w:r>
              <w:t xml:space="preserve">14.84360</w:t>
            </w:r>
          </w:p>
        </w:tc>
        <w:tc>
          <w:p>
            <w:pPr>
              <w:pStyle w:val="Compact"/>
              <w:jc w:val="right"/>
            </w:pPr>
            <w:r>
              <w:t xml:space="preserve">381.19403</w:t>
            </w:r>
          </w:p>
        </w:tc>
        <w:tc>
          <w:p>
            <w:pPr>
              <w:pStyle w:val="Compact"/>
              <w:jc w:val="right"/>
            </w:pPr>
            <w:r>
              <w:t xml:space="preserve">-901.226</w:t>
            </w:r>
          </w:p>
        </w:tc>
        <w:tc>
          <w:p>
            <w:pPr>
              <w:pStyle w:val="Compact"/>
              <w:jc w:val="right"/>
            </w:pPr>
            <w:r>
              <w:t xml:space="preserve">-31.17230</w:t>
            </w:r>
          </w:p>
        </w:tc>
      </w:tr>
      <w:tr>
        <w:tc>
          <w:p>
            <w:pPr>
              <w:pStyle w:val="Compact"/>
              <w:jc w:val="left"/>
            </w:pPr>
            <w:r>
              <w:t xml:space="preserve">2011Q2</w:t>
            </w:r>
          </w:p>
        </w:tc>
        <w:tc>
          <w:p>
            <w:pPr>
              <w:pStyle w:val="Compact"/>
              <w:jc w:val="right"/>
            </w:pPr>
            <w:r>
              <w:t xml:space="preserve">1.9591087</w:t>
            </w:r>
          </w:p>
        </w:tc>
        <w:tc>
          <w:p>
            <w:pPr>
              <w:pStyle w:val="Compact"/>
              <w:jc w:val="right"/>
            </w:pPr>
            <w:r>
              <w:t xml:space="preserve">-6.801334</w:t>
            </w:r>
          </w:p>
        </w:tc>
        <w:tc>
          <w:p>
            <w:pPr>
              <w:pStyle w:val="Compact"/>
              <w:jc w:val="right"/>
            </w:pPr>
            <w:r>
              <w:t xml:space="preserve">15.47373</w:t>
            </w:r>
          </w:p>
        </w:tc>
        <w:tc>
          <w:p>
            <w:pPr>
              <w:pStyle w:val="Compact"/>
              <w:jc w:val="right"/>
            </w:pPr>
            <w:r>
              <w:t xml:space="preserve">254.22030</w:t>
            </w:r>
          </w:p>
        </w:tc>
        <w:tc>
          <w:p>
            <w:pPr>
              <w:pStyle w:val="Compact"/>
              <w:jc w:val="right"/>
            </w:pPr>
            <w:r>
              <w:t xml:space="preserve">-1025.116</w:t>
            </w:r>
          </w:p>
        </w:tc>
        <w:tc>
          <w:p>
            <w:pPr>
              <w:pStyle w:val="Compact"/>
              <w:jc w:val="right"/>
            </w:pPr>
            <w:r>
              <w:t xml:space="preserve">-61.01161</w:t>
            </w:r>
          </w:p>
        </w:tc>
      </w:tr>
      <w:tr>
        <w:tc>
          <w:p>
            <w:pPr>
              <w:pStyle w:val="Compact"/>
              <w:jc w:val="left"/>
            </w:pPr>
            <w:r>
              <w:t xml:space="preserve">2011Q4</w:t>
            </w:r>
          </w:p>
        </w:tc>
        <w:tc>
          <w:p>
            <w:pPr>
              <w:pStyle w:val="Compact"/>
              <w:jc w:val="right"/>
            </w:pPr>
            <w:r>
              <w:t xml:space="preserve">-0.1397798</w:t>
            </w:r>
          </w:p>
        </w:tc>
        <w:tc>
          <w:p>
            <w:pPr>
              <w:pStyle w:val="Compact"/>
              <w:jc w:val="right"/>
            </w:pPr>
            <w:r>
              <w:t xml:space="preserve">-5.088869</w:t>
            </w:r>
          </w:p>
        </w:tc>
        <w:tc>
          <w:p>
            <w:pPr>
              <w:pStyle w:val="Compact"/>
              <w:jc w:val="right"/>
            </w:pPr>
            <w:r>
              <w:t xml:space="preserve">15.17040</w:t>
            </w:r>
          </w:p>
        </w:tc>
        <w:tc>
          <w:p>
            <w:pPr>
              <w:pStyle w:val="Compact"/>
              <w:jc w:val="right"/>
            </w:pPr>
            <w:r>
              <w:t xml:space="preserve">-33.77934</w:t>
            </w:r>
          </w:p>
        </w:tc>
        <w:tc>
          <w:p>
            <w:pPr>
              <w:pStyle w:val="Compact"/>
              <w:jc w:val="right"/>
            </w:pPr>
            <w:r>
              <w:t xml:space="preserve">-1328.627</w:t>
            </w:r>
          </w:p>
        </w:tc>
        <w:tc>
          <w:p>
            <w:pPr>
              <w:pStyle w:val="Compact"/>
              <w:jc w:val="right"/>
            </w:pPr>
            <w:r>
              <w:t xml:space="preserve">-51.62553</w:t>
            </w:r>
          </w:p>
        </w:tc>
      </w:tr>
    </w:tbl>
    <w:p>
      <w:pPr>
        <w:pStyle w:val="BodyText"/>
      </w:pPr>
      <w:r>
        <w:t xml:space="preserve">your comments required !!!</w:t>
      </w:r>
    </w:p>
    <w:p>
      <w:pPr>
        <w:pStyle w:val="Heading2"/>
      </w:pPr>
      <w:bookmarkStart w:id="36" w:name="pnl-of-results-for-group-2-quarter-2011q1"/>
      <w:bookmarkEnd w:id="36"/>
      <w:r>
        <w:t xml:space="preserve">PnL of results for</w:t>
      </w:r>
      <w:r>
        <w:t xml:space="preserve"> </w:t>
      </w:r>
      <w:r>
        <w:rPr>
          <w:b/>
        </w:rPr>
        <w:t xml:space="preserve">group 2</w:t>
      </w:r>
      <w:r>
        <w:t xml:space="preserve"> </w:t>
      </w:r>
      <w:r>
        <w:t xml:space="preserve">– quarter 2011Q1</w:t>
      </w:r>
    </w:p>
    <w:p>
      <w:pPr>
        <w:pStyle w:val="FirstParagraph"/>
      </w:pPr>
      <w:r>
        <w:drawing>
          <wp:inline>
            <wp:extent cx="5334000" cy="3200400"/>
            <wp:effectExtent b="0" l="0" r="0" t="0"/>
            <wp:docPr descr="" title="" id="1" name="Picture"/>
            <a:graphic>
              <a:graphicData uri="http://schemas.openxmlformats.org/drawingml/2006/picture">
                <pic:pic>
                  <pic:nvPicPr>
                    <pic:cNvPr descr="pnl_group2_2011Q1.png" id="0"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your comments required !!!</w:t>
      </w:r>
    </w:p>
    <w:p>
      <w:pPr>
        <w:pStyle w:val="Heading2"/>
      </w:pPr>
      <w:bookmarkStart w:id="38" w:name="pnl-of-results-for-group-2-quarter-2011q2"/>
      <w:bookmarkEnd w:id="38"/>
      <w:r>
        <w:t xml:space="preserve">PnL of results for</w:t>
      </w:r>
      <w:r>
        <w:t xml:space="preserve"> </w:t>
      </w:r>
      <w:r>
        <w:rPr>
          <w:b/>
        </w:rPr>
        <w:t xml:space="preserve">group 2</w:t>
      </w:r>
      <w:r>
        <w:t xml:space="preserve"> </w:t>
      </w:r>
      <w:r>
        <w:t xml:space="preserve">– quarter 2011Q2</w:t>
      </w:r>
    </w:p>
    <w:p>
      <w:pPr>
        <w:pStyle w:val="FirstParagraph"/>
      </w:pPr>
      <w:r>
        <w:drawing>
          <wp:inline>
            <wp:extent cx="5334000" cy="3200400"/>
            <wp:effectExtent b="0" l="0" r="0" t="0"/>
            <wp:docPr descr="" title="" id="1" name="Picture"/>
            <a:graphic>
              <a:graphicData uri="http://schemas.openxmlformats.org/drawingml/2006/picture">
                <pic:pic>
                  <pic:nvPicPr>
                    <pic:cNvPr descr="pnl_group2_2011Q2.png" id="0"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your comments required !!!</w:t>
      </w:r>
    </w:p>
    <w:p>
      <w:pPr>
        <w:pStyle w:val="Heading2"/>
      </w:pPr>
      <w:bookmarkStart w:id="40" w:name="pnl-of-results-for-group-2-quarter-2011q3"/>
      <w:bookmarkEnd w:id="40"/>
      <w:r>
        <w:t xml:space="preserve">PnL of results for</w:t>
      </w:r>
      <w:r>
        <w:t xml:space="preserve"> </w:t>
      </w:r>
      <w:r>
        <w:rPr>
          <w:b/>
        </w:rPr>
        <w:t xml:space="preserve">group 2</w:t>
      </w:r>
      <w:r>
        <w:t xml:space="preserve"> </w:t>
      </w:r>
      <w:r>
        <w:t xml:space="preserve">– quarter 2011Q3</w:t>
      </w:r>
    </w:p>
    <w:p>
      <w:pPr>
        <w:pStyle w:val="FirstParagraph"/>
      </w:pPr>
      <w:r>
        <w:t xml:space="preserve">your comments required !!!</w:t>
      </w:r>
    </w:p>
    <w:p>
      <w:pPr>
        <w:pStyle w:val="Heading2"/>
      </w:pPr>
      <w:bookmarkStart w:id="41" w:name="pnl-of-results-for-group-2-quarter-2011q4"/>
      <w:bookmarkEnd w:id="41"/>
      <w:r>
        <w:t xml:space="preserve">PnL of results for</w:t>
      </w:r>
      <w:r>
        <w:t xml:space="preserve"> </w:t>
      </w:r>
      <w:r>
        <w:rPr>
          <w:b/>
        </w:rPr>
        <w:t xml:space="preserve">group 2</w:t>
      </w:r>
      <w:r>
        <w:t xml:space="preserve"> </w:t>
      </w:r>
      <w:r>
        <w:t xml:space="preserve">– quarter 2011Q4</w:t>
      </w:r>
    </w:p>
    <w:p>
      <w:pPr>
        <w:pStyle w:val="FirstParagraph"/>
      </w:pPr>
      <w:r>
        <w:drawing>
          <wp:inline>
            <wp:extent cx="5334000" cy="3200400"/>
            <wp:effectExtent b="0" l="0" r="0" t="0"/>
            <wp:docPr descr="" title="" id="1" name="Picture"/>
            <a:graphic>
              <a:graphicData uri="http://schemas.openxmlformats.org/drawingml/2006/picture">
                <pic:pic>
                  <pic:nvPicPr>
                    <pic:cNvPr descr="pnl_group2_2011Q4.png" id="0"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your comments required !!!</w:t>
      </w:r>
    </w:p>
    <w:p>
      <w:pPr>
        <w:pStyle w:val="Heading2"/>
      </w:pPr>
      <w:bookmarkStart w:id="43" w:name="pnl-of-results-for-group-2-quarter-2012q1"/>
      <w:bookmarkEnd w:id="43"/>
      <w:r>
        <w:t xml:space="preserve">PnL of results for</w:t>
      </w:r>
      <w:r>
        <w:t xml:space="preserve"> </w:t>
      </w:r>
      <w:r>
        <w:rPr>
          <w:b/>
        </w:rPr>
        <w:t xml:space="preserve">group 2</w:t>
      </w:r>
      <w:r>
        <w:t xml:space="preserve"> </w:t>
      </w:r>
      <w:r>
        <w:t xml:space="preserve">– quarter 2012Q1</w:t>
      </w:r>
    </w:p>
    <w:p>
      <w:pPr>
        <w:pStyle w:val="FirstParagraph"/>
      </w:pPr>
      <w:r>
        <w:t xml:space="preserve">your comments required !!!</w:t>
      </w:r>
    </w:p>
    <w:p>
      <w:pPr>
        <w:pStyle w:val="Heading1"/>
      </w:pPr>
      <w:bookmarkStart w:id="44" w:name="summary-and-conclusions"/>
      <w:bookmarkEnd w:id="44"/>
      <w:r>
        <w:t xml:space="preserve">Summary and conclusions</w:t>
      </w:r>
    </w:p>
    <w:p>
      <w:pPr>
        <w:pStyle w:val="FirstParagraph"/>
      </w:pPr>
      <w:r>
        <w:t xml:space="preserve">Here you should include a summary of obtained results and some conclusions.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c22e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strategies on High Frequency Data</dc:title>
  <dc:creator>Team members: Author nr 1 and Author nr 2</dc:creator>
  <dcterms:created xsi:type="dcterms:W3CDTF">2017-12-06T11:23:05Z</dcterms:created>
  <dcterms:modified xsi:type="dcterms:W3CDTF">2017-12-06T11:23:05Z</dcterms:modified>
</cp:coreProperties>
</file>