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35EC" w:rsidRPr="009F35EC" w:rsidRDefault="00950239" w:rsidP="009F35EC">
      <w:pPr>
        <w:pStyle w:val="Title"/>
      </w:pPr>
      <w:r>
        <w:t xml:space="preserve">Oregon DEQ Water Quality Status and Trend Web </w:t>
      </w:r>
      <w:proofErr w:type="gramStart"/>
      <w:r>
        <w:t>Application</w:t>
      </w:r>
      <w:r w:rsidR="009F35EC">
        <w:t xml:space="preserve">  User</w:t>
      </w:r>
      <w:proofErr w:type="gramEnd"/>
      <w:r w:rsidR="009F35EC">
        <w:t xml:space="preserve"> Guide</w:t>
      </w:r>
    </w:p>
    <w:p w:rsidR="009F35EC" w:rsidRDefault="009F35EC" w:rsidP="009F35EC">
      <w:r w:rsidRPr="00E611FA">
        <w:t>Version 2.1 – May</w:t>
      </w:r>
      <w:r>
        <w:t xml:space="preserve"> 2016 – Peter Bryant, Watershed Management, Environmental Solutions Division</w:t>
      </w:r>
    </w:p>
    <w:p w:rsidR="00144FD4" w:rsidRDefault="00144FD4" w:rsidP="00144FD4">
      <w:pPr>
        <w:pStyle w:val="Heading2"/>
      </w:pPr>
      <w:r>
        <w:t>Purpose</w:t>
      </w:r>
    </w:p>
    <w:p w:rsidR="00950239" w:rsidRDefault="00C92632" w:rsidP="00950239">
      <w:r>
        <w:t>The purpose of this web application</w:t>
      </w:r>
      <w:r w:rsidR="00950239">
        <w:t xml:space="preserve"> is to </w:t>
      </w:r>
      <w:r>
        <w:t>facilitate</w:t>
      </w:r>
      <w:r w:rsidR="00950239">
        <w:t xml:space="preserve"> data discovery, </w:t>
      </w:r>
      <w:r>
        <w:t xml:space="preserve">data </w:t>
      </w:r>
      <w:r w:rsidR="00950239">
        <w:t>comparison to Oregon’s Water Quality Standards, evaluation of trend</w:t>
      </w:r>
      <w:r>
        <w:t>s</w:t>
      </w:r>
      <w:r w:rsidR="00950239">
        <w:t xml:space="preserve"> and </w:t>
      </w:r>
      <w:r>
        <w:t xml:space="preserve">graphic </w:t>
      </w:r>
      <w:r w:rsidR="00950239">
        <w:t xml:space="preserve">display of data and </w:t>
      </w:r>
      <w:r>
        <w:t xml:space="preserve">tabular </w:t>
      </w:r>
      <w:r w:rsidR="00950239">
        <w:t>results. Additional features include dynamic map</w:t>
      </w:r>
      <w:r>
        <w:t>ping</w:t>
      </w:r>
      <w:r w:rsidR="00950239">
        <w:t xml:space="preserve"> and a 303(d) list query.</w:t>
      </w:r>
    </w:p>
    <w:p w:rsidR="005D5B53" w:rsidRDefault="00144FD4" w:rsidP="00144FD4">
      <w:pPr>
        <w:pStyle w:val="Heading2"/>
      </w:pPr>
      <w:r>
        <w:t>Instructions for use</w:t>
      </w:r>
    </w:p>
    <w:p w:rsidR="005D5B53" w:rsidRDefault="005D5B53" w:rsidP="005D5B53">
      <w:r>
        <w:t xml:space="preserve">Make sure to open the application </w:t>
      </w:r>
      <w:r w:rsidR="009F35EC">
        <w:t xml:space="preserve">in </w:t>
      </w:r>
      <w:r>
        <w:t>Google Chrome. Currently</w:t>
      </w:r>
      <w:r w:rsidR="00C92632">
        <w:t>,</w:t>
      </w:r>
      <w:r>
        <w:t xml:space="preserve"> it is the only supported browser.</w:t>
      </w:r>
    </w:p>
    <w:p w:rsidR="005D5B53" w:rsidRDefault="005D5B53" w:rsidP="005D5B53">
      <w:pPr>
        <w:pStyle w:val="Heading3"/>
      </w:pPr>
      <w:r>
        <w:t>Data Query Tab</w:t>
      </w:r>
    </w:p>
    <w:p w:rsidR="005D5B53" w:rsidRDefault="005D5B53" w:rsidP="005D5B53">
      <w:r>
        <w:t xml:space="preserve">The landing page looks like </w:t>
      </w:r>
      <w:r w:rsidR="00385047">
        <w:t xml:space="preserve">SCREEN 1 sample </w:t>
      </w:r>
      <w:r>
        <w:t>below. You will start at the Data Query page.</w:t>
      </w:r>
    </w:p>
    <w:p w:rsidR="00385047" w:rsidRPr="00385047" w:rsidRDefault="00385047" w:rsidP="005D5B53">
      <w:r w:rsidRPr="00385047">
        <w:t>SCREEN 1</w:t>
      </w:r>
    </w:p>
    <w:p w:rsidR="00950239" w:rsidRDefault="00CD278D" w:rsidP="005D7E02">
      <w:r>
        <w:rPr>
          <w:noProof/>
        </w:rPr>
        <w:pict>
          <v:shapetype id="_x0000_t202" coordsize="21600,21600" o:spt="202" path="m,l,21600r21600,l21600,xe">
            <v:stroke joinstyle="miter"/>
            <v:path gradientshapeok="t" o:connecttype="rect"/>
          </v:shapetype>
          <v:shape id="_x0000_s1042" type="#_x0000_t202" style="position:absolute;margin-left:287.25pt;margin-top:114.75pt;width:22.5pt;height:19.1pt;z-index:251674624;mso-width-relative:margin;mso-height-relative:margin" filled="f" strokecolor="white [3212]">
            <v:textbox style="mso-next-textbox:#_x0000_s1042">
              <w:txbxContent>
                <w:p w:rsidR="00C92632" w:rsidRPr="007D27C2" w:rsidRDefault="00C92632" w:rsidP="00E611FA">
                  <w:pPr>
                    <w:rPr>
                      <w:sz w:val="16"/>
                      <w:szCs w:val="16"/>
                    </w:rPr>
                  </w:pPr>
                  <w:r>
                    <w:rPr>
                      <w:color w:val="FF0000"/>
                      <w:sz w:val="16"/>
                      <w:szCs w:val="16"/>
                    </w:rPr>
                    <w:t>6.</w:t>
                  </w:r>
                </w:p>
              </w:txbxContent>
            </v:textbox>
          </v:shape>
        </w:pict>
      </w:r>
      <w:r>
        <w:rPr>
          <w:noProof/>
        </w:rPr>
        <w:pict>
          <v:shape id="_x0000_s1041" type="#_x0000_t202" style="position:absolute;margin-left:283.5pt;margin-top:51pt;width:22.5pt;height:19.1pt;z-index:251673600;mso-width-relative:margin;mso-height-relative:margin" filled="f" strokecolor="white [3212]">
            <v:textbox style="mso-next-textbox:#_x0000_s1041">
              <w:txbxContent>
                <w:p w:rsidR="00C92632" w:rsidRPr="007D27C2" w:rsidRDefault="00C92632" w:rsidP="00DC3681">
                  <w:pPr>
                    <w:rPr>
                      <w:sz w:val="16"/>
                      <w:szCs w:val="16"/>
                    </w:rPr>
                  </w:pPr>
                  <w:r>
                    <w:rPr>
                      <w:color w:val="FF0000"/>
                      <w:sz w:val="16"/>
                      <w:szCs w:val="16"/>
                    </w:rPr>
                    <w:t>5.</w:t>
                  </w:r>
                </w:p>
              </w:txbxContent>
            </v:textbox>
          </v:shape>
        </w:pict>
      </w:r>
      <w:r>
        <w:rPr>
          <w:noProof/>
        </w:rPr>
        <w:pict>
          <v:shape id="_x0000_s1038" type="#_x0000_t202" style="position:absolute;margin-left:-9.75pt;margin-top:119.25pt;width:22.5pt;height:19.1pt;z-index:251670528;mso-width-relative:margin;mso-height-relative:margin" filled="f" strokecolor="white [3212]">
            <v:textbox style="mso-next-textbox:#_x0000_s1038">
              <w:txbxContent>
                <w:p w:rsidR="00C92632" w:rsidRPr="007D27C2" w:rsidRDefault="00C92632" w:rsidP="00DC3681">
                  <w:pPr>
                    <w:rPr>
                      <w:sz w:val="16"/>
                      <w:szCs w:val="16"/>
                    </w:rPr>
                  </w:pPr>
                  <w:r>
                    <w:rPr>
                      <w:color w:val="FF0000"/>
                      <w:sz w:val="16"/>
                      <w:szCs w:val="16"/>
                    </w:rPr>
                    <w:t>2</w:t>
                  </w:r>
                  <w:r>
                    <w:rPr>
                      <w:sz w:val="16"/>
                      <w:szCs w:val="16"/>
                    </w:rPr>
                    <w:t xml:space="preserve">.0.. </w:t>
                  </w:r>
                  <w:r w:rsidRPr="007D27C2">
                    <w:rPr>
                      <w:sz w:val="16"/>
                      <w:szCs w:val="16"/>
                    </w:rPr>
                    <w:t xml:space="preserve"> </w:t>
                  </w:r>
                </w:p>
              </w:txbxContent>
            </v:textbox>
          </v:shape>
        </w:pict>
      </w:r>
      <w:r>
        <w:rPr>
          <w:noProof/>
        </w:rPr>
        <w:pict>
          <v:shape id="_x0000_s1040" type="#_x0000_t202" style="position:absolute;margin-left:138pt;margin-top:119.25pt;width:22.5pt;height:19.1pt;z-index:251672576;mso-width-relative:margin;mso-height-relative:margin" filled="f" strokecolor="white [3212]">
            <v:textbox style="mso-next-textbox:#_x0000_s1040">
              <w:txbxContent>
                <w:p w:rsidR="00C92632" w:rsidRPr="007D27C2" w:rsidRDefault="00C92632" w:rsidP="00DC3681">
                  <w:pPr>
                    <w:rPr>
                      <w:sz w:val="16"/>
                      <w:szCs w:val="16"/>
                    </w:rPr>
                  </w:pPr>
                  <w:r>
                    <w:rPr>
                      <w:color w:val="FF0000"/>
                      <w:sz w:val="16"/>
                      <w:szCs w:val="16"/>
                    </w:rPr>
                    <w:t>4</w:t>
                  </w:r>
                  <w:r>
                    <w:rPr>
                      <w:sz w:val="16"/>
                      <w:szCs w:val="16"/>
                    </w:rPr>
                    <w:t xml:space="preserve">.0.. </w:t>
                  </w:r>
                  <w:r w:rsidRPr="007D27C2">
                    <w:rPr>
                      <w:sz w:val="16"/>
                      <w:szCs w:val="16"/>
                    </w:rPr>
                    <w:t xml:space="preserve"> </w:t>
                  </w:r>
                </w:p>
              </w:txbxContent>
            </v:textbox>
          </v:shape>
        </w:pict>
      </w:r>
      <w:r>
        <w:rPr>
          <w:noProof/>
        </w:rPr>
        <w:pict>
          <v:shape id="_x0000_s1039" type="#_x0000_t202" style="position:absolute;margin-left:138pt;margin-top:51pt;width:22.5pt;height:19.1pt;z-index:251671552;mso-width-relative:margin;mso-height-relative:margin" filled="f" strokecolor="white [3212]">
            <v:textbox style="mso-next-textbox:#_x0000_s1039">
              <w:txbxContent>
                <w:p w:rsidR="00C92632" w:rsidRPr="007D27C2" w:rsidRDefault="00C92632" w:rsidP="00DC3681">
                  <w:pPr>
                    <w:rPr>
                      <w:sz w:val="16"/>
                      <w:szCs w:val="16"/>
                    </w:rPr>
                  </w:pPr>
                  <w:r>
                    <w:rPr>
                      <w:color w:val="FF0000"/>
                      <w:sz w:val="16"/>
                      <w:szCs w:val="16"/>
                    </w:rPr>
                    <w:t>3</w:t>
                  </w:r>
                  <w:r>
                    <w:rPr>
                      <w:sz w:val="16"/>
                      <w:szCs w:val="16"/>
                    </w:rPr>
                    <w:t xml:space="preserve">.0.. </w:t>
                  </w:r>
                  <w:r w:rsidRPr="007D27C2">
                    <w:rPr>
                      <w:sz w:val="16"/>
                      <w:szCs w:val="16"/>
                    </w:rPr>
                    <w:t xml:space="preserve"> </w:t>
                  </w:r>
                </w:p>
              </w:txbxContent>
            </v:textbox>
          </v:shape>
        </w:pict>
      </w:r>
      <w:r w:rsidRPr="00CD278D">
        <w:rPr>
          <w:b/>
          <w:noProof/>
        </w:rPr>
        <w:pict>
          <v:shape id="_x0000_s1037" type="#_x0000_t202" style="position:absolute;margin-left:-9.75pt;margin-top:51pt;width:22.5pt;height:19.1pt;z-index:251669504;mso-width-relative:margin;mso-height-relative:margin" filled="f" strokecolor="white [3212]">
            <v:textbox style="mso-next-textbox:#_x0000_s1037">
              <w:txbxContent>
                <w:p w:rsidR="00C92632" w:rsidRPr="007D27C2" w:rsidRDefault="00C92632" w:rsidP="00DC3681">
                  <w:pPr>
                    <w:rPr>
                      <w:sz w:val="16"/>
                      <w:szCs w:val="16"/>
                    </w:rPr>
                  </w:pPr>
                  <w:r w:rsidRPr="00DC3681">
                    <w:rPr>
                      <w:color w:val="FF0000"/>
                      <w:sz w:val="16"/>
                      <w:szCs w:val="16"/>
                    </w:rPr>
                    <w:t>1</w:t>
                  </w:r>
                  <w:r>
                    <w:rPr>
                      <w:sz w:val="16"/>
                      <w:szCs w:val="16"/>
                    </w:rPr>
                    <w:t xml:space="preserve">.0.. </w:t>
                  </w:r>
                  <w:r w:rsidRPr="007D27C2">
                    <w:rPr>
                      <w:sz w:val="16"/>
                      <w:szCs w:val="16"/>
                    </w:rPr>
                    <w:t xml:space="preserve"> </w:t>
                  </w:r>
                </w:p>
              </w:txbxContent>
            </v:textbox>
          </v:shape>
        </w:pict>
      </w:r>
      <w:r w:rsidR="00DC3681">
        <w:rPr>
          <w:noProof/>
        </w:rPr>
        <w:drawing>
          <wp:inline distT="0" distB="0" distL="0" distR="0">
            <wp:extent cx="5943600" cy="2381039"/>
            <wp:effectExtent l="19050" t="0" r="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943600" cy="2381039"/>
                    </a:xfrm>
                    <a:prstGeom prst="rect">
                      <a:avLst/>
                    </a:prstGeom>
                    <a:noFill/>
                    <a:ln w="9525">
                      <a:noFill/>
                      <a:miter lim="800000"/>
                      <a:headEnd/>
                      <a:tailEnd/>
                    </a:ln>
                  </pic:spPr>
                </pic:pic>
              </a:graphicData>
            </a:graphic>
          </wp:inline>
        </w:drawing>
      </w:r>
    </w:p>
    <w:p w:rsidR="00C92632" w:rsidRDefault="00C92632" w:rsidP="005D7E02">
      <w:r>
        <w:t>The following is a list of sequential steps to initiate a site specific data query:</w:t>
      </w:r>
    </w:p>
    <w:p w:rsidR="00144FD4" w:rsidRDefault="00144FD4" w:rsidP="00144FD4">
      <w:pPr>
        <w:pStyle w:val="ListParagraph"/>
        <w:numPr>
          <w:ilvl w:val="0"/>
          <w:numId w:val="1"/>
        </w:numPr>
      </w:pPr>
      <w:r>
        <w:t xml:space="preserve">Select the Geographic Area Type to restrict where you query. Options currently include query by 8-digit HUC </w:t>
      </w:r>
      <w:r w:rsidR="00C92632">
        <w:t>and ODA Agricultural Plan Area n</w:t>
      </w:r>
      <w:r>
        <w:t xml:space="preserve">ame. </w:t>
      </w:r>
    </w:p>
    <w:p w:rsidR="00144FD4" w:rsidRDefault="00144FD4" w:rsidP="00144FD4">
      <w:pPr>
        <w:pStyle w:val="ListParagraph"/>
        <w:numPr>
          <w:ilvl w:val="0"/>
          <w:numId w:val="1"/>
        </w:numPr>
      </w:pPr>
      <w:r>
        <w:t>Select the Geographic Area to query</w:t>
      </w:r>
      <w:r w:rsidR="00345073">
        <w:t>.</w:t>
      </w:r>
    </w:p>
    <w:p w:rsidR="00144FD4" w:rsidRDefault="00144FD4" w:rsidP="00144FD4">
      <w:pPr>
        <w:pStyle w:val="ListParagraph"/>
        <w:numPr>
          <w:ilvl w:val="0"/>
          <w:numId w:val="1"/>
        </w:numPr>
      </w:pPr>
      <w:r>
        <w:t>Check the parameters to include in the query</w:t>
      </w:r>
      <w:r w:rsidR="00345073">
        <w:t>.</w:t>
      </w:r>
    </w:p>
    <w:p w:rsidR="00144FD4" w:rsidRDefault="00144FD4" w:rsidP="00144FD4">
      <w:pPr>
        <w:pStyle w:val="ListParagraph"/>
        <w:numPr>
          <w:ilvl w:val="0"/>
          <w:numId w:val="1"/>
        </w:numPr>
      </w:pPr>
      <w:r>
        <w:t>Choose the Database(s) to query.</w:t>
      </w:r>
    </w:p>
    <w:p w:rsidR="00144FD4" w:rsidRDefault="00144FD4" w:rsidP="00144FD4">
      <w:pPr>
        <w:pStyle w:val="ListParagraph"/>
        <w:numPr>
          <w:ilvl w:val="1"/>
          <w:numId w:val="1"/>
        </w:numPr>
      </w:pPr>
      <w:r>
        <w:t xml:space="preserve">Choose Water Quality Portal to query nationally available databases </w:t>
      </w:r>
      <w:r w:rsidR="00345073">
        <w:t>(</w:t>
      </w:r>
      <w:r>
        <w:t>USGS’s National Water Informatio</w:t>
      </w:r>
      <w:r w:rsidR="00C92632">
        <w:t>n System for continuous and grab</w:t>
      </w:r>
      <w:r>
        <w:t xml:space="preserve"> data</w:t>
      </w:r>
      <w:r w:rsidR="00C92632">
        <w:t xml:space="preserve">; </w:t>
      </w:r>
      <w:r>
        <w:t>and EPA’s STORET database where States, Tribes and other Agencies submit data</w:t>
      </w:r>
      <w:r w:rsidR="00345073">
        <w:t>)</w:t>
      </w:r>
      <w:r>
        <w:t>.</w:t>
      </w:r>
    </w:p>
    <w:p w:rsidR="00144FD4" w:rsidRDefault="00144FD4" w:rsidP="00144FD4">
      <w:pPr>
        <w:pStyle w:val="ListParagraph"/>
        <w:numPr>
          <w:ilvl w:val="1"/>
          <w:numId w:val="1"/>
        </w:numPr>
      </w:pPr>
      <w:r>
        <w:t>Choose DEQ to query LASAR and Element databases for DEQ continuous and grab data</w:t>
      </w:r>
      <w:r w:rsidR="005820E5">
        <w:t xml:space="preserve"> (The query is set up to include A, B, C and E grade data because we are not basing listing </w:t>
      </w:r>
      <w:r w:rsidR="005820E5">
        <w:lastRenderedPageBreak/>
        <w:t>decisions on the results of this tool but rather providing information)</w:t>
      </w:r>
      <w:r>
        <w:t>. Note: DEQ continuous data may only be available through 2012</w:t>
      </w:r>
      <w:r w:rsidR="00345073">
        <w:t>.</w:t>
      </w:r>
    </w:p>
    <w:p w:rsidR="00144FD4" w:rsidRDefault="00144FD4" w:rsidP="00144FD4">
      <w:pPr>
        <w:pStyle w:val="ListParagraph"/>
        <w:numPr>
          <w:ilvl w:val="0"/>
          <w:numId w:val="1"/>
        </w:numPr>
      </w:pPr>
      <w:r>
        <w:t xml:space="preserve">Click in the box to select </w:t>
      </w:r>
      <w:r w:rsidR="005D5B53">
        <w:t>Start and End Dates for the query. You can manually enter the dates but they must be in the format YYYY-MM-DD.</w:t>
      </w:r>
    </w:p>
    <w:p w:rsidR="005D5B53" w:rsidRDefault="005D5B53" w:rsidP="00144FD4">
      <w:pPr>
        <w:pStyle w:val="ListParagraph"/>
        <w:numPr>
          <w:ilvl w:val="0"/>
          <w:numId w:val="1"/>
        </w:numPr>
      </w:pPr>
      <w:r>
        <w:t xml:space="preserve">Click the Submit button to initiate the </w:t>
      </w:r>
      <w:r w:rsidR="00037356">
        <w:t>Run Query</w:t>
      </w:r>
      <w:r>
        <w:t>.</w:t>
      </w:r>
    </w:p>
    <w:p w:rsidR="005D5B53" w:rsidRDefault="005D5B53" w:rsidP="005D5B53">
      <w:pPr>
        <w:pStyle w:val="ListParagraph"/>
        <w:numPr>
          <w:ilvl w:val="1"/>
          <w:numId w:val="1"/>
        </w:numPr>
      </w:pPr>
      <w:r>
        <w:t>A status bar will appear across the top of the window.</w:t>
      </w:r>
    </w:p>
    <w:p w:rsidR="00E611FA" w:rsidRDefault="005D5B53" w:rsidP="005D5B53">
      <w:pPr>
        <w:pStyle w:val="ListParagraph"/>
        <w:numPr>
          <w:ilvl w:val="1"/>
          <w:numId w:val="1"/>
        </w:numPr>
      </w:pPr>
      <w:r>
        <w:t>If a date range of more than 10 years was specified the query can take several minutes to run.</w:t>
      </w:r>
    </w:p>
    <w:p w:rsidR="00385047" w:rsidRDefault="005D5B53" w:rsidP="005D5B53">
      <w:pPr>
        <w:pStyle w:val="ListParagraph"/>
        <w:numPr>
          <w:ilvl w:val="1"/>
          <w:numId w:val="1"/>
        </w:numPr>
      </w:pPr>
      <w:r>
        <w:t>The Water Quality Portal queries are slower than DEQ alone.</w:t>
      </w:r>
    </w:p>
    <w:p w:rsidR="00345073" w:rsidRDefault="00345073" w:rsidP="00345073">
      <w:pPr>
        <w:pStyle w:val="ListParagraph"/>
        <w:numPr>
          <w:ilvl w:val="0"/>
          <w:numId w:val="1"/>
        </w:numPr>
      </w:pPr>
      <w:r>
        <w:t>Once the query has run and data are discovered, the screen will display that results are confirmed and will have</w:t>
      </w:r>
      <w:r w:rsidR="009F3F1B">
        <w:t xml:space="preserve"> buttons or </w:t>
      </w:r>
      <w:r>
        <w:t>tabs to select for the following data options as</w:t>
      </w:r>
      <w:r w:rsidR="009F3F1B">
        <w:t xml:space="preserve"> illustrated in SCREEN 2 sample.</w:t>
      </w:r>
    </w:p>
    <w:p w:rsidR="00033EA8" w:rsidRDefault="00033EA8" w:rsidP="00345073">
      <w:pPr>
        <w:pStyle w:val="ListParagraph"/>
        <w:numPr>
          <w:ilvl w:val="0"/>
          <w:numId w:val="1"/>
        </w:numPr>
      </w:pPr>
      <w:r>
        <w:t xml:space="preserve">View Map </w:t>
      </w:r>
      <w:r w:rsidR="009F3F1B">
        <w:t>Button</w:t>
      </w:r>
      <w:r>
        <w:t xml:space="preserve">– </w:t>
      </w:r>
      <w:r w:rsidR="00C92632">
        <w:t>Click to display Google-</w:t>
      </w:r>
      <w:r w:rsidR="009F3F1B">
        <w:t>based map i</w:t>
      </w:r>
      <w:r>
        <w:t xml:space="preserve">llustrating the sampling stations and 8 </w:t>
      </w:r>
      <w:proofErr w:type="gramStart"/>
      <w:r>
        <w:t>digit</w:t>
      </w:r>
      <w:proofErr w:type="gramEnd"/>
      <w:r>
        <w:t xml:space="preserve"> HUC </w:t>
      </w:r>
      <w:r w:rsidR="009F3F1B">
        <w:t>or</w:t>
      </w:r>
      <w:r>
        <w:t xml:space="preserve"> AG Plan </w:t>
      </w:r>
      <w:r w:rsidR="00856261">
        <w:t xml:space="preserve">Area. </w:t>
      </w:r>
      <w:r w:rsidR="00683744">
        <w:t>You can click on</w:t>
      </w:r>
      <w:r w:rsidR="00C92632">
        <w:t xml:space="preserve"> the</w:t>
      </w:r>
      <w:r w:rsidR="00683744">
        <w:t xml:space="preserve"> map to </w:t>
      </w:r>
      <w:r w:rsidR="009F3F1B">
        <w:t>zoom in or out</w:t>
      </w:r>
      <w:r w:rsidR="00683744">
        <w:t xml:space="preserve"> to capture AG area</w:t>
      </w:r>
      <w:r w:rsidR="00C92632">
        <w:t>,</w:t>
      </w:r>
      <w:r w:rsidR="009F3F1B">
        <w:t xml:space="preserve"> or zoom in to see detail around a sampling station</w:t>
      </w:r>
      <w:r w:rsidR="00683744">
        <w:t>.</w:t>
      </w:r>
      <w:r w:rsidR="00DB55A4">
        <w:t xml:space="preserve"> </w:t>
      </w:r>
      <w:r w:rsidR="009F3F1B">
        <w:t xml:space="preserve">You can select the base map as the standard </w:t>
      </w:r>
      <w:r w:rsidR="00C92632">
        <w:t>G</w:t>
      </w:r>
      <w:r w:rsidR="009F3F1B">
        <w:t>oogle map or select Satellite in the top left corner to change the base map to aerial photography. C</w:t>
      </w:r>
      <w:r w:rsidR="00DB55A4">
        <w:t>lick</w:t>
      </w:r>
      <w:r w:rsidR="009F3F1B">
        <w:t>ing</w:t>
      </w:r>
      <w:r w:rsidR="00DB55A4">
        <w:t xml:space="preserve"> on</w:t>
      </w:r>
      <w:r w:rsidR="009F3F1B">
        <w:t xml:space="preserve"> a</w:t>
      </w:r>
      <w:r w:rsidR="00DB55A4">
        <w:t xml:space="preserve"> station will provi</w:t>
      </w:r>
      <w:r w:rsidR="009975EE">
        <w:t>de name,</w:t>
      </w:r>
      <w:r w:rsidR="00DB55A4">
        <w:t xml:space="preserve"> location</w:t>
      </w:r>
      <w:r w:rsidR="009F3F1B">
        <w:t xml:space="preserve"> and summary of data queried</w:t>
      </w:r>
      <w:r w:rsidR="00DB55A4">
        <w:t>.</w:t>
      </w:r>
    </w:p>
    <w:p w:rsidR="00385047" w:rsidRDefault="00385047" w:rsidP="00345073">
      <w:pPr>
        <w:pStyle w:val="ListParagraph"/>
        <w:numPr>
          <w:ilvl w:val="0"/>
          <w:numId w:val="1"/>
        </w:numPr>
      </w:pPr>
      <w:r>
        <w:t xml:space="preserve">Download the data </w:t>
      </w:r>
      <w:r w:rsidR="009F3F1B">
        <w:t xml:space="preserve">button </w:t>
      </w:r>
      <w:r>
        <w:t>- Download data to your computer</w:t>
      </w:r>
      <w:r w:rsidR="00E87149">
        <w:t xml:space="preserve"> </w:t>
      </w:r>
      <w:r w:rsidR="009F3F1B">
        <w:t>in order to use other software</w:t>
      </w:r>
      <w:r w:rsidR="00E87149">
        <w:t xml:space="preserve"> to generate data summaries, charts, graphs, etc</w:t>
      </w:r>
      <w:r w:rsidR="009975EE">
        <w:t>.</w:t>
      </w:r>
    </w:p>
    <w:p w:rsidR="00033EA8" w:rsidRDefault="00033EA8" w:rsidP="00345073">
      <w:pPr>
        <w:pStyle w:val="ListParagraph"/>
        <w:numPr>
          <w:ilvl w:val="0"/>
          <w:numId w:val="1"/>
        </w:numPr>
      </w:pPr>
      <w:r>
        <w:t xml:space="preserve">Review Data </w:t>
      </w:r>
      <w:r w:rsidR="009F3F1B">
        <w:t>Tab</w:t>
      </w:r>
      <w:r>
        <w:t xml:space="preserve"> </w:t>
      </w:r>
      <w:r w:rsidR="009F3F1B">
        <w:t>–</w:t>
      </w:r>
      <w:r>
        <w:t xml:space="preserve"> </w:t>
      </w:r>
      <w:r w:rsidR="009F3F1B">
        <w:t>This tab provides several tables for reviewing the data including a s</w:t>
      </w:r>
      <w:r>
        <w:t>ummary of the results returned with number of sampling stations a</w:t>
      </w:r>
      <w:r w:rsidR="009F3F1B">
        <w:t>nd number of individual results</w:t>
      </w:r>
      <w:r w:rsidR="009975EE">
        <w:t>.</w:t>
      </w:r>
    </w:p>
    <w:p w:rsidR="00946D18" w:rsidRPr="009F3F1B" w:rsidRDefault="00033EA8" w:rsidP="005D5B53">
      <w:pPr>
        <w:pStyle w:val="ListParagraph"/>
        <w:numPr>
          <w:ilvl w:val="0"/>
          <w:numId w:val="1"/>
        </w:numPr>
        <w:rPr>
          <w:b/>
        </w:rPr>
      </w:pPr>
      <w:r>
        <w:t xml:space="preserve">Plot Status and Trend </w:t>
      </w:r>
      <w:r w:rsidR="009F3F1B">
        <w:t>Tab</w:t>
      </w:r>
      <w:r>
        <w:t>– Ability to plot parame</w:t>
      </w:r>
      <w:r w:rsidR="009F3F1B">
        <w:t>ter data and exceedances of applicable standards at individual sampling stations</w:t>
      </w:r>
      <w:r w:rsidR="005D5B53">
        <w:t>.</w:t>
      </w:r>
    </w:p>
    <w:p w:rsidR="00946D18" w:rsidRDefault="00946D18" w:rsidP="005D5B53">
      <w:pPr>
        <w:rPr>
          <w:b/>
        </w:rPr>
      </w:pPr>
    </w:p>
    <w:p w:rsidR="009F35EC" w:rsidRDefault="009F35EC" w:rsidP="005D5B53">
      <w:pPr>
        <w:rPr>
          <w:b/>
        </w:rPr>
      </w:pPr>
    </w:p>
    <w:p w:rsidR="009F35EC" w:rsidRDefault="009F35EC" w:rsidP="005D5B53">
      <w:pPr>
        <w:rPr>
          <w:b/>
        </w:rPr>
      </w:pPr>
    </w:p>
    <w:p w:rsidR="009F35EC" w:rsidRDefault="009F35EC" w:rsidP="005D5B53">
      <w:pPr>
        <w:rPr>
          <w:b/>
        </w:rPr>
      </w:pPr>
    </w:p>
    <w:p w:rsidR="009F35EC" w:rsidRDefault="009F35EC" w:rsidP="005D5B53">
      <w:pPr>
        <w:rPr>
          <w:b/>
        </w:rPr>
      </w:pPr>
    </w:p>
    <w:p w:rsidR="009F35EC" w:rsidRDefault="009F35EC" w:rsidP="005D5B53">
      <w:pPr>
        <w:rPr>
          <w:b/>
        </w:rPr>
      </w:pPr>
    </w:p>
    <w:p w:rsidR="009F35EC" w:rsidRDefault="009F35EC" w:rsidP="005D5B53">
      <w:pPr>
        <w:rPr>
          <w:b/>
        </w:rPr>
      </w:pPr>
    </w:p>
    <w:p w:rsidR="009F35EC" w:rsidRDefault="009F35EC" w:rsidP="005D5B53">
      <w:pPr>
        <w:rPr>
          <w:b/>
        </w:rPr>
      </w:pPr>
    </w:p>
    <w:p w:rsidR="009F35EC" w:rsidRDefault="009F35EC" w:rsidP="005D5B53">
      <w:pPr>
        <w:rPr>
          <w:b/>
        </w:rPr>
      </w:pPr>
    </w:p>
    <w:p w:rsidR="009F35EC" w:rsidRDefault="009F35EC" w:rsidP="005D5B53">
      <w:pPr>
        <w:rPr>
          <w:b/>
        </w:rPr>
      </w:pPr>
    </w:p>
    <w:p w:rsidR="009F35EC" w:rsidRDefault="009F35EC" w:rsidP="005D5B53">
      <w:pPr>
        <w:rPr>
          <w:b/>
        </w:rPr>
      </w:pPr>
    </w:p>
    <w:p w:rsidR="00385047" w:rsidRPr="00385047" w:rsidRDefault="00385047" w:rsidP="005D5B53">
      <w:pPr>
        <w:rPr>
          <w:b/>
        </w:rPr>
      </w:pPr>
      <w:proofErr w:type="gramStart"/>
      <w:r w:rsidRPr="00385047">
        <w:rPr>
          <w:b/>
        </w:rPr>
        <w:lastRenderedPageBreak/>
        <w:t>SCREEN  2</w:t>
      </w:r>
      <w:proofErr w:type="gramEnd"/>
    </w:p>
    <w:p w:rsidR="00385047" w:rsidRDefault="00CD278D" w:rsidP="005D5B53">
      <w:r>
        <w:rPr>
          <w:noProof/>
          <w:lang w:eastAsia="zh-TW"/>
        </w:rPr>
        <w:pict>
          <v:shape id="_x0000_s1026" type="#_x0000_t202" style="position:absolute;margin-left:.35pt;margin-top:153.9pt;width:81.2pt;height:18.25pt;z-index:251660288;mso-width-relative:margin;mso-height-relative:margin" filled="f" stroked="f" strokecolor="white [3212]">
            <v:textbox style="mso-next-textbox:#_x0000_s1026">
              <w:txbxContent>
                <w:p w:rsidR="00C92632" w:rsidRPr="00FE4FDF" w:rsidRDefault="00C92632">
                  <w:pPr>
                    <w:rPr>
                      <w:color w:val="FF0000"/>
                      <w:sz w:val="16"/>
                      <w:szCs w:val="16"/>
                    </w:rPr>
                  </w:pPr>
                  <w:r>
                    <w:rPr>
                      <w:color w:val="FF0000"/>
                      <w:sz w:val="16"/>
                      <w:szCs w:val="16"/>
                    </w:rPr>
                    <w:t>7.</w:t>
                  </w:r>
                </w:p>
              </w:txbxContent>
            </v:textbox>
          </v:shape>
        </w:pict>
      </w:r>
      <w:r w:rsidRPr="00CD278D">
        <w:rPr>
          <w:b/>
          <w:noProof/>
        </w:rPr>
        <w:pict>
          <v:shape id="_x0000_s1030" type="#_x0000_t202" style="position:absolute;margin-left:408pt;margin-top:180.15pt;width:30.85pt;height:18pt;z-index:251664384;mso-width-relative:margin;mso-height-relative:margin" filled="f" stroked="f" strokecolor="white [3212]">
            <v:textbox>
              <w:txbxContent>
                <w:p w:rsidR="00C92632" w:rsidRPr="00FE4FDF" w:rsidRDefault="00C92632" w:rsidP="007D27C2">
                  <w:pPr>
                    <w:rPr>
                      <w:color w:val="FF0000"/>
                      <w:sz w:val="16"/>
                      <w:szCs w:val="16"/>
                    </w:rPr>
                  </w:pPr>
                  <w:r w:rsidRPr="00FE4FDF">
                    <w:rPr>
                      <w:color w:val="FF0000"/>
                      <w:sz w:val="16"/>
                      <w:szCs w:val="16"/>
                    </w:rPr>
                    <w:t>8.</w:t>
                  </w:r>
                </w:p>
              </w:txbxContent>
            </v:textbox>
          </v:shape>
        </w:pict>
      </w:r>
      <w:r w:rsidRPr="00CD278D">
        <w:rPr>
          <w:b/>
          <w:noProof/>
        </w:rPr>
        <w:pict>
          <v:shape id="_x0000_s1029" type="#_x0000_t202" style="position:absolute;margin-left:283.4pt;margin-top:172.15pt;width:32.35pt;height:18.25pt;z-index:251663360;mso-width-relative:margin;mso-height-relative:margin" filled="f" stroked="f" strokecolor="white [3212]">
            <v:textbox>
              <w:txbxContent>
                <w:p w:rsidR="00C92632" w:rsidRPr="00FE4FDF" w:rsidRDefault="00C92632" w:rsidP="007D27C2">
                  <w:pPr>
                    <w:rPr>
                      <w:color w:val="FF0000"/>
                      <w:sz w:val="16"/>
                      <w:szCs w:val="16"/>
                    </w:rPr>
                  </w:pPr>
                  <w:r w:rsidRPr="00FE4FDF">
                    <w:rPr>
                      <w:color w:val="FF0000"/>
                      <w:sz w:val="16"/>
                      <w:szCs w:val="16"/>
                    </w:rPr>
                    <w:t xml:space="preserve">9. </w:t>
                  </w:r>
                </w:p>
              </w:txbxContent>
            </v:textbox>
          </v:shape>
        </w:pict>
      </w:r>
      <w:r>
        <w:rPr>
          <w:noProof/>
        </w:rPr>
        <w:pict>
          <v:shape id="_x0000_s1027" type="#_x0000_t202" style="position:absolute;margin-left:62.25pt;margin-top:12.25pt;width:24.75pt;height:19.1pt;z-index:251661312;mso-width-relative:margin;mso-height-relative:margin" filled="f" stroked="f" strokecolor="white [3212]">
            <v:textbox>
              <w:txbxContent>
                <w:p w:rsidR="00C92632" w:rsidRPr="00FE4FDF" w:rsidRDefault="00C92632" w:rsidP="007D27C2">
                  <w:pPr>
                    <w:rPr>
                      <w:color w:val="FF0000"/>
                      <w:sz w:val="16"/>
                      <w:szCs w:val="16"/>
                    </w:rPr>
                  </w:pPr>
                  <w:r w:rsidRPr="00FE4FDF">
                    <w:rPr>
                      <w:color w:val="FF0000"/>
                      <w:sz w:val="16"/>
                      <w:szCs w:val="16"/>
                    </w:rPr>
                    <w:t xml:space="preserve">10.0..  </w:t>
                  </w:r>
                </w:p>
              </w:txbxContent>
            </v:textbox>
          </v:shape>
        </w:pict>
      </w:r>
      <w:r w:rsidRPr="00CD278D">
        <w:rPr>
          <w:b/>
          <w:noProof/>
        </w:rPr>
        <w:pict>
          <v:shape id="_x0000_s1028" type="#_x0000_t202" style="position:absolute;margin-left:110.05pt;margin-top:12.25pt;width:25.6pt;height:18.25pt;z-index:251662336;mso-width-relative:margin;mso-height-relative:margin" filled="f" stroked="f" strokecolor="white [3212]">
            <v:textbox>
              <w:txbxContent>
                <w:p w:rsidR="00C92632" w:rsidRPr="00FE4FDF" w:rsidRDefault="00C92632" w:rsidP="007D27C2">
                  <w:pPr>
                    <w:rPr>
                      <w:color w:val="FF0000"/>
                      <w:sz w:val="16"/>
                      <w:szCs w:val="16"/>
                    </w:rPr>
                  </w:pPr>
                  <w:r w:rsidRPr="00FE4FDF">
                    <w:rPr>
                      <w:color w:val="FF0000"/>
                      <w:sz w:val="16"/>
                      <w:szCs w:val="16"/>
                    </w:rPr>
                    <w:t xml:space="preserve">11. </w:t>
                  </w:r>
                </w:p>
              </w:txbxContent>
            </v:textbox>
          </v:shape>
        </w:pict>
      </w:r>
      <w:r w:rsidR="00E34F36">
        <w:rPr>
          <w:noProof/>
        </w:rPr>
        <w:drawing>
          <wp:inline distT="0" distB="0" distL="0" distR="0">
            <wp:extent cx="5943600" cy="3422579"/>
            <wp:effectExtent l="19050" t="19050" r="19050" b="25471"/>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943600" cy="3422579"/>
                    </a:xfrm>
                    <a:prstGeom prst="rect">
                      <a:avLst/>
                    </a:prstGeom>
                    <a:noFill/>
                    <a:ln w="9525">
                      <a:solidFill>
                        <a:schemeClr val="accent1"/>
                      </a:solidFill>
                      <a:miter lim="800000"/>
                      <a:headEnd/>
                      <a:tailEnd/>
                    </a:ln>
                  </pic:spPr>
                </pic:pic>
              </a:graphicData>
            </a:graphic>
          </wp:inline>
        </w:drawing>
      </w:r>
    </w:p>
    <w:p w:rsidR="005D5B53" w:rsidRDefault="00CD278D" w:rsidP="005D5B53">
      <w:r>
        <w:rPr>
          <w:noProof/>
          <w:lang w:eastAsia="zh-TW"/>
        </w:rPr>
        <w:pict>
          <v:shape id="_x0000_s1032" type="#_x0000_t202" style="position:absolute;margin-left:6pt;margin-top:3.65pt;width:274.05pt;height:34.8pt;z-index:251666432;mso-width-relative:margin;mso-height-relative:margin" strokecolor="white [3212]">
            <v:textbox>
              <w:txbxContent>
                <w:p w:rsidR="00C92632" w:rsidRPr="00E7028E" w:rsidRDefault="00C92632">
                  <w:pPr>
                    <w:rPr>
                      <w:b/>
                    </w:rPr>
                  </w:pPr>
                  <w:r w:rsidRPr="00E7028E">
                    <w:rPr>
                      <w:b/>
                    </w:rPr>
                    <w:t xml:space="preserve"> Screen Shot Sample</w:t>
                  </w:r>
                  <w:r>
                    <w:rPr>
                      <w:b/>
                    </w:rPr>
                    <w:t>- 8</w:t>
                  </w:r>
                  <w:r w:rsidRPr="00E7028E">
                    <w:rPr>
                      <w:b/>
                    </w:rPr>
                    <w:t>. View Map</w:t>
                  </w:r>
                </w:p>
              </w:txbxContent>
            </v:textbox>
          </v:shape>
        </w:pict>
      </w:r>
      <w:r w:rsidR="005D5B53">
        <w:rPr>
          <w:noProof/>
        </w:rPr>
        <w:drawing>
          <wp:inline distT="0" distB="0" distL="0" distR="0">
            <wp:extent cx="5843868" cy="3944728"/>
            <wp:effectExtent l="19050" t="19050" r="23532" b="17672"/>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a:stretch>
                      <a:fillRect/>
                    </a:stretch>
                  </pic:blipFill>
                  <pic:spPr bwMode="auto">
                    <a:xfrm>
                      <a:off x="0" y="0"/>
                      <a:ext cx="5850906" cy="3949479"/>
                    </a:xfrm>
                    <a:prstGeom prst="rect">
                      <a:avLst/>
                    </a:prstGeom>
                    <a:noFill/>
                    <a:ln w="9525">
                      <a:solidFill>
                        <a:schemeClr val="accent1"/>
                      </a:solidFill>
                      <a:miter lim="800000"/>
                      <a:headEnd/>
                      <a:tailEnd/>
                    </a:ln>
                  </pic:spPr>
                </pic:pic>
              </a:graphicData>
            </a:graphic>
          </wp:inline>
        </w:drawing>
      </w:r>
    </w:p>
    <w:p w:rsidR="005D5B53" w:rsidRDefault="005D5B53" w:rsidP="009F35EC">
      <w:pPr>
        <w:pStyle w:val="Heading3"/>
      </w:pPr>
      <w:r>
        <w:lastRenderedPageBreak/>
        <w:t>Review Data Tab</w:t>
      </w:r>
    </w:p>
    <w:p w:rsidR="00825AC1" w:rsidRDefault="009975EE" w:rsidP="005D5B53">
      <w:r>
        <w:t>Users are advised to go</w:t>
      </w:r>
      <w:r w:rsidR="005D5B53">
        <w:t xml:space="preserve"> to the Review Data Tab </w:t>
      </w:r>
      <w:r w:rsidR="00D56023">
        <w:t>before the Plot Status Trend Tab</w:t>
      </w:r>
      <w:r w:rsidR="0045527A">
        <w:t xml:space="preserve"> </w:t>
      </w:r>
      <w:r>
        <w:t>to review</w:t>
      </w:r>
      <w:r w:rsidR="005D5B53">
        <w:t xml:space="preserve"> the </w:t>
      </w:r>
      <w:r w:rsidR="00825AC1">
        <w:t>Parameter results by station table. Here you can sort the columns by clicking on the parameter names to see which stations have adequate data for plotting</w:t>
      </w:r>
      <w:r w:rsidR="00D56023">
        <w:t>.</w:t>
      </w:r>
      <w:r w:rsidR="009F3F1B">
        <w:t xml:space="preserve"> </w:t>
      </w:r>
      <w:r w:rsidR="005820E5">
        <w:t xml:space="preserve">The Seasonal Kendall Results table provides information on results of trend analysis but there is a requirement for 8 years of data in order to perform a trend analysis. </w:t>
      </w:r>
      <w:r w:rsidR="009F3F1B">
        <w:t>The following are d</w:t>
      </w:r>
      <w:r w:rsidR="00825AC1">
        <w:t>escription</w:t>
      </w:r>
      <w:r w:rsidR="009F3F1B">
        <w:t>s</w:t>
      </w:r>
      <w:r w:rsidR="00825AC1">
        <w:t xml:space="preserve"> of each table provided in the Review Data Tab:</w:t>
      </w:r>
    </w:p>
    <w:p w:rsidR="00825AC1" w:rsidRDefault="00825AC1" w:rsidP="00825AC1">
      <w:r w:rsidRPr="002E46B3">
        <w:rPr>
          <w:rStyle w:val="Heading4Char"/>
        </w:rPr>
        <w:t>Parameter results by station:</w:t>
      </w:r>
      <w:r>
        <w:t xml:space="preserve">  Column with Station ID number and total observations for each parameter at that location for the time period specified in the query.</w:t>
      </w:r>
    </w:p>
    <w:p w:rsidR="00825AC1" w:rsidRDefault="00825AC1" w:rsidP="00825AC1">
      <w:r w:rsidRPr="002E46B3">
        <w:rPr>
          <w:rStyle w:val="Heading4Char"/>
        </w:rPr>
        <w:t>Data in tabular format:</w:t>
      </w:r>
      <w:r>
        <w:t xml:space="preserve"> Table of data processed to have consistent column names between each data source and data removed that does not pass QA/QC screen. The QA/QC screen involves removing data where the comments suggest a problem with the data result and adjusting result values to be numeric. Column descriptions follow:</w:t>
      </w:r>
    </w:p>
    <w:tbl>
      <w:tblPr>
        <w:tblStyle w:val="TableGrid"/>
        <w:tblW w:w="0" w:type="auto"/>
        <w:tblLook w:val="04A0"/>
      </w:tblPr>
      <w:tblGrid>
        <w:gridCol w:w="1984"/>
        <w:gridCol w:w="7592"/>
      </w:tblGrid>
      <w:tr w:rsidR="00825AC1" w:rsidTr="008F7447">
        <w:tc>
          <w:tcPr>
            <w:tcW w:w="1984" w:type="dxa"/>
          </w:tcPr>
          <w:p w:rsidR="00825AC1" w:rsidRPr="008F7447" w:rsidRDefault="00825AC1" w:rsidP="00825AC1">
            <w:pPr>
              <w:rPr>
                <w:b/>
              </w:rPr>
            </w:pPr>
            <w:r w:rsidRPr="008F7447">
              <w:rPr>
                <w:b/>
              </w:rPr>
              <w:t>Column Name</w:t>
            </w:r>
          </w:p>
        </w:tc>
        <w:tc>
          <w:tcPr>
            <w:tcW w:w="7592" w:type="dxa"/>
          </w:tcPr>
          <w:p w:rsidR="00825AC1" w:rsidRPr="008F7447" w:rsidRDefault="00825AC1" w:rsidP="00825AC1">
            <w:pPr>
              <w:rPr>
                <w:b/>
              </w:rPr>
            </w:pPr>
            <w:r w:rsidRPr="008F7447">
              <w:rPr>
                <w:b/>
              </w:rPr>
              <w:t>Description</w:t>
            </w:r>
          </w:p>
        </w:tc>
      </w:tr>
      <w:tr w:rsidR="00825AC1" w:rsidTr="008F7447">
        <w:tc>
          <w:tcPr>
            <w:tcW w:w="1984" w:type="dxa"/>
          </w:tcPr>
          <w:p w:rsidR="00825AC1" w:rsidRDefault="00825AC1" w:rsidP="00825AC1">
            <w:r>
              <w:t>Client</w:t>
            </w:r>
          </w:p>
        </w:tc>
        <w:tc>
          <w:tcPr>
            <w:tcW w:w="7592" w:type="dxa"/>
          </w:tcPr>
          <w:p w:rsidR="00825AC1" w:rsidRDefault="00825AC1" w:rsidP="00825AC1">
            <w:r>
              <w:t>Sampling organization or project</w:t>
            </w:r>
          </w:p>
        </w:tc>
      </w:tr>
      <w:tr w:rsidR="00825AC1" w:rsidTr="008F7447">
        <w:tc>
          <w:tcPr>
            <w:tcW w:w="1984" w:type="dxa"/>
          </w:tcPr>
          <w:p w:rsidR="00825AC1" w:rsidRDefault="00825AC1" w:rsidP="00825AC1">
            <w:r>
              <w:t>Analyte</w:t>
            </w:r>
          </w:p>
        </w:tc>
        <w:tc>
          <w:tcPr>
            <w:tcW w:w="7592" w:type="dxa"/>
          </w:tcPr>
          <w:p w:rsidR="00825AC1" w:rsidRDefault="00825AC1" w:rsidP="00825AC1">
            <w:r>
              <w:t>Parameter name</w:t>
            </w:r>
          </w:p>
        </w:tc>
      </w:tr>
      <w:tr w:rsidR="00825AC1" w:rsidTr="008F7447">
        <w:tc>
          <w:tcPr>
            <w:tcW w:w="1984" w:type="dxa"/>
          </w:tcPr>
          <w:p w:rsidR="00825AC1" w:rsidRDefault="00825AC1" w:rsidP="00825AC1">
            <w:r>
              <w:t>Station_ID</w:t>
            </w:r>
          </w:p>
        </w:tc>
        <w:tc>
          <w:tcPr>
            <w:tcW w:w="7592" w:type="dxa"/>
          </w:tcPr>
          <w:p w:rsidR="00825AC1" w:rsidRDefault="00825AC1" w:rsidP="00825AC1">
            <w:r>
              <w:t>Alpha-numeric station code</w:t>
            </w:r>
          </w:p>
        </w:tc>
      </w:tr>
      <w:tr w:rsidR="00825AC1" w:rsidTr="008F7447">
        <w:tc>
          <w:tcPr>
            <w:tcW w:w="1984" w:type="dxa"/>
          </w:tcPr>
          <w:p w:rsidR="00825AC1" w:rsidRDefault="00825AC1" w:rsidP="00825AC1">
            <w:r>
              <w:t>Station_Description</w:t>
            </w:r>
          </w:p>
        </w:tc>
        <w:tc>
          <w:tcPr>
            <w:tcW w:w="7592" w:type="dxa"/>
          </w:tcPr>
          <w:p w:rsidR="00825AC1" w:rsidRDefault="00825AC1" w:rsidP="00825AC1">
            <w:r>
              <w:t>Station name</w:t>
            </w:r>
          </w:p>
        </w:tc>
      </w:tr>
      <w:tr w:rsidR="00825AC1" w:rsidTr="008F7447">
        <w:tc>
          <w:tcPr>
            <w:tcW w:w="1984" w:type="dxa"/>
          </w:tcPr>
          <w:p w:rsidR="00825AC1" w:rsidRDefault="00825AC1" w:rsidP="00825AC1">
            <w:r>
              <w:t>SampleType</w:t>
            </w:r>
          </w:p>
        </w:tc>
        <w:tc>
          <w:tcPr>
            <w:tcW w:w="7592" w:type="dxa"/>
          </w:tcPr>
          <w:p w:rsidR="00825AC1" w:rsidRDefault="00825AC1" w:rsidP="00825AC1">
            <w:r>
              <w:t>Database dependent usually one of Grab, Field Primary, Field Duplicate, etc.</w:t>
            </w:r>
          </w:p>
        </w:tc>
      </w:tr>
      <w:tr w:rsidR="00825AC1" w:rsidTr="008F7447">
        <w:tc>
          <w:tcPr>
            <w:tcW w:w="1984" w:type="dxa"/>
          </w:tcPr>
          <w:p w:rsidR="00825AC1" w:rsidRDefault="00825AC1" w:rsidP="00825AC1">
            <w:r>
              <w:t>Result</w:t>
            </w:r>
          </w:p>
        </w:tc>
        <w:tc>
          <w:tcPr>
            <w:tcW w:w="7592" w:type="dxa"/>
          </w:tcPr>
          <w:p w:rsidR="00825AC1" w:rsidRDefault="00825AC1" w:rsidP="00825AC1">
            <w:r>
              <w:t>Numeric result value</w:t>
            </w:r>
          </w:p>
        </w:tc>
      </w:tr>
      <w:tr w:rsidR="00825AC1" w:rsidTr="008F7447">
        <w:tc>
          <w:tcPr>
            <w:tcW w:w="1984" w:type="dxa"/>
          </w:tcPr>
          <w:p w:rsidR="00825AC1" w:rsidRDefault="00825AC1" w:rsidP="00825AC1">
            <w:r>
              <w:t>MRL</w:t>
            </w:r>
          </w:p>
        </w:tc>
        <w:tc>
          <w:tcPr>
            <w:tcW w:w="7592" w:type="dxa"/>
          </w:tcPr>
          <w:p w:rsidR="00825AC1" w:rsidRDefault="00825AC1" w:rsidP="00825AC1">
            <w:r>
              <w:t>Minimum reporting limit</w:t>
            </w:r>
          </w:p>
        </w:tc>
      </w:tr>
      <w:tr w:rsidR="00825AC1" w:rsidTr="008F7447">
        <w:tc>
          <w:tcPr>
            <w:tcW w:w="1984" w:type="dxa"/>
          </w:tcPr>
          <w:p w:rsidR="00825AC1" w:rsidRDefault="00825AC1" w:rsidP="00825AC1">
            <w:r>
              <w:t>Unit</w:t>
            </w:r>
          </w:p>
        </w:tc>
        <w:tc>
          <w:tcPr>
            <w:tcW w:w="7592" w:type="dxa"/>
          </w:tcPr>
          <w:p w:rsidR="00825AC1" w:rsidRDefault="00825AC1" w:rsidP="00825AC1">
            <w:r>
              <w:t>Unit of measurement for the Result</w:t>
            </w:r>
          </w:p>
        </w:tc>
      </w:tr>
      <w:tr w:rsidR="00825AC1" w:rsidTr="008F7447">
        <w:tc>
          <w:tcPr>
            <w:tcW w:w="1984" w:type="dxa"/>
          </w:tcPr>
          <w:p w:rsidR="00825AC1" w:rsidRDefault="00825AC1" w:rsidP="00825AC1">
            <w:r>
              <w:t>Status</w:t>
            </w:r>
          </w:p>
        </w:tc>
        <w:tc>
          <w:tcPr>
            <w:tcW w:w="7592" w:type="dxa"/>
          </w:tcPr>
          <w:p w:rsidR="00825AC1" w:rsidRDefault="00825AC1" w:rsidP="00825AC1">
            <w:r>
              <w:t>For DEQ data this is the Data Quality Level or grade</w:t>
            </w:r>
          </w:p>
        </w:tc>
      </w:tr>
      <w:tr w:rsidR="00825AC1" w:rsidTr="008F7447">
        <w:tc>
          <w:tcPr>
            <w:tcW w:w="1984" w:type="dxa"/>
          </w:tcPr>
          <w:p w:rsidR="00825AC1" w:rsidRDefault="00825AC1" w:rsidP="00825AC1">
            <w:r>
              <w:t>Sampled</w:t>
            </w:r>
          </w:p>
        </w:tc>
        <w:tc>
          <w:tcPr>
            <w:tcW w:w="7592" w:type="dxa"/>
          </w:tcPr>
          <w:p w:rsidR="00825AC1" w:rsidRDefault="009975EE" w:rsidP="00825AC1">
            <w:r>
              <w:t>Sample date-</w:t>
            </w:r>
            <w:r w:rsidR="00825AC1">
              <w:t>time</w:t>
            </w:r>
          </w:p>
        </w:tc>
      </w:tr>
      <w:tr w:rsidR="00825AC1" w:rsidTr="008F7447">
        <w:tc>
          <w:tcPr>
            <w:tcW w:w="1984" w:type="dxa"/>
          </w:tcPr>
          <w:p w:rsidR="00825AC1" w:rsidRDefault="00825AC1" w:rsidP="00825AC1">
            <w:r>
              <w:t>DATUM</w:t>
            </w:r>
          </w:p>
        </w:tc>
        <w:tc>
          <w:tcPr>
            <w:tcW w:w="7592" w:type="dxa"/>
          </w:tcPr>
          <w:p w:rsidR="00825AC1" w:rsidRDefault="00825AC1" w:rsidP="00825AC1">
            <w:r>
              <w:t>Datum reported for the latitude and longitude provided</w:t>
            </w:r>
          </w:p>
        </w:tc>
      </w:tr>
      <w:tr w:rsidR="00825AC1" w:rsidTr="008F7447">
        <w:tc>
          <w:tcPr>
            <w:tcW w:w="1984" w:type="dxa"/>
          </w:tcPr>
          <w:p w:rsidR="00825AC1" w:rsidRDefault="00825AC1" w:rsidP="00825AC1">
            <w:r>
              <w:t>DECIMAL_LAT</w:t>
            </w:r>
          </w:p>
        </w:tc>
        <w:tc>
          <w:tcPr>
            <w:tcW w:w="7592" w:type="dxa"/>
          </w:tcPr>
          <w:p w:rsidR="00825AC1" w:rsidRDefault="00825AC1" w:rsidP="00825AC1">
            <w:r>
              <w:t>Latitude of the sampling location</w:t>
            </w:r>
          </w:p>
        </w:tc>
      </w:tr>
      <w:tr w:rsidR="00825AC1" w:rsidTr="008F7447">
        <w:tc>
          <w:tcPr>
            <w:tcW w:w="1984" w:type="dxa"/>
          </w:tcPr>
          <w:p w:rsidR="00825AC1" w:rsidRDefault="00825AC1" w:rsidP="00825AC1">
            <w:r>
              <w:t>DECIMAL_LONG</w:t>
            </w:r>
          </w:p>
        </w:tc>
        <w:tc>
          <w:tcPr>
            <w:tcW w:w="7592" w:type="dxa"/>
          </w:tcPr>
          <w:p w:rsidR="00825AC1" w:rsidRDefault="00825AC1" w:rsidP="00825AC1">
            <w:r>
              <w:t>Longitude of the sampling location</w:t>
            </w:r>
          </w:p>
        </w:tc>
      </w:tr>
      <w:tr w:rsidR="00825AC1" w:rsidTr="008F7447">
        <w:tc>
          <w:tcPr>
            <w:tcW w:w="1984" w:type="dxa"/>
          </w:tcPr>
          <w:p w:rsidR="00825AC1" w:rsidRDefault="00825AC1" w:rsidP="00825AC1">
            <w:r>
              <w:t>StatusIdentifier</w:t>
            </w:r>
          </w:p>
        </w:tc>
        <w:tc>
          <w:tcPr>
            <w:tcW w:w="7592" w:type="dxa"/>
          </w:tcPr>
          <w:p w:rsidR="00825AC1" w:rsidRDefault="00571368" w:rsidP="00825AC1">
            <w:r>
              <w:t>For Water Quality Portal data this is where QAQC information can be found</w:t>
            </w:r>
          </w:p>
        </w:tc>
      </w:tr>
      <w:tr w:rsidR="00825AC1" w:rsidTr="008F7447">
        <w:tc>
          <w:tcPr>
            <w:tcW w:w="1984" w:type="dxa"/>
          </w:tcPr>
          <w:p w:rsidR="00825AC1" w:rsidRDefault="00825AC1" w:rsidP="00825AC1">
            <w:r>
              <w:t>Comment</w:t>
            </w:r>
          </w:p>
        </w:tc>
        <w:tc>
          <w:tcPr>
            <w:tcW w:w="7592" w:type="dxa"/>
          </w:tcPr>
          <w:p w:rsidR="00825AC1" w:rsidRDefault="00825AC1" w:rsidP="00825AC1">
            <w:r>
              <w:t>Text provided with the sample result</w:t>
            </w:r>
          </w:p>
        </w:tc>
      </w:tr>
      <w:tr w:rsidR="00825AC1" w:rsidTr="008F7447">
        <w:tc>
          <w:tcPr>
            <w:tcW w:w="1984" w:type="dxa"/>
          </w:tcPr>
          <w:p w:rsidR="00825AC1" w:rsidRDefault="00825AC1" w:rsidP="00825AC1">
            <w:r>
              <w:t>HUC</w:t>
            </w:r>
          </w:p>
        </w:tc>
        <w:tc>
          <w:tcPr>
            <w:tcW w:w="7592" w:type="dxa"/>
          </w:tcPr>
          <w:p w:rsidR="00825AC1" w:rsidRDefault="00825AC1" w:rsidP="00825AC1">
            <w:r>
              <w:t>8-digit HUC of the Sampling Location</w:t>
            </w:r>
          </w:p>
        </w:tc>
      </w:tr>
      <w:tr w:rsidR="00825AC1" w:rsidTr="008F7447">
        <w:tc>
          <w:tcPr>
            <w:tcW w:w="1984" w:type="dxa"/>
          </w:tcPr>
          <w:p w:rsidR="00825AC1" w:rsidRDefault="00825AC1" w:rsidP="00825AC1">
            <w:r>
              <w:t>Database</w:t>
            </w:r>
          </w:p>
        </w:tc>
        <w:tc>
          <w:tcPr>
            <w:tcW w:w="7592" w:type="dxa"/>
          </w:tcPr>
          <w:p w:rsidR="00825AC1" w:rsidRDefault="00825AC1" w:rsidP="00825AC1">
            <w:r>
              <w:t>Source database that the data came from</w:t>
            </w:r>
          </w:p>
        </w:tc>
      </w:tr>
      <w:tr w:rsidR="00825AC1" w:rsidTr="008F7447">
        <w:tc>
          <w:tcPr>
            <w:tcW w:w="1984" w:type="dxa"/>
          </w:tcPr>
          <w:p w:rsidR="00825AC1" w:rsidRDefault="00825AC1" w:rsidP="00825AC1">
            <w:r>
              <w:t>Detect</w:t>
            </w:r>
          </w:p>
        </w:tc>
        <w:tc>
          <w:tcPr>
            <w:tcW w:w="7592" w:type="dxa"/>
          </w:tcPr>
          <w:p w:rsidR="00825AC1" w:rsidRDefault="008F7447" w:rsidP="00825AC1">
            <w:r>
              <w:t>Either a 1 or 0 to indicate if the sample is above the MRL</w:t>
            </w:r>
          </w:p>
        </w:tc>
      </w:tr>
    </w:tbl>
    <w:p w:rsidR="00825AC1" w:rsidRDefault="00825AC1" w:rsidP="00825AC1"/>
    <w:p w:rsidR="009975EE" w:rsidRDefault="008F7447" w:rsidP="00825AC1">
      <w:r>
        <w:rPr>
          <w:b/>
        </w:rPr>
        <w:t xml:space="preserve">WQ Limited Waters within Geographic Area: </w:t>
      </w:r>
      <w:r>
        <w:t xml:space="preserve">List of all </w:t>
      </w:r>
      <w:r w:rsidR="00AC7304">
        <w:t xml:space="preserve">water quality limited </w:t>
      </w:r>
      <w:proofErr w:type="spellStart"/>
      <w:r w:rsidR="00AC7304">
        <w:t>waterbodies</w:t>
      </w:r>
      <w:proofErr w:type="spellEnd"/>
      <w:r w:rsidR="00AC7304">
        <w:t xml:space="preserve"> with TMDLS and </w:t>
      </w:r>
      <w:r>
        <w:t xml:space="preserve">303(d) listings for selected query parameters that are within or cross the selected Geographic Area. Refer to </w:t>
      </w:r>
      <w:hyperlink r:id="rId8" w:history="1">
        <w:r w:rsidR="005820E5" w:rsidRPr="00D748A5">
          <w:rPr>
            <w:rStyle w:val="Hyperlink"/>
          </w:rPr>
          <w:t>http://www.deq.state.or.us/wq/assessment/assessment.htm</w:t>
        </w:r>
      </w:hyperlink>
      <w:r w:rsidR="005820E5">
        <w:t xml:space="preserve"> </w:t>
      </w:r>
      <w:r>
        <w:t>for descriptions of the columns.</w:t>
      </w:r>
      <w:r w:rsidR="005820E5">
        <w:t xml:space="preserve"> You can click on a listing here and a link will show up </w:t>
      </w:r>
      <w:r w:rsidR="00571368">
        <w:t xml:space="preserve">on the left under the table selection drop down. This link will bring </w:t>
      </w:r>
      <w:r w:rsidR="009975EE">
        <w:t xml:space="preserve">the user </w:t>
      </w:r>
      <w:r w:rsidR="00571368">
        <w:t>directly to the 303(d) listings on that stream for that parameter. Make sure to click new search before leaving that page otherwise when you click on another row in the table the assessment web page will not be updated when</w:t>
      </w:r>
      <w:r w:rsidR="009975EE">
        <w:t xml:space="preserve"> you follow the query link. T</w:t>
      </w:r>
      <w:r w:rsidR="00571368">
        <w:t>he correct sequence of events is</w:t>
      </w:r>
      <w:r w:rsidR="009975EE">
        <w:t>:</w:t>
      </w:r>
      <w:r w:rsidR="00571368">
        <w:t xml:space="preserve"> </w:t>
      </w:r>
    </w:p>
    <w:p w:rsidR="009975EE" w:rsidRDefault="00571368" w:rsidP="009975EE">
      <w:pPr>
        <w:spacing w:after="0" w:line="240" w:lineRule="auto"/>
        <w:ind w:firstLine="720"/>
      </w:pPr>
      <w:r>
        <w:lastRenderedPageBreak/>
        <w:t xml:space="preserve">1) Click on row in WQ limited waters table, </w:t>
      </w:r>
    </w:p>
    <w:p w:rsidR="009975EE" w:rsidRDefault="00571368" w:rsidP="009975EE">
      <w:pPr>
        <w:spacing w:after="0" w:line="240" w:lineRule="auto"/>
        <w:ind w:firstLine="720"/>
      </w:pPr>
      <w:r>
        <w:t>2) Click on Link in top left</w:t>
      </w:r>
      <w:r w:rsidR="009975EE">
        <w:t>,</w:t>
      </w:r>
      <w:r>
        <w:t xml:space="preserve"> </w:t>
      </w:r>
    </w:p>
    <w:p w:rsidR="009975EE" w:rsidRDefault="00571368" w:rsidP="009975EE">
      <w:pPr>
        <w:spacing w:after="0" w:line="240" w:lineRule="auto"/>
        <w:ind w:firstLine="720"/>
      </w:pPr>
      <w:r>
        <w:t>3) View listing in assessment database</w:t>
      </w:r>
      <w:r w:rsidR="009975EE">
        <w:t>,</w:t>
      </w:r>
      <w:r>
        <w:t xml:space="preserve"> </w:t>
      </w:r>
    </w:p>
    <w:p w:rsidR="009975EE" w:rsidRDefault="00571368" w:rsidP="009975EE">
      <w:pPr>
        <w:spacing w:after="0" w:line="240" w:lineRule="auto"/>
        <w:ind w:firstLine="720"/>
      </w:pPr>
      <w:r>
        <w:t>4) Click “New Search” on assessment database page</w:t>
      </w:r>
      <w:r w:rsidR="009975EE">
        <w:t>,</w:t>
      </w:r>
      <w:r>
        <w:t xml:space="preserve"> </w:t>
      </w:r>
    </w:p>
    <w:p w:rsidR="008F7447" w:rsidRDefault="00571368" w:rsidP="009975EE">
      <w:pPr>
        <w:spacing w:after="0" w:line="240" w:lineRule="auto"/>
        <w:ind w:firstLine="720"/>
      </w:pPr>
      <w:r>
        <w:t>5) Go back to Status and Trend tool and select a new row.</w:t>
      </w:r>
    </w:p>
    <w:p w:rsidR="009975EE" w:rsidRDefault="009975EE" w:rsidP="009975EE">
      <w:pPr>
        <w:spacing w:after="0" w:line="240" w:lineRule="auto"/>
        <w:ind w:firstLine="720"/>
      </w:pPr>
    </w:p>
    <w:p w:rsidR="008F7447" w:rsidRDefault="008F7447" w:rsidP="009975EE">
      <w:pPr>
        <w:spacing w:after="0"/>
      </w:pPr>
      <w:r>
        <w:rPr>
          <w:b/>
        </w:rPr>
        <w:t xml:space="preserve">Seasonal Kendall Results: </w:t>
      </w:r>
      <w:r w:rsidR="009975EE">
        <w:t>Table detailing results of S</w:t>
      </w:r>
      <w:r>
        <w:t xml:space="preserve">easonal </w:t>
      </w:r>
      <w:r w:rsidR="009975EE">
        <w:t>K</w:t>
      </w:r>
      <w:r>
        <w:t>endall trend analysis for each parameter at each station. Column descriptions follow:</w:t>
      </w:r>
    </w:p>
    <w:tbl>
      <w:tblPr>
        <w:tblStyle w:val="TableGrid"/>
        <w:tblW w:w="0" w:type="auto"/>
        <w:tblLook w:val="04A0"/>
      </w:tblPr>
      <w:tblGrid>
        <w:gridCol w:w="2178"/>
        <w:gridCol w:w="7398"/>
      </w:tblGrid>
      <w:tr w:rsidR="008F7447" w:rsidTr="008F7447">
        <w:tc>
          <w:tcPr>
            <w:tcW w:w="2178" w:type="dxa"/>
          </w:tcPr>
          <w:p w:rsidR="008F7447" w:rsidRPr="008F7447" w:rsidRDefault="008F7447" w:rsidP="00825AC1">
            <w:pPr>
              <w:rPr>
                <w:b/>
              </w:rPr>
            </w:pPr>
            <w:r w:rsidRPr="008F7447">
              <w:rPr>
                <w:b/>
              </w:rPr>
              <w:t>Column Name</w:t>
            </w:r>
          </w:p>
        </w:tc>
        <w:tc>
          <w:tcPr>
            <w:tcW w:w="7398" w:type="dxa"/>
          </w:tcPr>
          <w:p w:rsidR="008F7447" w:rsidRPr="008F7447" w:rsidRDefault="008F7447" w:rsidP="00825AC1">
            <w:pPr>
              <w:rPr>
                <w:b/>
              </w:rPr>
            </w:pPr>
            <w:r w:rsidRPr="008F7447">
              <w:rPr>
                <w:b/>
              </w:rPr>
              <w:t>Description</w:t>
            </w:r>
          </w:p>
        </w:tc>
      </w:tr>
      <w:tr w:rsidR="008F7447" w:rsidTr="008F7447">
        <w:tc>
          <w:tcPr>
            <w:tcW w:w="2178" w:type="dxa"/>
          </w:tcPr>
          <w:p w:rsidR="008F7447" w:rsidRDefault="008F7447" w:rsidP="00825AC1">
            <w:r>
              <w:t>Station_ID</w:t>
            </w:r>
          </w:p>
        </w:tc>
        <w:tc>
          <w:tcPr>
            <w:tcW w:w="7398" w:type="dxa"/>
          </w:tcPr>
          <w:p w:rsidR="008F7447" w:rsidRDefault="008F7447" w:rsidP="00825AC1">
            <w:r>
              <w:t>Alpha-numeric station code</w:t>
            </w:r>
          </w:p>
        </w:tc>
      </w:tr>
      <w:tr w:rsidR="008F7447" w:rsidTr="008F7447">
        <w:tc>
          <w:tcPr>
            <w:tcW w:w="2178" w:type="dxa"/>
          </w:tcPr>
          <w:p w:rsidR="008F7447" w:rsidRDefault="008F7447" w:rsidP="00825AC1">
            <w:r>
              <w:t>Analyte</w:t>
            </w:r>
          </w:p>
        </w:tc>
        <w:tc>
          <w:tcPr>
            <w:tcW w:w="7398" w:type="dxa"/>
          </w:tcPr>
          <w:p w:rsidR="008F7447" w:rsidRDefault="008F7447" w:rsidP="00825AC1">
            <w:r>
              <w:t>Parameter name</w:t>
            </w:r>
          </w:p>
        </w:tc>
      </w:tr>
      <w:tr w:rsidR="008F7447" w:rsidTr="008F7447">
        <w:tc>
          <w:tcPr>
            <w:tcW w:w="2178" w:type="dxa"/>
          </w:tcPr>
          <w:p w:rsidR="008F7447" w:rsidRDefault="008F7447" w:rsidP="00825AC1">
            <w:r>
              <w:t>Slope</w:t>
            </w:r>
          </w:p>
        </w:tc>
        <w:tc>
          <w:tcPr>
            <w:tcW w:w="7398" w:type="dxa"/>
          </w:tcPr>
          <w:p w:rsidR="008F7447" w:rsidRDefault="008F7447" w:rsidP="00825AC1">
            <w:r>
              <w:t>Slope of the trend line</w:t>
            </w:r>
          </w:p>
        </w:tc>
      </w:tr>
      <w:tr w:rsidR="008F7447" w:rsidTr="008F7447">
        <w:tc>
          <w:tcPr>
            <w:tcW w:w="2178" w:type="dxa"/>
          </w:tcPr>
          <w:p w:rsidR="008F7447" w:rsidRDefault="008F7447" w:rsidP="00825AC1">
            <w:r>
              <w:t>Pvalue</w:t>
            </w:r>
          </w:p>
        </w:tc>
        <w:tc>
          <w:tcPr>
            <w:tcW w:w="7398" w:type="dxa"/>
          </w:tcPr>
          <w:p w:rsidR="008F7447" w:rsidRDefault="008F7447" w:rsidP="00825AC1">
            <w:r>
              <w:t>Significance of slope</w:t>
            </w:r>
          </w:p>
        </w:tc>
      </w:tr>
      <w:tr w:rsidR="008F7447" w:rsidTr="008F7447">
        <w:tc>
          <w:tcPr>
            <w:tcW w:w="2178" w:type="dxa"/>
          </w:tcPr>
          <w:p w:rsidR="008F7447" w:rsidRDefault="008F7447" w:rsidP="00825AC1">
            <w:r>
              <w:t>Median</w:t>
            </w:r>
          </w:p>
        </w:tc>
        <w:tc>
          <w:tcPr>
            <w:tcW w:w="7398" w:type="dxa"/>
          </w:tcPr>
          <w:p w:rsidR="008F7447" w:rsidRDefault="008F7447" w:rsidP="00825AC1">
            <w:r>
              <w:t>Median value of data</w:t>
            </w:r>
          </w:p>
        </w:tc>
      </w:tr>
      <w:tr w:rsidR="008F7447" w:rsidTr="008F7447">
        <w:tc>
          <w:tcPr>
            <w:tcW w:w="2178" w:type="dxa"/>
          </w:tcPr>
          <w:p w:rsidR="008F7447" w:rsidRDefault="008F7447" w:rsidP="00825AC1">
            <w:r>
              <w:t>N</w:t>
            </w:r>
          </w:p>
        </w:tc>
        <w:tc>
          <w:tcPr>
            <w:tcW w:w="7398" w:type="dxa"/>
          </w:tcPr>
          <w:p w:rsidR="008F7447" w:rsidRDefault="008F7447" w:rsidP="00825AC1">
            <w:r>
              <w:t>Number of samples used to evaluate trend</w:t>
            </w:r>
          </w:p>
        </w:tc>
      </w:tr>
      <w:tr w:rsidR="008F7447" w:rsidTr="008F7447">
        <w:tc>
          <w:tcPr>
            <w:tcW w:w="2178" w:type="dxa"/>
          </w:tcPr>
          <w:p w:rsidR="008F7447" w:rsidRDefault="008F7447" w:rsidP="00825AC1">
            <w:r>
              <w:t>signif</w:t>
            </w:r>
          </w:p>
        </w:tc>
        <w:tc>
          <w:tcPr>
            <w:tcW w:w="7398" w:type="dxa"/>
          </w:tcPr>
          <w:p w:rsidR="008F7447" w:rsidRDefault="008F7447" w:rsidP="00825AC1">
            <w:r>
              <w:t>Textual interpretation of p-value significance</w:t>
            </w:r>
            <w:r w:rsidR="00571368">
              <w:t xml:space="preserve">. Will also indicate if there </w:t>
            </w:r>
            <w:proofErr w:type="gramStart"/>
            <w:r w:rsidR="00571368">
              <w:t>was</w:t>
            </w:r>
            <w:proofErr w:type="gramEnd"/>
            <w:r w:rsidR="00571368">
              <w:t xml:space="preserve"> not enough years of data to perform the trend analysis.</w:t>
            </w:r>
          </w:p>
        </w:tc>
      </w:tr>
    </w:tbl>
    <w:p w:rsidR="008F7447" w:rsidRDefault="008F7447" w:rsidP="00825AC1"/>
    <w:p w:rsidR="008F7447" w:rsidRDefault="008F7447" w:rsidP="00825AC1">
      <w:r>
        <w:rPr>
          <w:b/>
        </w:rPr>
        <w:t xml:space="preserve">QA – Summary by organization: </w:t>
      </w:r>
      <w:r>
        <w:t xml:space="preserve">Table with summaries of data, stations and comments associated with each organization. This can be helpful in determining whether to use results from that organization. Typically when an organization has no comments, particularly if from STORET, there is a high likelihood that no QC information is provided and its adequacy cannot be determined. </w:t>
      </w:r>
    </w:p>
    <w:p w:rsidR="008F7447" w:rsidRDefault="008F7447" w:rsidP="00825AC1">
      <w:r>
        <w:rPr>
          <w:b/>
        </w:rPr>
        <w:t xml:space="preserve">QA – Result values modified: </w:t>
      </w:r>
      <w:r>
        <w:t>Table identifying all non-numeric values in the result column, how many times they occur and what they were replaced with. This is a necessary step for dealing with DEQ LASAR data.</w:t>
      </w:r>
    </w:p>
    <w:p w:rsidR="008F7447" w:rsidRDefault="008F7447" w:rsidP="00825AC1">
      <w:r>
        <w:rPr>
          <w:b/>
        </w:rPr>
        <w:t xml:space="preserve">QA – Data removal information: </w:t>
      </w:r>
      <w:r>
        <w:t xml:space="preserve">Table describing any observations that were removed as a result of the QA screen. </w:t>
      </w:r>
    </w:p>
    <w:p w:rsidR="008F7447" w:rsidRDefault="008F7447" w:rsidP="00825AC1">
      <w:r>
        <w:rPr>
          <w:b/>
        </w:rPr>
        <w:t xml:space="preserve">QA – Unique comment values: </w:t>
      </w:r>
      <w:r w:rsidR="008418EB">
        <w:t>Comment value occurrence frequency to assist in determining whether there may be issues with the dataset retrieved.</w:t>
      </w:r>
    </w:p>
    <w:p w:rsidR="008418EB" w:rsidRDefault="005D7E02" w:rsidP="00571368">
      <w:pPr>
        <w:pStyle w:val="Heading3"/>
      </w:pPr>
      <w:r>
        <w:t>Plot Status and Trend Tab</w:t>
      </w:r>
    </w:p>
    <w:p w:rsidR="00571368" w:rsidRDefault="005D7E02" w:rsidP="00571368">
      <w:pPr>
        <w:spacing w:line="240" w:lineRule="auto"/>
      </w:pPr>
      <w:r>
        <w:t xml:space="preserve">This tab provides charts of data returned with the query specifications as well as a table detailing exceedances of the applicable or specified water quality standard. Each parameter has different plotting options.  </w:t>
      </w:r>
      <w:r w:rsidR="00571368">
        <w:t xml:space="preserve">The plots are interactive in that they allow for zooming. </w:t>
      </w:r>
    </w:p>
    <w:p w:rsidR="00571368" w:rsidRDefault="00571368" w:rsidP="009975EE">
      <w:pPr>
        <w:pBdr>
          <w:top w:val="single" w:sz="4" w:space="1" w:color="auto"/>
          <w:left w:val="single" w:sz="4" w:space="4" w:color="auto"/>
          <w:bottom w:val="single" w:sz="4" w:space="1" w:color="auto"/>
          <w:right w:val="single" w:sz="4" w:space="4" w:color="auto"/>
        </w:pBdr>
        <w:spacing w:after="0" w:line="240" w:lineRule="auto"/>
      </w:pPr>
      <w:r w:rsidRPr="00571368">
        <w:rPr>
          <w:b/>
        </w:rPr>
        <w:t>Instructions for Zooming:</w:t>
      </w:r>
      <w:r>
        <w:t xml:space="preserve"> </w:t>
      </w:r>
    </w:p>
    <w:p w:rsidR="00571368" w:rsidRDefault="00571368" w:rsidP="009975EE">
      <w:pPr>
        <w:pStyle w:val="ListParagraph"/>
        <w:numPr>
          <w:ilvl w:val="0"/>
          <w:numId w:val="5"/>
        </w:numPr>
        <w:pBdr>
          <w:top w:val="single" w:sz="4" w:space="1" w:color="auto"/>
          <w:left w:val="single" w:sz="4" w:space="22" w:color="auto"/>
          <w:bottom w:val="single" w:sz="4" w:space="1" w:color="auto"/>
          <w:right w:val="single" w:sz="4" w:space="4" w:color="auto"/>
        </w:pBdr>
        <w:spacing w:after="0" w:line="240" w:lineRule="auto"/>
      </w:pPr>
      <w:r>
        <w:t xml:space="preserve">Click and drag a box around the area you want to zoom to. </w:t>
      </w:r>
    </w:p>
    <w:p w:rsidR="00571368" w:rsidRDefault="00571368" w:rsidP="009975EE">
      <w:pPr>
        <w:pStyle w:val="ListParagraph"/>
        <w:numPr>
          <w:ilvl w:val="0"/>
          <w:numId w:val="5"/>
        </w:numPr>
        <w:pBdr>
          <w:top w:val="single" w:sz="4" w:space="1" w:color="auto"/>
          <w:left w:val="single" w:sz="4" w:space="22" w:color="auto"/>
          <w:bottom w:val="single" w:sz="4" w:space="1" w:color="auto"/>
          <w:right w:val="single" w:sz="4" w:space="4" w:color="auto"/>
        </w:pBdr>
        <w:spacing w:after="0" w:line="240" w:lineRule="auto"/>
      </w:pPr>
      <w:r>
        <w:t xml:space="preserve">Then, double click in the box you just drew. </w:t>
      </w:r>
    </w:p>
    <w:p w:rsidR="00571368" w:rsidRDefault="00571368" w:rsidP="009975EE">
      <w:pPr>
        <w:pStyle w:val="ListParagraph"/>
        <w:numPr>
          <w:ilvl w:val="0"/>
          <w:numId w:val="5"/>
        </w:numPr>
        <w:pBdr>
          <w:top w:val="single" w:sz="4" w:space="1" w:color="auto"/>
          <w:left w:val="single" w:sz="4" w:space="22" w:color="auto"/>
          <w:bottom w:val="single" w:sz="4" w:space="1" w:color="auto"/>
          <w:right w:val="single" w:sz="4" w:space="4" w:color="auto"/>
        </w:pBdr>
        <w:spacing w:after="0" w:line="240" w:lineRule="auto"/>
      </w:pPr>
      <w:r>
        <w:t xml:space="preserve">The plot will update to just the area selected. </w:t>
      </w:r>
    </w:p>
    <w:p w:rsidR="00571368" w:rsidRDefault="00571368" w:rsidP="009975EE">
      <w:pPr>
        <w:pStyle w:val="ListParagraph"/>
        <w:numPr>
          <w:ilvl w:val="0"/>
          <w:numId w:val="5"/>
        </w:numPr>
        <w:pBdr>
          <w:top w:val="single" w:sz="4" w:space="1" w:color="auto"/>
          <w:left w:val="single" w:sz="4" w:space="22" w:color="auto"/>
          <w:bottom w:val="single" w:sz="4" w:space="1" w:color="auto"/>
          <w:right w:val="single" w:sz="4" w:space="4" w:color="auto"/>
        </w:pBdr>
        <w:spacing w:after="0" w:line="240" w:lineRule="auto"/>
      </w:pPr>
      <w:r>
        <w:t xml:space="preserve">To zoom out to the original or full zoom double click in the plot without drawing a box first. </w:t>
      </w:r>
    </w:p>
    <w:p w:rsidR="00571368" w:rsidRDefault="00571368" w:rsidP="009975EE">
      <w:pPr>
        <w:pBdr>
          <w:top w:val="single" w:sz="4" w:space="1" w:color="auto"/>
          <w:left w:val="single" w:sz="4" w:space="4" w:color="auto"/>
          <w:bottom w:val="single" w:sz="4" w:space="1" w:color="auto"/>
          <w:right w:val="single" w:sz="4" w:space="4" w:color="auto"/>
        </w:pBdr>
      </w:pPr>
    </w:p>
    <w:p w:rsidR="00571368" w:rsidRDefault="002E46B3" w:rsidP="00571368">
      <w:r>
        <w:lastRenderedPageBreak/>
        <w:t>Start by selecting the Station you are interested in plotting</w:t>
      </w:r>
      <w:r w:rsidR="009975EE">
        <w:t>,</w:t>
      </w:r>
      <w:r>
        <w:t xml:space="preserve"> </w:t>
      </w:r>
      <w:r w:rsidR="009975EE">
        <w:t>t</w:t>
      </w:r>
      <w:r>
        <w:t xml:space="preserve">hen select the parameter you want to plot. </w:t>
      </w:r>
      <w:r w:rsidR="00571368">
        <w:t>Plotting options are described below for each parameter.</w:t>
      </w:r>
    </w:p>
    <w:p w:rsidR="00CC7C13" w:rsidRDefault="002E46B3" w:rsidP="00FE4FDF">
      <w:pPr>
        <w:pStyle w:val="Heading4"/>
      </w:pPr>
      <w:r w:rsidRPr="00FE4FDF">
        <w:t>Temperature:</w:t>
      </w:r>
      <w:r>
        <w:t xml:space="preserve">  </w:t>
      </w:r>
    </w:p>
    <w:p w:rsidR="002E46B3" w:rsidRDefault="002E46B3" w:rsidP="00CC7C13">
      <w:r>
        <w:t>Two drop downs are provided to specify the applicable water quality standard. The two drop downs are:</w:t>
      </w:r>
    </w:p>
    <w:p w:rsidR="002E46B3" w:rsidRDefault="002E46B3" w:rsidP="00CC7C13">
      <w:r>
        <w:rPr>
          <w:i/>
        </w:rPr>
        <w:t>Select applicable spawning time period</w:t>
      </w:r>
      <w:r>
        <w:t xml:space="preserve">: This drop down has the date range that you want to apply to specify when to apply the spawning criteria. </w:t>
      </w:r>
    </w:p>
    <w:p w:rsidR="002E46B3" w:rsidRDefault="002E46B3" w:rsidP="00CC7C13">
      <w:r>
        <w:rPr>
          <w:i/>
        </w:rPr>
        <w:t>Select applicable beneficial use</w:t>
      </w:r>
      <w:r>
        <w:t>: This drop down has the applicable beneficial use which determines the criteria to apply in the non-spawning time periods.</w:t>
      </w:r>
    </w:p>
    <w:p w:rsidR="002E46B3" w:rsidRDefault="002E46B3" w:rsidP="00CC7C13">
      <w:r>
        <w:t>Below the two drop downs is a link to the Water Quality Standards page which provides the maps for spawning and beneficial use designations.</w:t>
      </w:r>
    </w:p>
    <w:p w:rsidR="002E46B3" w:rsidRDefault="002E46B3" w:rsidP="002E46B3">
      <w:pPr>
        <w:spacing w:after="0" w:line="240" w:lineRule="auto"/>
      </w:pPr>
    </w:p>
    <w:p w:rsidR="00CC7C13" w:rsidRDefault="002E46B3" w:rsidP="00FE4FDF">
      <w:pPr>
        <w:spacing w:after="0" w:line="240" w:lineRule="auto"/>
      </w:pPr>
      <w:r>
        <w:rPr>
          <w:noProof/>
        </w:rPr>
        <w:drawing>
          <wp:inline distT="0" distB="0" distL="0" distR="0">
            <wp:extent cx="5972175" cy="3751271"/>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srcRect/>
                    <a:stretch>
                      <a:fillRect/>
                    </a:stretch>
                  </pic:blipFill>
                  <pic:spPr bwMode="auto">
                    <a:xfrm>
                      <a:off x="0" y="0"/>
                      <a:ext cx="5979876" cy="3756108"/>
                    </a:xfrm>
                    <a:prstGeom prst="rect">
                      <a:avLst/>
                    </a:prstGeom>
                    <a:noFill/>
                    <a:ln w="9525">
                      <a:noFill/>
                      <a:miter lim="800000"/>
                      <a:headEnd/>
                      <a:tailEnd/>
                    </a:ln>
                  </pic:spPr>
                </pic:pic>
              </a:graphicData>
            </a:graphic>
          </wp:inline>
        </w:drawing>
      </w:r>
    </w:p>
    <w:p w:rsidR="00FE4FDF" w:rsidRDefault="00FE4FDF" w:rsidP="00FE4FDF">
      <w:pPr>
        <w:spacing w:after="0" w:line="240" w:lineRule="auto"/>
      </w:pPr>
    </w:p>
    <w:p w:rsidR="00FE4FDF" w:rsidRDefault="00FE4FDF" w:rsidP="00FE4FDF">
      <w:pPr>
        <w:spacing w:after="0" w:line="240" w:lineRule="auto"/>
      </w:pPr>
    </w:p>
    <w:p w:rsidR="00FE4FDF" w:rsidRDefault="00FE4FDF" w:rsidP="00FE4FDF">
      <w:pPr>
        <w:spacing w:after="0" w:line="240" w:lineRule="auto"/>
      </w:pPr>
    </w:p>
    <w:p w:rsidR="00FE4FDF" w:rsidRDefault="00FE4FDF" w:rsidP="00FE4FDF">
      <w:pPr>
        <w:spacing w:after="0" w:line="240" w:lineRule="auto"/>
      </w:pPr>
    </w:p>
    <w:p w:rsidR="00FE4FDF" w:rsidRDefault="00FE4FDF" w:rsidP="00FE4FDF">
      <w:pPr>
        <w:spacing w:after="0" w:line="240" w:lineRule="auto"/>
      </w:pPr>
    </w:p>
    <w:p w:rsidR="00FE4FDF" w:rsidRDefault="00FE4FDF" w:rsidP="00FE4FDF">
      <w:pPr>
        <w:spacing w:after="0" w:line="240" w:lineRule="auto"/>
      </w:pPr>
    </w:p>
    <w:p w:rsidR="00FE4FDF" w:rsidRDefault="00FE4FDF" w:rsidP="00FE4FDF">
      <w:pPr>
        <w:spacing w:after="0" w:line="240" w:lineRule="auto"/>
      </w:pPr>
    </w:p>
    <w:p w:rsidR="00FE4FDF" w:rsidRDefault="00FE4FDF" w:rsidP="00FE4FDF">
      <w:pPr>
        <w:spacing w:after="0" w:line="240" w:lineRule="auto"/>
      </w:pPr>
    </w:p>
    <w:p w:rsidR="00FE4FDF" w:rsidRDefault="00FE4FDF" w:rsidP="00FE4FDF">
      <w:pPr>
        <w:spacing w:after="0" w:line="240" w:lineRule="auto"/>
      </w:pPr>
    </w:p>
    <w:p w:rsidR="00FE4FDF" w:rsidRDefault="00FE4FDF" w:rsidP="00FE4FDF">
      <w:pPr>
        <w:spacing w:after="0" w:line="240" w:lineRule="auto"/>
      </w:pPr>
    </w:p>
    <w:p w:rsidR="00FE4FDF" w:rsidRPr="00CC7C13" w:rsidRDefault="00FE4FDF" w:rsidP="00FE4FDF">
      <w:pPr>
        <w:spacing w:after="0" w:line="240" w:lineRule="auto"/>
      </w:pPr>
    </w:p>
    <w:p w:rsidR="00CC7C13" w:rsidRDefault="00CC7C13" w:rsidP="00CC7C13">
      <w:pPr>
        <w:pStyle w:val="Heading4"/>
      </w:pPr>
      <w:r>
        <w:t xml:space="preserve">E. Coli/Enterococcus: </w:t>
      </w:r>
    </w:p>
    <w:p w:rsidR="00F7037E" w:rsidRDefault="00CC7C13" w:rsidP="00CC7C13">
      <w:r>
        <w:t xml:space="preserve">Two check boxes are provided for bacteria plotting. </w:t>
      </w:r>
    </w:p>
    <w:p w:rsidR="00F7037E" w:rsidRDefault="00CC7C13" w:rsidP="00F7037E">
      <w:pPr>
        <w:pStyle w:val="ListParagraph"/>
        <w:numPr>
          <w:ilvl w:val="0"/>
          <w:numId w:val="6"/>
        </w:numPr>
      </w:pPr>
      <w:r>
        <w:t xml:space="preserve">The first is the option to re-plot the chart using a log scale for the y-axis. </w:t>
      </w:r>
    </w:p>
    <w:p w:rsidR="00F7037E" w:rsidRDefault="00CC7C13" w:rsidP="00F7037E">
      <w:pPr>
        <w:pStyle w:val="ListParagraph"/>
        <w:numPr>
          <w:ilvl w:val="0"/>
          <w:numId w:val="6"/>
        </w:numPr>
      </w:pPr>
      <w:r>
        <w:t xml:space="preserve">The second is the option to plot the Seasonal Kendall trend line. </w:t>
      </w:r>
    </w:p>
    <w:p w:rsidR="00CC7C13" w:rsidRDefault="00F7037E" w:rsidP="00F7037E">
      <w:r w:rsidRPr="00F7037E">
        <w:rPr>
          <w:b/>
        </w:rPr>
        <w:t>Note:</w:t>
      </w:r>
      <w:r>
        <w:t xml:space="preserve"> </w:t>
      </w:r>
      <w:r w:rsidR="00CC7C13">
        <w:t>It is important to note that even if a trend line will plot it does not mean the trend is statistically significant. Be sure to note the significance indicated in the sub-title of the plot.</w:t>
      </w:r>
      <w:r w:rsidR="009242D8">
        <w:t xml:space="preserve"> </w:t>
      </w:r>
      <w:r w:rsidR="006C68E5">
        <w:t xml:space="preserve">At least </w:t>
      </w:r>
      <w:r w:rsidR="00E34F36">
        <w:t>8</w:t>
      </w:r>
      <w:r w:rsidR="009975EE">
        <w:t xml:space="preserve"> </w:t>
      </w:r>
      <w:r w:rsidR="006C68E5">
        <w:t xml:space="preserve">years of data are needed to have a valid trend analysis. </w:t>
      </w:r>
      <w:r w:rsidR="009242D8">
        <w:t>Reviewing Kendall Trend data under Review Data</w:t>
      </w:r>
      <w:r w:rsidR="002165D5">
        <w:t xml:space="preserve"> tab</w:t>
      </w:r>
      <w:r w:rsidR="009242D8">
        <w:t>, prior to Plot Status and Trend, will identify if any trends are significant for monitoring locations. However, plot illustrates</w:t>
      </w:r>
      <w:r>
        <w:t xml:space="preserve"> if standard is exceeded regardless of</w:t>
      </w:r>
      <w:r w:rsidR="009242D8">
        <w:t xml:space="preserve"> trend</w:t>
      </w:r>
      <w:r w:rsidR="0012001D">
        <w:t xml:space="preserve"> and </w:t>
      </w:r>
      <w:r w:rsidR="00E34F36">
        <w:t>can be</w:t>
      </w:r>
      <w:r w:rsidR="0012001D">
        <w:t xml:space="preserve"> informative</w:t>
      </w:r>
      <w:r w:rsidR="006C68E5">
        <w:t xml:space="preserve"> as to status</w:t>
      </w:r>
      <w:r w:rsidR="0012001D">
        <w:t>.</w:t>
      </w:r>
    </w:p>
    <w:p w:rsidR="00CC7C13" w:rsidRDefault="00CC7C13" w:rsidP="00CC7C13">
      <w:r>
        <w:rPr>
          <w:noProof/>
        </w:rPr>
        <w:drawing>
          <wp:inline distT="0" distB="0" distL="0" distR="0">
            <wp:extent cx="6115050" cy="3652645"/>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srcRect/>
                    <a:stretch>
                      <a:fillRect/>
                    </a:stretch>
                  </pic:blipFill>
                  <pic:spPr bwMode="auto">
                    <a:xfrm>
                      <a:off x="0" y="0"/>
                      <a:ext cx="6111819" cy="3650715"/>
                    </a:xfrm>
                    <a:prstGeom prst="rect">
                      <a:avLst/>
                    </a:prstGeom>
                    <a:noFill/>
                    <a:ln w="9525">
                      <a:noFill/>
                      <a:miter lim="800000"/>
                      <a:headEnd/>
                      <a:tailEnd/>
                    </a:ln>
                  </pic:spPr>
                </pic:pic>
              </a:graphicData>
            </a:graphic>
          </wp:inline>
        </w:drawing>
      </w:r>
    </w:p>
    <w:p w:rsidR="00CC7C13" w:rsidRDefault="00CC7C13" w:rsidP="00CC7C13"/>
    <w:p w:rsidR="00CC7C13" w:rsidRDefault="00CC7C13" w:rsidP="00CC7C13"/>
    <w:p w:rsidR="00CC7C13" w:rsidRDefault="00CC7C13" w:rsidP="00CC7C13"/>
    <w:p w:rsidR="00CC7C13" w:rsidRDefault="00CC7C13" w:rsidP="00CC7C13"/>
    <w:p w:rsidR="00CC7C13" w:rsidRDefault="00CC7C13" w:rsidP="00CC7C13"/>
    <w:p w:rsidR="00CC7C13" w:rsidRDefault="00CC7C13" w:rsidP="00CC7C13"/>
    <w:p w:rsidR="00CC7C13" w:rsidRDefault="00CC7C13" w:rsidP="00CC7C13"/>
    <w:p w:rsidR="00CC7C13" w:rsidRDefault="00CC7C13" w:rsidP="00CC7C13">
      <w:pPr>
        <w:pStyle w:val="Heading4"/>
      </w:pPr>
      <w:proofErr w:type="gramStart"/>
      <w:r>
        <w:t>pH</w:t>
      </w:r>
      <w:proofErr w:type="gramEnd"/>
      <w:r>
        <w:t>:</w:t>
      </w:r>
    </w:p>
    <w:p w:rsidR="00F7037E" w:rsidRDefault="00CC7C13" w:rsidP="00CC7C13">
      <w:r>
        <w:t xml:space="preserve">There are two options for plotting pH. </w:t>
      </w:r>
    </w:p>
    <w:p w:rsidR="00F7037E" w:rsidRDefault="00CC7C13" w:rsidP="00F7037E">
      <w:pPr>
        <w:pStyle w:val="ListParagraph"/>
        <w:numPr>
          <w:ilvl w:val="0"/>
          <w:numId w:val="7"/>
        </w:numPr>
      </w:pPr>
      <w:r>
        <w:t>The first is</w:t>
      </w:r>
      <w:r w:rsidRPr="00CC7C13">
        <w:t xml:space="preserve"> </w:t>
      </w:r>
      <w:r>
        <w:t xml:space="preserve">the option to plot the Seasonal Kendall trend line. </w:t>
      </w:r>
    </w:p>
    <w:p w:rsidR="00F7037E" w:rsidRDefault="00F7037E" w:rsidP="00F7037E">
      <w:pPr>
        <w:pStyle w:val="ListParagraph"/>
        <w:numPr>
          <w:ilvl w:val="0"/>
          <w:numId w:val="7"/>
        </w:numPr>
      </w:pPr>
      <w:r>
        <w:t>The second is to specify the applicable OWRD Basin specific pH criteria. Use this if your selected location is in one of the unique locations that has a separate standard from the rest of the basin (examples include Columbia or Snake River main-stem or Cascade Lakes &gt; 3,000ft)</w:t>
      </w:r>
    </w:p>
    <w:p w:rsidR="00CC7C13" w:rsidRDefault="00F7037E" w:rsidP="00F7037E">
      <w:r w:rsidRPr="00F7037E">
        <w:rPr>
          <w:b/>
        </w:rPr>
        <w:t>Note:</w:t>
      </w:r>
      <w:r>
        <w:t xml:space="preserve"> </w:t>
      </w:r>
      <w:r w:rsidR="00CC7C13">
        <w:t xml:space="preserve">It is important to note that even if a trend line will plot it does not mean the trend is statistically significant. </w:t>
      </w:r>
      <w:r w:rsidR="009975EE">
        <w:t xml:space="preserve">At least 8 </w:t>
      </w:r>
      <w:r>
        <w:t xml:space="preserve">years of data are needed to have a valid trend analysis. Reviewing Kendall Trend data under Review Data tab, prior to Plot Status and Trend, will identify if any trends are significant for monitoring locations. However, plot illustrates if standard is exceeded regardless of trend and can be informative as to status. </w:t>
      </w:r>
      <w:r w:rsidR="00CC7C13">
        <w:t xml:space="preserve">Be sure to note the significance indicated in the sub-title of the plot. </w:t>
      </w:r>
    </w:p>
    <w:p w:rsidR="00CC7C13" w:rsidRDefault="00CC7C13" w:rsidP="00CC7C13">
      <w:r>
        <w:rPr>
          <w:noProof/>
        </w:rPr>
        <w:drawing>
          <wp:inline distT="0" distB="0" distL="0" distR="0">
            <wp:extent cx="5943600" cy="4544257"/>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cstate="print"/>
                    <a:srcRect/>
                    <a:stretch>
                      <a:fillRect/>
                    </a:stretch>
                  </pic:blipFill>
                  <pic:spPr bwMode="auto">
                    <a:xfrm>
                      <a:off x="0" y="0"/>
                      <a:ext cx="5943600" cy="4544257"/>
                    </a:xfrm>
                    <a:prstGeom prst="rect">
                      <a:avLst/>
                    </a:prstGeom>
                    <a:noFill/>
                    <a:ln w="9525">
                      <a:noFill/>
                      <a:miter lim="800000"/>
                      <a:headEnd/>
                      <a:tailEnd/>
                    </a:ln>
                  </pic:spPr>
                </pic:pic>
              </a:graphicData>
            </a:graphic>
          </wp:inline>
        </w:drawing>
      </w:r>
    </w:p>
    <w:sectPr w:rsidR="00CC7C13" w:rsidSect="009F03A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FD644D"/>
    <w:multiLevelType w:val="hybridMultilevel"/>
    <w:tmpl w:val="2FE84D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EB5621"/>
    <w:multiLevelType w:val="hybridMultilevel"/>
    <w:tmpl w:val="FF90F4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4021981"/>
    <w:multiLevelType w:val="hybridMultilevel"/>
    <w:tmpl w:val="6CB85D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89234BF"/>
    <w:multiLevelType w:val="hybridMultilevel"/>
    <w:tmpl w:val="F614E2E8"/>
    <w:lvl w:ilvl="0" w:tplc="94924D96">
      <w:start w:val="10"/>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680C53D5"/>
    <w:multiLevelType w:val="hybridMultilevel"/>
    <w:tmpl w:val="C8B43D0E"/>
    <w:lvl w:ilvl="0" w:tplc="0409000F">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9286A49"/>
    <w:multiLevelType w:val="hybridMultilevel"/>
    <w:tmpl w:val="4E7077C2"/>
    <w:lvl w:ilvl="0" w:tplc="B2B8BF74">
      <w:start w:val="8"/>
      <w:numFmt w:val="decimal"/>
      <w:lvlText w:val="%1."/>
      <w:lvlJc w:val="left"/>
      <w:pPr>
        <w:ind w:left="720" w:hanging="36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49E26E4"/>
    <w:multiLevelType w:val="hybridMultilevel"/>
    <w:tmpl w:val="FAE48EEC"/>
    <w:lvl w:ilvl="0" w:tplc="8926F992">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4"/>
  </w:num>
  <w:num w:numId="3">
    <w:abstractNumId w:val="5"/>
  </w:num>
  <w:num w:numId="4">
    <w:abstractNumId w:val="3"/>
  </w:num>
  <w:num w:numId="5">
    <w:abstractNumId w:val="0"/>
  </w:num>
  <w:num w:numId="6">
    <w:abstractNumId w:val="1"/>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74"/>
  <w:proofState w:spelling="clean" w:grammar="clean"/>
  <w:defaultTabStop w:val="720"/>
  <w:characterSpacingControl w:val="doNotCompress"/>
  <w:compat/>
  <w:rsids>
    <w:rsidRoot w:val="00950239"/>
    <w:rsid w:val="000001D7"/>
    <w:rsid w:val="00033EA8"/>
    <w:rsid w:val="0003698B"/>
    <w:rsid w:val="00036A9B"/>
    <w:rsid w:val="00037356"/>
    <w:rsid w:val="000521EA"/>
    <w:rsid w:val="000733D4"/>
    <w:rsid w:val="00076D37"/>
    <w:rsid w:val="0012001D"/>
    <w:rsid w:val="001202CE"/>
    <w:rsid w:val="00135DD3"/>
    <w:rsid w:val="00144FD4"/>
    <w:rsid w:val="001A4A75"/>
    <w:rsid w:val="001B4D24"/>
    <w:rsid w:val="001D0A2D"/>
    <w:rsid w:val="0020159D"/>
    <w:rsid w:val="002165D5"/>
    <w:rsid w:val="00280BF5"/>
    <w:rsid w:val="00295419"/>
    <w:rsid w:val="002C4E34"/>
    <w:rsid w:val="002D4D00"/>
    <w:rsid w:val="002D733C"/>
    <w:rsid w:val="002E46B3"/>
    <w:rsid w:val="00345073"/>
    <w:rsid w:val="00385047"/>
    <w:rsid w:val="003A0338"/>
    <w:rsid w:val="003B2CA4"/>
    <w:rsid w:val="003D1692"/>
    <w:rsid w:val="003F7ADB"/>
    <w:rsid w:val="00424FEA"/>
    <w:rsid w:val="004256CA"/>
    <w:rsid w:val="004416C5"/>
    <w:rsid w:val="004478ED"/>
    <w:rsid w:val="0045527A"/>
    <w:rsid w:val="00470D3D"/>
    <w:rsid w:val="00470EE2"/>
    <w:rsid w:val="00497950"/>
    <w:rsid w:val="004F4F36"/>
    <w:rsid w:val="00571368"/>
    <w:rsid w:val="0057367E"/>
    <w:rsid w:val="005820E5"/>
    <w:rsid w:val="005D5B53"/>
    <w:rsid w:val="005D7E02"/>
    <w:rsid w:val="005E25D3"/>
    <w:rsid w:val="00602FDF"/>
    <w:rsid w:val="006079E8"/>
    <w:rsid w:val="00662D36"/>
    <w:rsid w:val="00665F7B"/>
    <w:rsid w:val="00683744"/>
    <w:rsid w:val="006A5525"/>
    <w:rsid w:val="006B0428"/>
    <w:rsid w:val="006C68E5"/>
    <w:rsid w:val="006E6976"/>
    <w:rsid w:val="00704E28"/>
    <w:rsid w:val="007971F6"/>
    <w:rsid w:val="007C2706"/>
    <w:rsid w:val="007D27C2"/>
    <w:rsid w:val="007D428A"/>
    <w:rsid w:val="007E78CF"/>
    <w:rsid w:val="00825AC1"/>
    <w:rsid w:val="008418EB"/>
    <w:rsid w:val="00856261"/>
    <w:rsid w:val="008C3FBB"/>
    <w:rsid w:val="008D5D1C"/>
    <w:rsid w:val="008F7447"/>
    <w:rsid w:val="00912197"/>
    <w:rsid w:val="00915ED8"/>
    <w:rsid w:val="009242D8"/>
    <w:rsid w:val="00936FCB"/>
    <w:rsid w:val="00946D18"/>
    <w:rsid w:val="00950239"/>
    <w:rsid w:val="009515EF"/>
    <w:rsid w:val="009975EE"/>
    <w:rsid w:val="009F03AA"/>
    <w:rsid w:val="009F35EC"/>
    <w:rsid w:val="009F3F1B"/>
    <w:rsid w:val="00AC7304"/>
    <w:rsid w:val="00B0103D"/>
    <w:rsid w:val="00B20537"/>
    <w:rsid w:val="00BC5C1B"/>
    <w:rsid w:val="00BD0B4A"/>
    <w:rsid w:val="00BF3548"/>
    <w:rsid w:val="00C84DE9"/>
    <w:rsid w:val="00C85494"/>
    <w:rsid w:val="00C924CE"/>
    <w:rsid w:val="00C92632"/>
    <w:rsid w:val="00CA5AF9"/>
    <w:rsid w:val="00CC7C13"/>
    <w:rsid w:val="00CD10C1"/>
    <w:rsid w:val="00CD278D"/>
    <w:rsid w:val="00CE3805"/>
    <w:rsid w:val="00D56023"/>
    <w:rsid w:val="00D72DCA"/>
    <w:rsid w:val="00D907AB"/>
    <w:rsid w:val="00DB55A4"/>
    <w:rsid w:val="00DC3681"/>
    <w:rsid w:val="00DE2C5F"/>
    <w:rsid w:val="00DF1247"/>
    <w:rsid w:val="00DF2788"/>
    <w:rsid w:val="00E34F36"/>
    <w:rsid w:val="00E60675"/>
    <w:rsid w:val="00E611FA"/>
    <w:rsid w:val="00E7028E"/>
    <w:rsid w:val="00E842F8"/>
    <w:rsid w:val="00E87149"/>
    <w:rsid w:val="00EA4216"/>
    <w:rsid w:val="00EA4999"/>
    <w:rsid w:val="00F2230E"/>
    <w:rsid w:val="00F67F17"/>
    <w:rsid w:val="00F7037E"/>
    <w:rsid w:val="00F96BF6"/>
    <w:rsid w:val="00FB0380"/>
    <w:rsid w:val="00FE4FDF"/>
    <w:rsid w:val="00FE6933"/>
    <w:rsid w:val="00FF380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4">
      <o:colormenu v:ext="edit" fillcolor="none"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03AA"/>
  </w:style>
  <w:style w:type="paragraph" w:styleId="Heading1">
    <w:name w:val="heading 1"/>
    <w:basedOn w:val="Normal"/>
    <w:next w:val="Normal"/>
    <w:link w:val="Heading1Char"/>
    <w:uiPriority w:val="9"/>
    <w:qFormat/>
    <w:rsid w:val="009502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44FD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D5B5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E46B3"/>
    <w:pPr>
      <w:keepNext/>
      <w:keepLines/>
      <w:spacing w:before="200" w:after="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0239"/>
    <w:rPr>
      <w:rFonts w:asciiTheme="majorHAnsi" w:eastAsiaTheme="majorEastAsia" w:hAnsiTheme="majorHAnsi" w:cstheme="majorBidi"/>
      <w:b/>
      <w:bCs/>
      <w:color w:val="365F91" w:themeColor="accent1" w:themeShade="BF"/>
      <w:sz w:val="28"/>
      <w:szCs w:val="28"/>
    </w:rPr>
  </w:style>
  <w:style w:type="paragraph" w:styleId="DocumentMap">
    <w:name w:val="Document Map"/>
    <w:basedOn w:val="Normal"/>
    <w:link w:val="DocumentMapChar"/>
    <w:uiPriority w:val="99"/>
    <w:semiHidden/>
    <w:unhideWhenUsed/>
    <w:rsid w:val="00950239"/>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950239"/>
    <w:rPr>
      <w:rFonts w:ascii="Tahoma" w:hAnsi="Tahoma" w:cs="Tahoma"/>
      <w:sz w:val="16"/>
      <w:szCs w:val="16"/>
    </w:rPr>
  </w:style>
  <w:style w:type="character" w:customStyle="1" w:styleId="Heading2Char">
    <w:name w:val="Heading 2 Char"/>
    <w:basedOn w:val="DefaultParagraphFont"/>
    <w:link w:val="Heading2"/>
    <w:uiPriority w:val="9"/>
    <w:rsid w:val="00144FD4"/>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144F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4FD4"/>
    <w:rPr>
      <w:rFonts w:ascii="Tahoma" w:hAnsi="Tahoma" w:cs="Tahoma"/>
      <w:sz w:val="16"/>
      <w:szCs w:val="16"/>
    </w:rPr>
  </w:style>
  <w:style w:type="paragraph" w:styleId="ListParagraph">
    <w:name w:val="List Paragraph"/>
    <w:basedOn w:val="Normal"/>
    <w:uiPriority w:val="34"/>
    <w:qFormat/>
    <w:rsid w:val="00144FD4"/>
    <w:pPr>
      <w:ind w:left="720"/>
      <w:contextualSpacing/>
    </w:pPr>
  </w:style>
  <w:style w:type="paragraph" w:styleId="Title">
    <w:name w:val="Title"/>
    <w:basedOn w:val="Normal"/>
    <w:next w:val="Normal"/>
    <w:link w:val="TitleChar"/>
    <w:uiPriority w:val="10"/>
    <w:qFormat/>
    <w:rsid w:val="00144FD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32"/>
      <w:szCs w:val="52"/>
    </w:rPr>
  </w:style>
  <w:style w:type="character" w:customStyle="1" w:styleId="TitleChar">
    <w:name w:val="Title Char"/>
    <w:basedOn w:val="DefaultParagraphFont"/>
    <w:link w:val="Title"/>
    <w:uiPriority w:val="10"/>
    <w:rsid w:val="00144FD4"/>
    <w:rPr>
      <w:rFonts w:asciiTheme="majorHAnsi" w:eastAsiaTheme="majorEastAsia" w:hAnsiTheme="majorHAnsi" w:cstheme="majorBidi"/>
      <w:color w:val="17365D" w:themeColor="text2" w:themeShade="BF"/>
      <w:spacing w:val="5"/>
      <w:kern w:val="28"/>
      <w:sz w:val="32"/>
      <w:szCs w:val="52"/>
    </w:rPr>
  </w:style>
  <w:style w:type="character" w:customStyle="1" w:styleId="Heading3Char">
    <w:name w:val="Heading 3 Char"/>
    <w:basedOn w:val="DefaultParagraphFont"/>
    <w:link w:val="Heading3"/>
    <w:uiPriority w:val="9"/>
    <w:rsid w:val="005D5B53"/>
    <w:rPr>
      <w:rFonts w:asciiTheme="majorHAnsi" w:eastAsiaTheme="majorEastAsia" w:hAnsiTheme="majorHAnsi" w:cstheme="majorBidi"/>
      <w:b/>
      <w:bCs/>
      <w:color w:val="4F81BD" w:themeColor="accent1"/>
    </w:rPr>
  </w:style>
  <w:style w:type="table" w:styleId="TableGrid">
    <w:name w:val="Table Grid"/>
    <w:basedOn w:val="TableNormal"/>
    <w:uiPriority w:val="59"/>
    <w:rsid w:val="00825AC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8F7447"/>
    <w:rPr>
      <w:color w:val="0000FF" w:themeColor="hyperlink"/>
      <w:u w:val="single"/>
    </w:rPr>
  </w:style>
  <w:style w:type="character" w:customStyle="1" w:styleId="Heading4Char">
    <w:name w:val="Heading 4 Char"/>
    <w:basedOn w:val="DefaultParagraphFont"/>
    <w:link w:val="Heading4"/>
    <w:uiPriority w:val="9"/>
    <w:rsid w:val="002E46B3"/>
    <w:rPr>
      <w:rFonts w:eastAsiaTheme="majorEastAsia" w:cstheme="majorBidi"/>
      <w:b/>
      <w:bCs/>
      <w:iCs/>
    </w:rPr>
  </w:style>
  <w:style w:type="character" w:styleId="CommentReference">
    <w:name w:val="annotation reference"/>
    <w:basedOn w:val="DefaultParagraphFont"/>
    <w:uiPriority w:val="99"/>
    <w:semiHidden/>
    <w:unhideWhenUsed/>
    <w:rsid w:val="00CD10C1"/>
    <w:rPr>
      <w:sz w:val="16"/>
      <w:szCs w:val="16"/>
    </w:rPr>
  </w:style>
  <w:style w:type="paragraph" w:styleId="CommentText">
    <w:name w:val="annotation text"/>
    <w:basedOn w:val="Normal"/>
    <w:link w:val="CommentTextChar"/>
    <w:uiPriority w:val="99"/>
    <w:semiHidden/>
    <w:unhideWhenUsed/>
    <w:rsid w:val="00CD10C1"/>
    <w:pPr>
      <w:spacing w:line="240" w:lineRule="auto"/>
    </w:pPr>
    <w:rPr>
      <w:sz w:val="20"/>
      <w:szCs w:val="20"/>
    </w:rPr>
  </w:style>
  <w:style w:type="character" w:customStyle="1" w:styleId="CommentTextChar">
    <w:name w:val="Comment Text Char"/>
    <w:basedOn w:val="DefaultParagraphFont"/>
    <w:link w:val="CommentText"/>
    <w:uiPriority w:val="99"/>
    <w:semiHidden/>
    <w:rsid w:val="00CD10C1"/>
    <w:rPr>
      <w:sz w:val="20"/>
      <w:szCs w:val="20"/>
    </w:rPr>
  </w:style>
  <w:style w:type="paragraph" w:styleId="CommentSubject">
    <w:name w:val="annotation subject"/>
    <w:basedOn w:val="CommentText"/>
    <w:next w:val="CommentText"/>
    <w:link w:val="CommentSubjectChar"/>
    <w:uiPriority w:val="99"/>
    <w:semiHidden/>
    <w:unhideWhenUsed/>
    <w:rsid w:val="00CD10C1"/>
    <w:rPr>
      <w:b/>
      <w:bCs/>
    </w:rPr>
  </w:style>
  <w:style w:type="character" w:customStyle="1" w:styleId="CommentSubjectChar">
    <w:name w:val="Comment Subject Char"/>
    <w:basedOn w:val="CommentTextChar"/>
    <w:link w:val="CommentSubject"/>
    <w:uiPriority w:val="99"/>
    <w:semiHidden/>
    <w:rsid w:val="00CD10C1"/>
    <w:rPr>
      <w:b/>
      <w:bCs/>
    </w:rPr>
  </w:style>
  <w:style w:type="character" w:styleId="FollowedHyperlink">
    <w:name w:val="FollowedHyperlink"/>
    <w:basedOn w:val="DefaultParagraphFont"/>
    <w:uiPriority w:val="99"/>
    <w:semiHidden/>
    <w:unhideWhenUsed/>
    <w:rsid w:val="00AC7304"/>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deq.state.or.us/wq/assessment/assessment.ht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8</Pages>
  <Words>1546</Words>
  <Characters>8816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State of Oregon Department of Environmental Quality</Company>
  <LinksUpToDate>false</LinksUpToDate>
  <CharactersWithSpaces>10342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pbryant</dc:creator>
  <cp:lastModifiedBy>pbryant</cp:lastModifiedBy>
  <cp:revision>3</cp:revision>
  <cp:lastPrinted>2016-05-20T20:45:00Z</cp:lastPrinted>
  <dcterms:created xsi:type="dcterms:W3CDTF">2016-06-24T21:35:00Z</dcterms:created>
  <dcterms:modified xsi:type="dcterms:W3CDTF">2016-08-25T17:43:00Z</dcterms:modified>
</cp:coreProperties>
</file>