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5C3B" w14:textId="7D784965" w:rsidR="00A139BA" w:rsidRPr="009404A5" w:rsidRDefault="006F4DB7" w:rsidP="009404A5">
      <w:pPr>
        <w:pStyle w:val="Title"/>
        <w:rPr>
          <w:lang w:val="en-US"/>
        </w:rPr>
      </w:pPr>
      <w:r w:rsidRPr="006A158F">
        <w:rPr>
          <w:lang w:val="en-US"/>
        </w:rPr>
        <w:t>Data organization</w:t>
      </w:r>
    </w:p>
    <w:p w14:paraId="7A424598" w14:textId="6D18CFD8" w:rsidR="00083AAC" w:rsidRPr="00083AAC" w:rsidRDefault="00083AAC" w:rsidP="006F4DB7">
      <w:pPr>
        <w:rPr>
          <w:b/>
          <w:i/>
          <w:lang w:val="en-US"/>
        </w:rPr>
      </w:pPr>
      <w:r w:rsidRPr="00083AAC">
        <w:rPr>
          <w:b/>
          <w:i/>
          <w:lang w:val="en-US"/>
        </w:rPr>
        <w:t>LAST UPDATE 14-03-2019</w:t>
      </w:r>
      <w:r>
        <w:rPr>
          <w:b/>
          <w:i/>
          <w:lang w:val="en-US"/>
        </w:rPr>
        <w:t xml:space="preserve"> BY RAPP</w:t>
      </w:r>
    </w:p>
    <w:p w14:paraId="5C30E184" w14:textId="197A88D2" w:rsidR="006F4DB7" w:rsidRPr="006A158F" w:rsidRDefault="006F4DB7" w:rsidP="006F4DB7">
      <w:pPr>
        <w:rPr>
          <w:lang w:val="en-US"/>
        </w:rPr>
      </w:pPr>
      <w:r w:rsidRPr="006A158F">
        <w:rPr>
          <w:lang w:val="en-US"/>
        </w:rPr>
        <w:t>The present document summarizes the organization of the data for the WHAT-IF model</w:t>
      </w:r>
      <w:r w:rsidR="00501E3B" w:rsidRPr="006A158F">
        <w:rPr>
          <w:lang w:val="en-US"/>
        </w:rPr>
        <w:t xml:space="preserve"> and the HESS publication "WHAT-IF: an open-source decision support tool for</w:t>
      </w:r>
      <w:r w:rsidR="00FB1F07">
        <w:rPr>
          <w:lang w:val="en-US"/>
        </w:rPr>
        <w:t xml:space="preserve"> water</w:t>
      </w:r>
      <w:r w:rsidR="00501E3B" w:rsidRPr="006A158F">
        <w:rPr>
          <w:lang w:val="en-US"/>
        </w:rPr>
        <w:t xml:space="preserve"> infrastructure investment planning within the Water-Energy-Food-Climate Nexus"</w:t>
      </w:r>
      <w:r w:rsidRPr="006A158F">
        <w:rPr>
          <w:lang w:val="en-US"/>
        </w:rPr>
        <w:t>, it is a complement to the excel files. The data is divided into 5 excel files:</w:t>
      </w:r>
    </w:p>
    <w:p w14:paraId="5A486A2E" w14:textId="77777777" w:rsidR="006F4DB7" w:rsidRPr="006A158F" w:rsidRDefault="006F4DB7" w:rsidP="006F4DB7">
      <w:pPr>
        <w:pStyle w:val="ListParagraph"/>
        <w:numPr>
          <w:ilvl w:val="0"/>
          <w:numId w:val="1"/>
        </w:numPr>
        <w:rPr>
          <w:lang w:val="en-US"/>
        </w:rPr>
      </w:pPr>
      <w:proofErr w:type="spellStart"/>
      <w:r w:rsidRPr="006A158F">
        <w:rPr>
          <w:lang w:val="en-US"/>
        </w:rPr>
        <w:t>MainFile</w:t>
      </w:r>
      <w:proofErr w:type="spellEnd"/>
      <w:r w:rsidRPr="006A158F">
        <w:rPr>
          <w:lang w:val="en-US"/>
        </w:rPr>
        <w:t>: Is the configuration file, specifying the time steps, options and scenarios that are used by the model.</w:t>
      </w:r>
    </w:p>
    <w:p w14:paraId="271E4FC3" w14:textId="77777777" w:rsidR="006F4DB7" w:rsidRPr="006A158F" w:rsidRDefault="006F4DB7" w:rsidP="006F4DB7">
      <w:pPr>
        <w:pStyle w:val="ListParagraph"/>
        <w:numPr>
          <w:ilvl w:val="0"/>
          <w:numId w:val="1"/>
        </w:numPr>
        <w:rPr>
          <w:lang w:val="en-US"/>
        </w:rPr>
      </w:pPr>
      <w:proofErr w:type="spellStart"/>
      <w:r w:rsidRPr="006A158F">
        <w:rPr>
          <w:lang w:val="en-US"/>
        </w:rPr>
        <w:t>WaterModule</w:t>
      </w:r>
      <w:proofErr w:type="spellEnd"/>
      <w:r w:rsidRPr="006A158F">
        <w:rPr>
          <w:lang w:val="en-US"/>
        </w:rPr>
        <w:t xml:space="preserve">: Data supporting the Water module, including the hydrology (runoff, </w:t>
      </w:r>
      <w:proofErr w:type="spellStart"/>
      <w:r w:rsidRPr="006A158F">
        <w:rPr>
          <w:lang w:val="en-US"/>
        </w:rPr>
        <w:t>evapo</w:t>
      </w:r>
      <w:proofErr w:type="spellEnd"/>
      <w:r w:rsidRPr="006A158F">
        <w:rPr>
          <w:lang w:val="en-US"/>
        </w:rPr>
        <w:t>-transpiration, precipitation, groundwater recharge, catchments …), the reservoirs and the environmental requirements</w:t>
      </w:r>
    </w:p>
    <w:p w14:paraId="50E6B8A4" w14:textId="77777777" w:rsidR="006F4DB7" w:rsidRPr="006A158F" w:rsidRDefault="006F4DB7" w:rsidP="006F4DB7">
      <w:pPr>
        <w:pStyle w:val="ListParagraph"/>
        <w:numPr>
          <w:ilvl w:val="0"/>
          <w:numId w:val="1"/>
        </w:numPr>
        <w:rPr>
          <w:lang w:val="en-US"/>
        </w:rPr>
      </w:pPr>
      <w:proofErr w:type="spellStart"/>
      <w:r w:rsidRPr="006A158F">
        <w:rPr>
          <w:lang w:val="en-US"/>
        </w:rPr>
        <w:t>AgricultureModule</w:t>
      </w:r>
      <w:proofErr w:type="spellEnd"/>
      <w:r w:rsidRPr="006A158F">
        <w:rPr>
          <w:lang w:val="en-US"/>
        </w:rPr>
        <w:t>: Data supporting the Agriculture module, including farming zones, farm types, crops and cultures characteristics.</w:t>
      </w:r>
    </w:p>
    <w:p w14:paraId="3E464C63" w14:textId="77777777" w:rsidR="006F4DB7" w:rsidRPr="006A158F" w:rsidRDefault="006F4DB7" w:rsidP="006F4DB7">
      <w:pPr>
        <w:pStyle w:val="ListParagraph"/>
        <w:numPr>
          <w:ilvl w:val="0"/>
          <w:numId w:val="1"/>
        </w:numPr>
        <w:rPr>
          <w:lang w:val="en-US"/>
        </w:rPr>
      </w:pPr>
      <w:proofErr w:type="spellStart"/>
      <w:r w:rsidRPr="006A158F">
        <w:rPr>
          <w:lang w:val="en-US"/>
        </w:rPr>
        <w:t>CropMarketModule</w:t>
      </w:r>
      <w:proofErr w:type="spellEnd"/>
      <w:r w:rsidRPr="006A158F">
        <w:rPr>
          <w:lang w:val="en-US"/>
        </w:rPr>
        <w:t>: Data supporting the crop market module, including crop markets, demands, value of crops, transport routes and food security constraints.</w:t>
      </w:r>
    </w:p>
    <w:p w14:paraId="29ED3F84" w14:textId="77777777" w:rsidR="00396091" w:rsidRPr="006A158F" w:rsidRDefault="006F4DB7" w:rsidP="00396091">
      <w:pPr>
        <w:pStyle w:val="ListParagraph"/>
        <w:numPr>
          <w:ilvl w:val="0"/>
          <w:numId w:val="1"/>
        </w:numPr>
        <w:rPr>
          <w:lang w:val="en-US"/>
        </w:rPr>
      </w:pPr>
      <w:proofErr w:type="spellStart"/>
      <w:r w:rsidRPr="006A158F">
        <w:rPr>
          <w:lang w:val="en-US"/>
        </w:rPr>
        <w:t>EnergyModule</w:t>
      </w:r>
      <w:proofErr w:type="spellEnd"/>
      <w:r w:rsidRPr="006A158F">
        <w:rPr>
          <w:lang w:val="en-US"/>
        </w:rPr>
        <w:t xml:space="preserve">: Data supporting the energy production and energy markets modules, including hydropower plants, other power plants, power technologies, </w:t>
      </w:r>
      <w:r w:rsidR="00396091" w:rsidRPr="006A158F">
        <w:rPr>
          <w:lang w:val="en-US"/>
        </w:rPr>
        <w:t xml:space="preserve">fuels, </w:t>
      </w:r>
      <w:r w:rsidRPr="006A158F">
        <w:rPr>
          <w:lang w:val="en-US"/>
        </w:rPr>
        <w:t>energy markets, demands,</w:t>
      </w:r>
      <w:r w:rsidR="00396091" w:rsidRPr="006A158F">
        <w:rPr>
          <w:lang w:val="en-US"/>
        </w:rPr>
        <w:t xml:space="preserve"> value of energy and</w:t>
      </w:r>
      <w:r w:rsidRPr="006A158F">
        <w:rPr>
          <w:lang w:val="en-US"/>
        </w:rPr>
        <w:t xml:space="preserve"> transmission lines</w:t>
      </w:r>
      <w:r w:rsidR="00396091" w:rsidRPr="006A158F">
        <w:rPr>
          <w:lang w:val="en-US"/>
        </w:rPr>
        <w:t>.</w:t>
      </w:r>
    </w:p>
    <w:p w14:paraId="2835DF1C" w14:textId="2ADCB7AC" w:rsidR="003353BC" w:rsidRPr="003353BC" w:rsidRDefault="00396091" w:rsidP="003353BC">
      <w:pPr>
        <w:rPr>
          <w:lang w:val="en-US"/>
        </w:rPr>
      </w:pPr>
      <w:r w:rsidRPr="006A158F">
        <w:rPr>
          <w:lang w:val="en-US"/>
        </w:rPr>
        <w:t xml:space="preserve">The following sections detail all the parameters in the model, as presented in the </w:t>
      </w:r>
      <w:r w:rsidR="001D6B5F" w:rsidRPr="006A158F">
        <w:rPr>
          <w:lang w:val="en-US"/>
        </w:rPr>
        <w:t xml:space="preserve">HESS </w:t>
      </w:r>
      <w:r w:rsidRPr="006A158F">
        <w:rPr>
          <w:lang w:val="en-US"/>
        </w:rPr>
        <w:t>publication.</w:t>
      </w:r>
    </w:p>
    <w:p w14:paraId="536575D7" w14:textId="77777777" w:rsidR="003353BC" w:rsidRDefault="003353BC">
      <w:pPr>
        <w:rPr>
          <w:rFonts w:asciiTheme="majorHAnsi" w:eastAsiaTheme="majorEastAsia" w:hAnsiTheme="majorHAnsi" w:cstheme="majorBidi"/>
          <w:color w:val="2F5496" w:themeColor="accent1" w:themeShade="BF"/>
          <w:sz w:val="32"/>
          <w:szCs w:val="32"/>
          <w:lang w:val="en-US"/>
        </w:rPr>
      </w:pPr>
      <w:r>
        <w:rPr>
          <w:lang w:val="en-US"/>
        </w:rPr>
        <w:br w:type="page"/>
      </w:r>
    </w:p>
    <w:p w14:paraId="17FE5F71" w14:textId="070484C0" w:rsidR="006A158F" w:rsidRPr="006A158F" w:rsidRDefault="0028668F" w:rsidP="003353BC">
      <w:pPr>
        <w:pStyle w:val="Heading1"/>
        <w:rPr>
          <w:lang w:val="en-US"/>
        </w:rPr>
      </w:pPr>
      <w:r w:rsidRPr="006A158F">
        <w:rPr>
          <w:lang w:val="en-US"/>
        </w:rPr>
        <w:lastRenderedPageBreak/>
        <w:t>Water module</w:t>
      </w:r>
    </w:p>
    <w:p w14:paraId="59614743" w14:textId="43522F51" w:rsidR="006A158F" w:rsidRPr="006A158F" w:rsidRDefault="006A158F" w:rsidP="006A158F">
      <w:pPr>
        <w:pStyle w:val="Caption"/>
        <w:keepNext/>
        <w:rPr>
          <w:lang w:val="en-US"/>
        </w:rPr>
      </w:pPr>
      <w:r w:rsidRPr="006A158F">
        <w:rPr>
          <w:lang w:val="en-US"/>
        </w:rPr>
        <w:t xml:space="preserve">Table </w:t>
      </w:r>
      <w:r w:rsidRPr="006A158F">
        <w:rPr>
          <w:lang w:val="en-US"/>
        </w:rPr>
        <w:fldChar w:fldCharType="begin"/>
      </w:r>
      <w:r w:rsidRPr="006A158F">
        <w:rPr>
          <w:lang w:val="en-US"/>
        </w:rPr>
        <w:instrText xml:space="preserve"> SEQ Table \* ARABIC </w:instrText>
      </w:r>
      <w:r w:rsidRPr="006A158F">
        <w:rPr>
          <w:lang w:val="en-US"/>
        </w:rPr>
        <w:fldChar w:fldCharType="separate"/>
      </w:r>
      <w:r w:rsidR="00C866A3">
        <w:rPr>
          <w:noProof/>
          <w:lang w:val="en-US"/>
        </w:rPr>
        <w:t>1</w:t>
      </w:r>
      <w:r w:rsidRPr="006A158F">
        <w:rPr>
          <w:lang w:val="en-US"/>
        </w:rPr>
        <w:fldChar w:fldCharType="end"/>
      </w:r>
      <w:r w:rsidRPr="006A158F">
        <w:rPr>
          <w:lang w:val="en-US"/>
        </w:rPr>
        <w:t xml:space="preserve">: Parameters of the Water module contained </w:t>
      </w:r>
      <w:r>
        <w:rPr>
          <w:lang w:val="en-US"/>
        </w:rPr>
        <w:t>in the WaterModule.xlsx file. The parameters are called after their name in the HESS publication, but the name used in the python model is also indicated. The relevant pages of the sources are indicated in the excel files when available.</w:t>
      </w:r>
    </w:p>
    <w:tbl>
      <w:tblPr>
        <w:tblStyle w:val="PlainTable4"/>
        <w:tblW w:w="0" w:type="auto"/>
        <w:tblLook w:val="04A0" w:firstRow="1" w:lastRow="0" w:firstColumn="1" w:lastColumn="0" w:noHBand="0" w:noVBand="1"/>
      </w:tblPr>
      <w:tblGrid>
        <w:gridCol w:w="1428"/>
        <w:gridCol w:w="2775"/>
        <w:gridCol w:w="1559"/>
        <w:gridCol w:w="1751"/>
        <w:gridCol w:w="2125"/>
      </w:tblGrid>
      <w:tr w:rsidR="0028668F" w:rsidRPr="006A158F" w14:paraId="35580A23" w14:textId="77777777" w:rsidTr="009404A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14:paraId="10EF4560" w14:textId="77777777" w:rsidR="00396091" w:rsidRPr="00134F1F" w:rsidRDefault="00396091" w:rsidP="003353BC">
            <w:pPr>
              <w:jc w:val="center"/>
              <w:rPr>
                <w:b w:val="0"/>
                <w:i/>
                <w:sz w:val="20"/>
                <w:lang w:val="en-US"/>
              </w:rPr>
            </w:pPr>
            <w:r w:rsidRPr="00134F1F">
              <w:rPr>
                <w:b w:val="0"/>
                <w:sz w:val="20"/>
                <w:lang w:val="en-US"/>
              </w:rPr>
              <w:t>Notation</w:t>
            </w:r>
            <w:r w:rsidR="0028668F" w:rsidRPr="00134F1F">
              <w:rPr>
                <w:b w:val="0"/>
                <w:sz w:val="20"/>
                <w:lang w:val="en-US"/>
              </w:rPr>
              <w:t xml:space="preserve"> in publication</w:t>
            </w:r>
          </w:p>
        </w:tc>
        <w:tc>
          <w:tcPr>
            <w:tcW w:w="2775" w:type="dxa"/>
            <w:tcBorders>
              <w:bottom w:val="single" w:sz="4" w:space="0" w:color="auto"/>
            </w:tcBorders>
            <w:shd w:val="clear" w:color="auto" w:fill="auto"/>
            <w:vAlign w:val="center"/>
          </w:tcPr>
          <w:p w14:paraId="46451B5D" w14:textId="77777777" w:rsidR="00396091" w:rsidRPr="00134F1F" w:rsidRDefault="00396091" w:rsidP="003353BC">
            <w:pPr>
              <w:jc w:val="center"/>
              <w:cnfStyle w:val="100000000000" w:firstRow="1" w:lastRow="0" w:firstColumn="0" w:lastColumn="0" w:oddVBand="0" w:evenVBand="0" w:oddHBand="0" w:evenHBand="0" w:firstRowFirstColumn="0" w:firstRowLastColumn="0" w:lastRowFirstColumn="0" w:lastRowLastColumn="0"/>
              <w:rPr>
                <w:b w:val="0"/>
                <w:i/>
                <w:sz w:val="20"/>
                <w:lang w:val="en-US"/>
              </w:rPr>
            </w:pPr>
            <w:r w:rsidRPr="00134F1F">
              <w:rPr>
                <w:b w:val="0"/>
                <w:sz w:val="20"/>
                <w:lang w:val="en-US"/>
              </w:rPr>
              <w:t>Description</w:t>
            </w:r>
          </w:p>
        </w:tc>
        <w:tc>
          <w:tcPr>
            <w:tcW w:w="1559" w:type="dxa"/>
            <w:tcBorders>
              <w:bottom w:val="single" w:sz="4" w:space="0" w:color="auto"/>
            </w:tcBorders>
            <w:shd w:val="clear" w:color="auto" w:fill="auto"/>
            <w:vAlign w:val="center"/>
          </w:tcPr>
          <w:p w14:paraId="64378E0F" w14:textId="77777777" w:rsidR="00396091" w:rsidRPr="00134F1F" w:rsidRDefault="0028668F" w:rsidP="003353BC">
            <w:pPr>
              <w:jc w:val="center"/>
              <w:cnfStyle w:val="100000000000" w:firstRow="1" w:lastRow="0" w:firstColumn="0" w:lastColumn="0" w:oddVBand="0" w:evenVBand="0" w:oddHBand="0" w:evenHBand="0" w:firstRowFirstColumn="0" w:firstRowLastColumn="0" w:lastRowFirstColumn="0" w:lastRowLastColumn="0"/>
              <w:rPr>
                <w:b w:val="0"/>
                <w:i/>
                <w:sz w:val="20"/>
                <w:lang w:val="en-US"/>
              </w:rPr>
            </w:pPr>
            <w:r w:rsidRPr="00134F1F">
              <w:rPr>
                <w:b w:val="0"/>
                <w:sz w:val="20"/>
                <w:lang w:val="en-US"/>
              </w:rPr>
              <w:t>Parameter name in m</w:t>
            </w:r>
            <w:r w:rsidR="00207A2E" w:rsidRPr="00134F1F">
              <w:rPr>
                <w:b w:val="0"/>
                <w:sz w:val="20"/>
                <w:lang w:val="en-US"/>
              </w:rPr>
              <w:t>odel</w:t>
            </w:r>
          </w:p>
        </w:tc>
        <w:tc>
          <w:tcPr>
            <w:tcW w:w="1751" w:type="dxa"/>
            <w:tcBorders>
              <w:bottom w:val="single" w:sz="4" w:space="0" w:color="auto"/>
            </w:tcBorders>
            <w:shd w:val="clear" w:color="auto" w:fill="auto"/>
            <w:vAlign w:val="center"/>
          </w:tcPr>
          <w:p w14:paraId="4251B608" w14:textId="77777777" w:rsidR="00396091" w:rsidRPr="00134F1F" w:rsidRDefault="00396091" w:rsidP="003353BC">
            <w:pPr>
              <w:jc w:val="center"/>
              <w:cnfStyle w:val="100000000000" w:firstRow="1" w:lastRow="0" w:firstColumn="0" w:lastColumn="0" w:oddVBand="0" w:evenVBand="0" w:oddHBand="0" w:evenHBand="0" w:firstRowFirstColumn="0" w:firstRowLastColumn="0" w:lastRowFirstColumn="0" w:lastRowLastColumn="0"/>
              <w:rPr>
                <w:b w:val="0"/>
                <w:i/>
                <w:sz w:val="20"/>
                <w:lang w:val="en-US"/>
              </w:rPr>
            </w:pPr>
            <w:r w:rsidRPr="00134F1F">
              <w:rPr>
                <w:b w:val="0"/>
                <w:sz w:val="20"/>
                <w:lang w:val="en-US"/>
              </w:rPr>
              <w:t>Excel sheet</w:t>
            </w:r>
          </w:p>
        </w:tc>
        <w:tc>
          <w:tcPr>
            <w:tcW w:w="2125" w:type="dxa"/>
            <w:tcBorders>
              <w:bottom w:val="single" w:sz="4" w:space="0" w:color="auto"/>
            </w:tcBorders>
            <w:shd w:val="clear" w:color="auto" w:fill="auto"/>
            <w:vAlign w:val="center"/>
          </w:tcPr>
          <w:p w14:paraId="53C12FEA" w14:textId="77777777" w:rsidR="00396091" w:rsidRPr="00134F1F" w:rsidRDefault="00396091" w:rsidP="003353BC">
            <w:pPr>
              <w:jc w:val="center"/>
              <w:cnfStyle w:val="100000000000" w:firstRow="1" w:lastRow="0" w:firstColumn="0" w:lastColumn="0" w:oddVBand="0" w:evenVBand="0" w:oddHBand="0" w:evenHBand="0" w:firstRowFirstColumn="0" w:firstRowLastColumn="0" w:lastRowFirstColumn="0" w:lastRowLastColumn="0"/>
              <w:rPr>
                <w:b w:val="0"/>
                <w:i/>
                <w:sz w:val="20"/>
                <w:lang w:val="en-US"/>
              </w:rPr>
            </w:pPr>
            <w:r w:rsidRPr="00134F1F">
              <w:rPr>
                <w:b w:val="0"/>
                <w:sz w:val="20"/>
                <w:lang w:val="en-US"/>
              </w:rPr>
              <w:t>Source</w:t>
            </w:r>
          </w:p>
        </w:tc>
      </w:tr>
      <w:tr w:rsidR="00396091" w:rsidRPr="006A158F" w14:paraId="21F51A18" w14:textId="77777777" w:rsidTr="0092339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13" w:type="dxa"/>
            <w:gridSpan w:val="4"/>
            <w:tcBorders>
              <w:top w:val="single" w:sz="4" w:space="0" w:color="auto"/>
            </w:tcBorders>
            <w:shd w:val="clear" w:color="auto" w:fill="auto"/>
          </w:tcPr>
          <w:p w14:paraId="0D89AA4C" w14:textId="77777777" w:rsidR="00396091" w:rsidRPr="006A158F" w:rsidRDefault="00396091" w:rsidP="00D20116">
            <w:pPr>
              <w:rPr>
                <w:b w:val="0"/>
                <w:iCs/>
                <w:sz w:val="20"/>
                <w:lang w:val="en-US"/>
              </w:rPr>
            </w:pPr>
            <w:r w:rsidRPr="006A158F">
              <w:rPr>
                <w:sz w:val="20"/>
                <w:lang w:val="en-US"/>
              </w:rPr>
              <w:t>Indices</w:t>
            </w:r>
          </w:p>
        </w:tc>
        <w:tc>
          <w:tcPr>
            <w:tcW w:w="2125" w:type="dxa"/>
            <w:tcBorders>
              <w:top w:val="single" w:sz="4" w:space="0" w:color="auto"/>
            </w:tcBorders>
            <w:shd w:val="clear" w:color="auto" w:fill="auto"/>
          </w:tcPr>
          <w:p w14:paraId="7556E752" w14:textId="77777777" w:rsidR="00396091" w:rsidRPr="006A158F" w:rsidRDefault="00396091" w:rsidP="00396091">
            <w:pPr>
              <w:cnfStyle w:val="000000100000" w:firstRow="0" w:lastRow="0" w:firstColumn="0" w:lastColumn="0" w:oddVBand="0" w:evenVBand="0" w:oddHBand="1" w:evenHBand="0" w:firstRowFirstColumn="0" w:firstRowLastColumn="0" w:lastRowFirstColumn="0" w:lastRowLastColumn="0"/>
              <w:rPr>
                <w:b/>
                <w:i/>
                <w:lang w:val="en-US"/>
              </w:rPr>
            </w:pPr>
          </w:p>
        </w:tc>
      </w:tr>
      <w:tr w:rsidR="0028668F" w:rsidRPr="006A158F" w14:paraId="0DB01D9B"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6D45F" w14:textId="77777777" w:rsidR="00396091" w:rsidRPr="006B2662" w:rsidRDefault="00396091" w:rsidP="00923395">
            <w:pPr>
              <w:jc w:val="center"/>
              <w:rPr>
                <w:b w:val="0"/>
                <w:i/>
                <w:lang w:val="en-US"/>
              </w:rPr>
            </w:pPr>
            <w:r w:rsidRPr="006B2662">
              <w:rPr>
                <w:b w:val="0"/>
                <w:lang w:val="en-US"/>
              </w:rPr>
              <w:t>c</w:t>
            </w:r>
          </w:p>
        </w:tc>
        <w:tc>
          <w:tcPr>
            <w:tcW w:w="2775" w:type="dxa"/>
            <w:vAlign w:val="center"/>
          </w:tcPr>
          <w:p w14:paraId="623E2F8E" w14:textId="77777777" w:rsidR="00396091" w:rsidRPr="006B2662" w:rsidRDefault="00396091" w:rsidP="00923395">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Catchments</w:t>
            </w:r>
          </w:p>
        </w:tc>
        <w:tc>
          <w:tcPr>
            <w:tcW w:w="1559" w:type="dxa"/>
            <w:vAlign w:val="center"/>
          </w:tcPr>
          <w:p w14:paraId="06B33BC6" w14:textId="77777777" w:rsidR="00396091" w:rsidRPr="006B2662" w:rsidRDefault="00207A2E" w:rsidP="0092339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ncatch</w:t>
            </w:r>
            <w:proofErr w:type="spellEnd"/>
          </w:p>
        </w:tc>
        <w:tc>
          <w:tcPr>
            <w:tcW w:w="1751" w:type="dxa"/>
            <w:vAlign w:val="center"/>
          </w:tcPr>
          <w:p w14:paraId="2508BE99" w14:textId="77777777" w:rsidR="00396091" w:rsidRPr="006B2662" w:rsidRDefault="00396091" w:rsidP="00923395">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Catchments</w:t>
            </w:r>
          </w:p>
        </w:tc>
        <w:tc>
          <w:tcPr>
            <w:tcW w:w="2125" w:type="dxa"/>
            <w:vAlign w:val="center"/>
          </w:tcPr>
          <w:p w14:paraId="5B84B8BD" w14:textId="77777777" w:rsidR="00396091" w:rsidRPr="006B2662" w:rsidRDefault="00396091" w:rsidP="00923395">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w:t>
            </w:r>
          </w:p>
        </w:tc>
      </w:tr>
      <w:tr w:rsidR="006B2662" w:rsidRPr="006A158F" w14:paraId="087CD592"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8AAA70" w14:textId="42F62A6D" w:rsidR="006B2662" w:rsidRPr="006B2662" w:rsidRDefault="006B2662" w:rsidP="006B2662">
            <w:pPr>
              <w:jc w:val="center"/>
              <w:rPr>
                <w:b w:val="0"/>
                <w:lang w:val="en-US"/>
              </w:rPr>
            </w:pPr>
            <w:proofErr w:type="spellStart"/>
            <w:r w:rsidRPr="006B2662">
              <w:rPr>
                <w:rFonts w:ascii="Cambria Math" w:hAnsi="Cambria Math"/>
                <w:b w:val="0"/>
                <w:color w:val="000000" w:themeColor="text1"/>
              </w:rPr>
              <w:t>aq</w:t>
            </w:r>
            <w:proofErr w:type="spellEnd"/>
          </w:p>
        </w:tc>
        <w:tc>
          <w:tcPr>
            <w:tcW w:w="2775" w:type="dxa"/>
            <w:vAlign w:val="center"/>
          </w:tcPr>
          <w:p w14:paraId="0CB952FF" w14:textId="78C67D92"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rFonts w:cstheme="minorHAnsi"/>
                <w:color w:val="000000" w:themeColor="text1"/>
              </w:rPr>
              <w:t>Groundwater</w:t>
            </w:r>
            <w:proofErr w:type="spellEnd"/>
            <w:r w:rsidRPr="006B2662">
              <w:rPr>
                <w:rFonts w:cstheme="minorHAnsi"/>
                <w:color w:val="000000" w:themeColor="text1"/>
              </w:rPr>
              <w:t xml:space="preserve"> </w:t>
            </w:r>
            <w:proofErr w:type="spellStart"/>
            <w:r w:rsidRPr="006B2662">
              <w:rPr>
                <w:rFonts w:cstheme="minorHAnsi"/>
                <w:color w:val="000000" w:themeColor="text1"/>
              </w:rPr>
              <w:t>aquifers</w:t>
            </w:r>
            <w:proofErr w:type="spellEnd"/>
          </w:p>
        </w:tc>
        <w:tc>
          <w:tcPr>
            <w:tcW w:w="1559" w:type="dxa"/>
            <w:vAlign w:val="center"/>
          </w:tcPr>
          <w:p w14:paraId="3CB1BEFA" w14:textId="05AE4A05"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naquifer</w:t>
            </w:r>
            <w:proofErr w:type="spellEnd"/>
          </w:p>
        </w:tc>
        <w:tc>
          <w:tcPr>
            <w:tcW w:w="1751" w:type="dxa"/>
            <w:vAlign w:val="center"/>
          </w:tcPr>
          <w:p w14:paraId="09F85B75" w14:textId="7CE79F19"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Aquifers</w:t>
            </w:r>
          </w:p>
        </w:tc>
        <w:tc>
          <w:tcPr>
            <w:tcW w:w="2125" w:type="dxa"/>
            <w:vAlign w:val="center"/>
          </w:tcPr>
          <w:p w14:paraId="17D95ACB" w14:textId="1CC95EAB"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Not used</w:t>
            </w:r>
          </w:p>
        </w:tc>
      </w:tr>
      <w:tr w:rsidR="006B2662" w:rsidRPr="006A158F" w14:paraId="6C52EC7C"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6C68D9" w14:textId="77777777" w:rsidR="006B2662" w:rsidRPr="006B2662" w:rsidRDefault="006B2662" w:rsidP="006B2662">
            <w:pPr>
              <w:jc w:val="center"/>
              <w:rPr>
                <w:b w:val="0"/>
                <w:i/>
                <w:lang w:val="en-US"/>
              </w:rPr>
            </w:pPr>
            <w:proofErr w:type="spellStart"/>
            <w:r w:rsidRPr="006B2662">
              <w:rPr>
                <w:b w:val="0"/>
                <w:lang w:val="en-US"/>
              </w:rPr>
              <w:t>ts</w:t>
            </w:r>
            <w:proofErr w:type="spellEnd"/>
          </w:p>
        </w:tc>
        <w:tc>
          <w:tcPr>
            <w:tcW w:w="2775" w:type="dxa"/>
            <w:vAlign w:val="center"/>
          </w:tcPr>
          <w:p w14:paraId="31FF26BF"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Transfer schemes</w:t>
            </w:r>
          </w:p>
        </w:tc>
        <w:tc>
          <w:tcPr>
            <w:tcW w:w="1559" w:type="dxa"/>
            <w:vAlign w:val="center"/>
          </w:tcPr>
          <w:p w14:paraId="247E4607"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ntransfer</w:t>
            </w:r>
            <w:proofErr w:type="spellEnd"/>
          </w:p>
        </w:tc>
        <w:tc>
          <w:tcPr>
            <w:tcW w:w="1751" w:type="dxa"/>
            <w:vAlign w:val="center"/>
          </w:tcPr>
          <w:p w14:paraId="1B514FD0"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TransferSchemes</w:t>
            </w:r>
            <w:proofErr w:type="spellEnd"/>
          </w:p>
        </w:tc>
        <w:tc>
          <w:tcPr>
            <w:tcW w:w="2125" w:type="dxa"/>
            <w:vAlign w:val="center"/>
          </w:tcPr>
          <w:p w14:paraId="196FAD2A"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Not used</w:t>
            </w:r>
          </w:p>
        </w:tc>
      </w:tr>
      <w:tr w:rsidR="006B2662" w:rsidRPr="006A158F" w14:paraId="04806FB2"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475525" w14:textId="77777777" w:rsidR="006B2662" w:rsidRPr="006B2662" w:rsidRDefault="006B2662" w:rsidP="006B2662">
            <w:pPr>
              <w:jc w:val="center"/>
              <w:rPr>
                <w:b w:val="0"/>
                <w:i/>
                <w:lang w:val="en-US"/>
              </w:rPr>
            </w:pPr>
            <w:r w:rsidRPr="006B2662">
              <w:rPr>
                <w:b w:val="0"/>
                <w:lang w:val="en-US"/>
              </w:rPr>
              <w:t>r</w:t>
            </w:r>
          </w:p>
        </w:tc>
        <w:tc>
          <w:tcPr>
            <w:tcW w:w="2775" w:type="dxa"/>
            <w:vAlign w:val="center"/>
          </w:tcPr>
          <w:p w14:paraId="7F9A4F45"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Reservoirs</w:t>
            </w:r>
          </w:p>
        </w:tc>
        <w:tc>
          <w:tcPr>
            <w:tcW w:w="1559" w:type="dxa"/>
            <w:vAlign w:val="center"/>
          </w:tcPr>
          <w:p w14:paraId="5DDFFA4F"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nres</w:t>
            </w:r>
            <w:proofErr w:type="spellEnd"/>
          </w:p>
        </w:tc>
        <w:tc>
          <w:tcPr>
            <w:tcW w:w="1751" w:type="dxa"/>
            <w:vAlign w:val="center"/>
          </w:tcPr>
          <w:p w14:paraId="7492866E"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Reservoirs</w:t>
            </w:r>
          </w:p>
        </w:tc>
        <w:tc>
          <w:tcPr>
            <w:tcW w:w="2125" w:type="dxa"/>
            <w:vAlign w:val="center"/>
          </w:tcPr>
          <w:p w14:paraId="343C3315" w14:textId="6CB345EF"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5D557B28"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9A295" w14:textId="77777777" w:rsidR="006B2662" w:rsidRPr="006B2662" w:rsidRDefault="006B2662" w:rsidP="006B2662">
            <w:pPr>
              <w:jc w:val="center"/>
              <w:rPr>
                <w:b w:val="0"/>
                <w:i/>
                <w:lang w:val="en-US"/>
              </w:rPr>
            </w:pPr>
            <w:r w:rsidRPr="006B2662">
              <w:rPr>
                <w:b w:val="0"/>
                <w:lang w:val="en-US"/>
              </w:rPr>
              <w:t>u</w:t>
            </w:r>
          </w:p>
        </w:tc>
        <w:tc>
          <w:tcPr>
            <w:tcW w:w="2775" w:type="dxa"/>
            <w:vAlign w:val="center"/>
          </w:tcPr>
          <w:p w14:paraId="79EEFA54"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Water users</w:t>
            </w:r>
          </w:p>
        </w:tc>
        <w:tc>
          <w:tcPr>
            <w:tcW w:w="1559" w:type="dxa"/>
            <w:vAlign w:val="center"/>
          </w:tcPr>
          <w:p w14:paraId="60065E4D"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nuser</w:t>
            </w:r>
            <w:proofErr w:type="spellEnd"/>
          </w:p>
        </w:tc>
        <w:tc>
          <w:tcPr>
            <w:tcW w:w="1751" w:type="dxa"/>
            <w:vAlign w:val="center"/>
          </w:tcPr>
          <w:p w14:paraId="6F5C9E7D"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WaterUsers</w:t>
            </w:r>
            <w:proofErr w:type="spellEnd"/>
          </w:p>
        </w:tc>
        <w:tc>
          <w:tcPr>
            <w:tcW w:w="2125" w:type="dxa"/>
            <w:vAlign w:val="center"/>
          </w:tcPr>
          <w:p w14:paraId="4F391E8A" w14:textId="3A97F116"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7B750D26"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513" w:type="dxa"/>
            <w:gridSpan w:val="4"/>
            <w:vAlign w:val="center"/>
          </w:tcPr>
          <w:p w14:paraId="3362A45E" w14:textId="77777777" w:rsidR="006B2662" w:rsidRPr="006B2662" w:rsidRDefault="006B2662" w:rsidP="006B2662">
            <w:pPr>
              <w:rPr>
                <w:i/>
                <w:lang w:val="en-US"/>
              </w:rPr>
            </w:pPr>
            <w:r w:rsidRPr="006B2662">
              <w:rPr>
                <w:lang w:val="en-US"/>
              </w:rPr>
              <w:t>Parameters</w:t>
            </w:r>
          </w:p>
        </w:tc>
        <w:tc>
          <w:tcPr>
            <w:tcW w:w="2125" w:type="dxa"/>
            <w:vAlign w:val="center"/>
          </w:tcPr>
          <w:p w14:paraId="6A488722"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b/>
                <w:i/>
                <w:lang w:val="en-US"/>
              </w:rPr>
            </w:pPr>
          </w:p>
        </w:tc>
      </w:tr>
      <w:tr w:rsidR="006B2662" w:rsidRPr="006A158F" w14:paraId="4D514A4C"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8656ED" w14:textId="400F9972" w:rsidR="006B2662" w:rsidRPr="006B2662" w:rsidRDefault="006B2662" w:rsidP="006B2662">
            <w:pPr>
              <w:rPr>
                <w:i/>
                <w:lang w:val="en-US"/>
              </w:rPr>
            </w:pPr>
            <m:oMathPara>
              <m:oMath>
                <m:sSub>
                  <m:sSubPr>
                    <m:ctrlPr>
                      <w:rPr>
                        <w:rFonts w:ascii="Cambria Math" w:hAnsi="Cambria Math"/>
                        <w:color w:val="000000" w:themeColor="text1"/>
                      </w:rPr>
                    </m:ctrlPr>
                  </m:sSubPr>
                  <m:e>
                    <m:r>
                      <m:rPr>
                        <m:sty m:val="b"/>
                      </m:rPr>
                      <w:rPr>
                        <w:rFonts w:ascii="Cambria Math" w:hAnsi="Cambria Math"/>
                        <w:color w:val="000000" w:themeColor="text1"/>
                      </w:rPr>
                      <m:t>q</m:t>
                    </m:r>
                  </m:e>
                  <m:sub>
                    <m:r>
                      <m:rPr>
                        <m:sty m:val="bi"/>
                      </m:rPr>
                      <w:rPr>
                        <w:rFonts w:ascii="Cambria Math" w:hAnsi="Cambria Math"/>
                        <w:color w:val="000000" w:themeColor="text1"/>
                      </w:rPr>
                      <m:t>runoff</m:t>
                    </m:r>
                  </m:sub>
                </m:sSub>
              </m:oMath>
            </m:oMathPara>
          </w:p>
        </w:tc>
        <w:tc>
          <w:tcPr>
            <w:tcW w:w="2775" w:type="dxa"/>
            <w:vAlign w:val="center"/>
          </w:tcPr>
          <w:p w14:paraId="40C1A022"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Runoff</w:t>
            </w:r>
          </w:p>
        </w:tc>
        <w:tc>
          <w:tcPr>
            <w:tcW w:w="1559" w:type="dxa"/>
            <w:vAlign w:val="center"/>
          </w:tcPr>
          <w:p w14:paraId="5F29109E"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wRunOff</w:t>
            </w:r>
            <w:proofErr w:type="spellEnd"/>
          </w:p>
        </w:tc>
        <w:tc>
          <w:tcPr>
            <w:tcW w:w="1751" w:type="dxa"/>
            <w:vAlign w:val="center"/>
          </w:tcPr>
          <w:p w14:paraId="456F5630"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RunOff</w:t>
            </w:r>
            <w:proofErr w:type="spellEnd"/>
          </w:p>
        </w:tc>
        <w:tc>
          <w:tcPr>
            <w:tcW w:w="2125" w:type="dxa"/>
            <w:vAlign w:val="center"/>
          </w:tcPr>
          <w:p w14:paraId="5B4A52A4" w14:textId="0B4229ED"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ISBN":"9781464804663","author":[{"dropping-particle":"","family":"Cervigni","given":"Raffaello","non-dropping-particle":"","parse-names":false,"suffix":""},{"dropping-particle":"","family":"Liden","given":"Rikard","non-dropping-particle":"","parse-names":false,"suffix":""},{"dropping-particle":"","family":"Neumann","given":"James E","non-dropping-particle":"","parse-names":false,"suffix":""},{"dropping-particle":"","family":"Strzepek","given":"Kenneth M","non-dropping-particle":"","parse-names":false,"suffix":""}],"container-title":"Africa Development Forum","id":"ITEM-1","issued":{"date-parts":[["2015"]]},"number-of-pages":"399-404","title":"Enhancing the Climate Resilience of Africa’s Infrastructure: The Power and Water Sectors","type":"book","volume":"91"},"uris":["http://www.mendeley.com/documents/?uuid=6bcaf7eb-4cc8-43ee-9188-3199108d38d4"]}],"mendeley":{"formattedCitation":"(Cervigni et al., 2015)","plainTextFormattedCitation":"(Cervigni et al., 2015)","previouslyFormattedCitation":"(Cervigni et al., 2015)"},"properties":{"noteIndex":0},"schema":"https://github.com/citation-style-language/schema/raw/master/csl-citation.json"}</w:instrText>
            </w:r>
            <w:r w:rsidRPr="006B2662">
              <w:rPr>
                <w:lang w:val="en-US"/>
              </w:rPr>
              <w:fldChar w:fldCharType="separate"/>
            </w:r>
            <w:r w:rsidRPr="006B2662">
              <w:rPr>
                <w:noProof/>
                <w:lang w:val="en-US"/>
              </w:rPr>
              <w:t>(Cervigni et al., 2015)</w:t>
            </w:r>
            <w:r w:rsidRPr="006B2662">
              <w:rPr>
                <w:lang w:val="en-US"/>
              </w:rPr>
              <w:fldChar w:fldCharType="end"/>
            </w:r>
          </w:p>
        </w:tc>
      </w:tr>
      <w:tr w:rsidR="006B2662" w:rsidRPr="006A158F" w14:paraId="6CCC889E"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9C34F4" w14:textId="2580F572" w:rsidR="006B2662" w:rsidRPr="006B2662" w:rsidRDefault="006B2662" w:rsidP="006B2662">
            <w:pPr>
              <w:rPr>
                <w:i/>
                <w:lang w:val="en-US"/>
              </w:rPr>
            </w:pPr>
            <m:oMathPara>
              <m:oMath>
                <m:sSub>
                  <m:sSubPr>
                    <m:ctrlPr>
                      <w:rPr>
                        <w:rFonts w:ascii="Cambria Math" w:hAnsi="Cambria Math"/>
                        <w:color w:val="000000" w:themeColor="text1"/>
                      </w:rPr>
                    </m:ctrlPr>
                  </m:sSubPr>
                  <m:e>
                    <m:r>
                      <m:rPr>
                        <m:sty m:val="b"/>
                      </m:rPr>
                      <w:rPr>
                        <w:rFonts w:ascii="Cambria Math" w:hAnsi="Cambria Math"/>
                        <w:color w:val="000000" w:themeColor="text1"/>
                      </w:rPr>
                      <m:t>q</m:t>
                    </m:r>
                  </m:e>
                  <m:sub>
                    <m:r>
                      <m:rPr>
                        <m:sty m:val="bi"/>
                      </m:rPr>
                      <w:rPr>
                        <w:rFonts w:ascii="Cambria Math" w:hAnsi="Cambria Math"/>
                        <w:color w:val="000000" w:themeColor="text1"/>
                      </w:rPr>
                      <m:t>recharge</m:t>
                    </m:r>
                  </m:sub>
                </m:sSub>
              </m:oMath>
            </m:oMathPara>
          </w:p>
        </w:tc>
        <w:tc>
          <w:tcPr>
            <w:tcW w:w="2775" w:type="dxa"/>
            <w:vAlign w:val="center"/>
          </w:tcPr>
          <w:p w14:paraId="7DA84B54"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Groundwater recharge</w:t>
            </w:r>
          </w:p>
        </w:tc>
        <w:tc>
          <w:tcPr>
            <w:tcW w:w="1559" w:type="dxa"/>
            <w:vAlign w:val="center"/>
          </w:tcPr>
          <w:p w14:paraId="3C5EDBCA"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wGwRech</w:t>
            </w:r>
            <w:proofErr w:type="spellEnd"/>
          </w:p>
        </w:tc>
        <w:tc>
          <w:tcPr>
            <w:tcW w:w="1751" w:type="dxa"/>
            <w:vAlign w:val="center"/>
          </w:tcPr>
          <w:p w14:paraId="1E229B0B"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GroundRecharge</w:t>
            </w:r>
            <w:proofErr w:type="spellEnd"/>
          </w:p>
        </w:tc>
        <w:tc>
          <w:tcPr>
            <w:tcW w:w="2125" w:type="dxa"/>
            <w:vAlign w:val="center"/>
          </w:tcPr>
          <w:p w14:paraId="30A2B37D"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Not used</w:t>
            </w:r>
          </w:p>
        </w:tc>
      </w:tr>
      <w:tr w:rsidR="006B2662" w:rsidRPr="006A158F" w14:paraId="4411F23B"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1F6CD" w14:textId="620D4A00" w:rsidR="006B2662" w:rsidRPr="006B2662" w:rsidRDefault="006B2662" w:rsidP="006B2662">
            <w:pPr>
              <w:rPr>
                <w:i/>
                <w:lang w:val="en-US"/>
              </w:rPr>
            </w:pPr>
            <m:oMathPara>
              <m:oMath>
                <m:r>
                  <m:rPr>
                    <m:sty m:val="b"/>
                  </m:rPr>
                  <w:rPr>
                    <w:rFonts w:ascii="Cambria Math" w:hAnsi="Cambria Math"/>
                    <w:color w:val="000000" w:themeColor="text1"/>
                  </w:rPr>
                  <m:t>p</m:t>
                </m:r>
              </m:oMath>
            </m:oMathPara>
          </w:p>
        </w:tc>
        <w:tc>
          <w:tcPr>
            <w:tcW w:w="2775" w:type="dxa"/>
            <w:vAlign w:val="center"/>
          </w:tcPr>
          <w:p w14:paraId="49861BC5"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 xml:space="preserve">Rainfall </w:t>
            </w:r>
          </w:p>
        </w:tc>
        <w:tc>
          <w:tcPr>
            <w:tcW w:w="1559" w:type="dxa"/>
            <w:vAlign w:val="center"/>
          </w:tcPr>
          <w:p w14:paraId="38E433CD"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wRainFall</w:t>
            </w:r>
            <w:proofErr w:type="spellEnd"/>
          </w:p>
        </w:tc>
        <w:tc>
          <w:tcPr>
            <w:tcW w:w="1751" w:type="dxa"/>
            <w:vAlign w:val="center"/>
          </w:tcPr>
          <w:p w14:paraId="25A41425"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vertAlign w:val="superscript"/>
                <w:lang w:val="en-US"/>
              </w:rPr>
            </w:pPr>
            <w:r w:rsidRPr="006B2662">
              <w:rPr>
                <w:lang w:val="en-US"/>
              </w:rPr>
              <w:t>Precipitation</w:t>
            </w:r>
          </w:p>
        </w:tc>
        <w:tc>
          <w:tcPr>
            <w:tcW w:w="2125" w:type="dxa"/>
            <w:vAlign w:val="center"/>
          </w:tcPr>
          <w:p w14:paraId="22A58CA9" w14:textId="3DC8F0EF"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ISBN":"9781464804663","author":[{"dropping-particle":"","family":"Cervigni","given":"Raffaello","non-dropping-particle":"","parse-names":false,"suffix":""},{"dropping-particle":"","family":"Liden","given":"Rikard","non-dropping-particle":"","parse-names":false,"suffix":""},{"dropping-particle":"","family":"Neumann","given":"James E","non-dropping-particle":"","parse-names":false,"suffix":""},{"dropping-particle":"","family":"Strzepek","given":"Kenneth M","non-dropping-particle":"","parse-names":false,"suffix":""}],"container-title":"Africa Development Forum","id":"ITEM-1","issued":{"date-parts":[["2015"]]},"number-of-pages":"399-404","title":"Enhancing the Climate Resilience of Africa’s Infrastructure: The Power and Water Sectors","type":"book","volume":"91"},"uris":["http://www.mendeley.com/documents/?uuid=6bcaf7eb-4cc8-43ee-9188-3199108d38d4"]}],"mendeley":{"formattedCitation":"(Cervigni et al., 2015)","plainTextFormattedCitation":"(Cervigni et al., 2015)","previouslyFormattedCitation":"(Cervigni et al., 2015)"},"properties":{"noteIndex":0},"schema":"https://github.com/citation-style-language/schema/raw/master/csl-citation.json"}</w:instrText>
            </w:r>
            <w:r w:rsidRPr="006B2662">
              <w:rPr>
                <w:lang w:val="en-US"/>
              </w:rPr>
              <w:fldChar w:fldCharType="separate"/>
            </w:r>
            <w:r w:rsidRPr="006B2662">
              <w:rPr>
                <w:noProof/>
                <w:lang w:val="en-US"/>
              </w:rPr>
              <w:t>(Cervigni et al., 2015)</w:t>
            </w:r>
            <w:r w:rsidRPr="006B2662">
              <w:rPr>
                <w:lang w:val="en-US"/>
              </w:rPr>
              <w:fldChar w:fldCharType="end"/>
            </w:r>
          </w:p>
        </w:tc>
      </w:tr>
      <w:tr w:rsidR="006B2662" w:rsidRPr="006A158F" w14:paraId="01F8E019"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869C2B" w14:textId="17765F7D" w:rsidR="006B2662" w:rsidRPr="006B2662" w:rsidRDefault="006B2662" w:rsidP="006B2662">
            <w:pPr>
              <w:rPr>
                <w:i/>
                <w:lang w:val="en-US"/>
              </w:rPr>
            </w:pPr>
            <m:oMathPara>
              <m:oMath>
                <m:sSub>
                  <m:sSubPr>
                    <m:ctrlPr>
                      <w:rPr>
                        <w:rFonts w:ascii="Cambria Math" w:hAnsi="Cambria Math"/>
                        <w:color w:val="000000" w:themeColor="text1"/>
                      </w:rPr>
                    </m:ctrlPr>
                  </m:sSubPr>
                  <m:e>
                    <m:r>
                      <m:rPr>
                        <m:sty m:val="b"/>
                      </m:rPr>
                      <w:rPr>
                        <w:rFonts w:ascii="Cambria Math" w:hAnsi="Cambria Math"/>
                        <w:color w:val="000000" w:themeColor="text1"/>
                      </w:rPr>
                      <m:t>e</m:t>
                    </m:r>
                  </m:e>
                  <m:sub>
                    <m:r>
                      <m:rPr>
                        <m:sty m:val="bi"/>
                      </m:rPr>
                      <w:rPr>
                        <w:rFonts w:ascii="Cambria Math" w:hAnsi="Cambria Math"/>
                        <w:color w:val="000000" w:themeColor="text1"/>
                      </w:rPr>
                      <m:t>T0</m:t>
                    </m:r>
                  </m:sub>
                </m:sSub>
              </m:oMath>
            </m:oMathPara>
          </w:p>
        </w:tc>
        <w:tc>
          <w:tcPr>
            <w:tcW w:w="2775" w:type="dxa"/>
            <w:vAlign w:val="center"/>
          </w:tcPr>
          <w:p w14:paraId="6A221C8C"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Reference evapotranspiration</w:t>
            </w:r>
          </w:p>
        </w:tc>
        <w:tc>
          <w:tcPr>
            <w:tcW w:w="1559" w:type="dxa"/>
            <w:vAlign w:val="center"/>
          </w:tcPr>
          <w:p w14:paraId="39AE1BAC"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wET0</w:t>
            </w:r>
          </w:p>
        </w:tc>
        <w:tc>
          <w:tcPr>
            <w:tcW w:w="1751" w:type="dxa"/>
            <w:vAlign w:val="center"/>
          </w:tcPr>
          <w:p w14:paraId="67687624"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vertAlign w:val="superscript"/>
                <w:lang w:val="en-US"/>
              </w:rPr>
            </w:pPr>
            <w:r w:rsidRPr="006B2662">
              <w:rPr>
                <w:lang w:val="en-US"/>
              </w:rPr>
              <w:t>ET0</w:t>
            </w:r>
          </w:p>
        </w:tc>
        <w:tc>
          <w:tcPr>
            <w:tcW w:w="2125" w:type="dxa"/>
            <w:vAlign w:val="center"/>
          </w:tcPr>
          <w:p w14:paraId="2D89290F" w14:textId="3748D84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ISBN":"9781464804663","author":[{"dropping-particle":"","family":"Cervigni","given":"Raffaello","non-dropping-particle":"","parse-names":false,"suffix":""},{"dropping-particle":"","family":"Liden","given":"Rikard","non-dropping-particle":"","parse-names":false,"suffix":""},{"dropping-particle":"","family":"Neumann","given":"James E","non-dropping-particle":"","parse-names":false,"suffix":""},{"dropping-particle":"","family":"Strzepek","given":"Kenneth M","non-dropping-particle":"","parse-names":false,"suffix":""}],"container-title":"Africa Development Forum","id":"ITEM-1","issued":{"date-parts":[["2015"]]},"number-of-pages":"399-404","title":"Enhancing the Climate Resilience of Africa’s Infrastructure: The Power and Water Sectors","type":"book","volume":"91"},"uris":["http://www.mendeley.com/documents/?uuid=6bcaf7eb-4cc8-43ee-9188-3199108d38d4"]}],"mendeley":{"formattedCitation":"(Cervigni et al., 2015)","plainTextFormattedCitation":"(Cervigni et al., 2015)"},"properties":{"noteIndex":0},"schema":"https://github.com/citation-style-language/schema/raw/master/csl-citation.json"}</w:instrText>
            </w:r>
            <w:r w:rsidRPr="006B2662">
              <w:rPr>
                <w:lang w:val="en-US"/>
              </w:rPr>
              <w:fldChar w:fldCharType="separate"/>
            </w:r>
            <w:r w:rsidRPr="006B2662">
              <w:rPr>
                <w:noProof/>
                <w:lang w:val="en-US"/>
              </w:rPr>
              <w:t>(Cervigni et al., 2015)</w:t>
            </w:r>
            <w:r w:rsidRPr="006B2662">
              <w:rPr>
                <w:lang w:val="en-US"/>
              </w:rPr>
              <w:fldChar w:fldCharType="end"/>
            </w:r>
          </w:p>
        </w:tc>
      </w:tr>
      <w:tr w:rsidR="006B2662" w:rsidRPr="006A158F" w14:paraId="730BAD79"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B9C2AC" w14:textId="22F9739E" w:rsidR="006B2662" w:rsidRPr="006B2662" w:rsidRDefault="006B2662" w:rsidP="006B2662">
            <w:pPr>
              <w:rPr>
                <w:i/>
                <w:color w:val="000000" w:themeColor="text1"/>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river</m:t>
                    </m:r>
                  </m:sub>
                </m:sSub>
              </m:oMath>
            </m:oMathPara>
          </w:p>
        </w:tc>
        <w:tc>
          <w:tcPr>
            <w:tcW w:w="2775" w:type="dxa"/>
            <w:vAlign w:val="center"/>
          </w:tcPr>
          <w:p w14:paraId="486E250A"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6B2662">
              <w:rPr>
                <w:color w:val="000000" w:themeColor="text1"/>
                <w:lang w:val="en-US"/>
              </w:rPr>
              <w:t>Water losses in the catchment</w:t>
            </w:r>
          </w:p>
        </w:tc>
        <w:tc>
          <w:tcPr>
            <w:tcW w:w="1559" w:type="dxa"/>
            <w:vAlign w:val="center"/>
          </w:tcPr>
          <w:p w14:paraId="448FD855"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wFlowLoss</w:t>
            </w:r>
            <w:proofErr w:type="spellEnd"/>
          </w:p>
        </w:tc>
        <w:tc>
          <w:tcPr>
            <w:tcW w:w="1751" w:type="dxa"/>
            <w:vAlign w:val="center"/>
          </w:tcPr>
          <w:p w14:paraId="5D6B1DB4"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Catchments</w:t>
            </w:r>
          </w:p>
        </w:tc>
        <w:tc>
          <w:tcPr>
            <w:tcW w:w="2125" w:type="dxa"/>
            <w:vAlign w:val="center"/>
          </w:tcPr>
          <w:p w14:paraId="715F60A6"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Not used</w:t>
            </w:r>
          </w:p>
        </w:tc>
      </w:tr>
      <w:tr w:rsidR="006B2662" w:rsidRPr="006A158F" w14:paraId="405CE7FC"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0AEDD3" w14:textId="682C0BCD" w:rsidR="006B2662" w:rsidRPr="006B2662" w:rsidRDefault="006B2662" w:rsidP="006B2662">
            <w:pPr>
              <w:rPr>
                <w:rFonts w:cstheme="minorHAnsi"/>
                <w:i/>
                <w:lang w:val="en-US"/>
              </w:rPr>
            </w:pPr>
            <m:oMathPara>
              <m:oMath>
                <m:sSub>
                  <m:sSubPr>
                    <m:ctrlPr>
                      <w:rPr>
                        <w:rFonts w:ascii="Cambria Math" w:hAnsi="Cambria Math"/>
                        <w:color w:val="000000" w:themeColor="text1"/>
                      </w:rPr>
                    </m:ctrlPr>
                  </m:sSubPr>
                  <m:e>
                    <m:acc>
                      <m:accPr>
                        <m:chr m:val="̅"/>
                        <m:ctrlPr>
                          <w:rPr>
                            <w:rFonts w:ascii="Cambria Math" w:eastAsia="Times New Roman" w:hAnsi="Cambria Math"/>
                            <w:b w:val="0"/>
                            <w:bCs w:val="0"/>
                            <w:i/>
                            <w:color w:val="000000" w:themeColor="text1"/>
                            <w:lang w:val="en-US" w:eastAsia="de-DE"/>
                          </w:rPr>
                        </m:ctrlPr>
                      </m:accPr>
                      <m:e>
                        <m:r>
                          <m:rPr>
                            <m:sty m:val="bi"/>
                          </m:rPr>
                          <w:rPr>
                            <w:rFonts w:ascii="Cambria Math" w:hAnsi="Cambria Math"/>
                            <w:color w:val="000000" w:themeColor="text1"/>
                          </w:rPr>
                          <m:t>V</m:t>
                        </m:r>
                      </m:e>
                    </m:acc>
                  </m:e>
                  <m:sub>
                    <m:r>
                      <m:rPr>
                        <m:sty m:val="b"/>
                      </m:rPr>
                      <w:rPr>
                        <w:rFonts w:ascii="Cambria Math" w:hAnsi="Cambria Math"/>
                        <w:color w:val="000000" w:themeColor="text1"/>
                      </w:rPr>
                      <m:t>W</m:t>
                    </m:r>
                  </m:sub>
                </m:sSub>
              </m:oMath>
            </m:oMathPara>
          </w:p>
        </w:tc>
        <w:tc>
          <w:tcPr>
            <w:tcW w:w="2775" w:type="dxa"/>
            <w:vAlign w:val="center"/>
          </w:tcPr>
          <w:p w14:paraId="18527CAA"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B2662">
              <w:rPr>
                <w:rFonts w:cstheme="minorHAnsi"/>
                <w:lang w:val="en-US"/>
              </w:rPr>
              <w:t>Reservoir storage capacity</w:t>
            </w:r>
          </w:p>
        </w:tc>
        <w:tc>
          <w:tcPr>
            <w:tcW w:w="1559" w:type="dxa"/>
            <w:vAlign w:val="center"/>
          </w:tcPr>
          <w:p w14:paraId="2F854466"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wResCap</w:t>
            </w:r>
            <w:proofErr w:type="spellEnd"/>
          </w:p>
        </w:tc>
        <w:tc>
          <w:tcPr>
            <w:tcW w:w="1751" w:type="dxa"/>
            <w:vAlign w:val="center"/>
          </w:tcPr>
          <w:p w14:paraId="269DD133"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Reservoirs</w:t>
            </w:r>
          </w:p>
        </w:tc>
        <w:tc>
          <w:tcPr>
            <w:tcW w:w="2125" w:type="dxa"/>
            <w:vAlign w:val="center"/>
          </w:tcPr>
          <w:p w14:paraId="0F6F6AB2" w14:textId="046653C1"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7635BD96"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3C86AA" w14:textId="49E3943B" w:rsidR="006B2662" w:rsidRPr="00AD2C9F" w:rsidRDefault="006B2662" w:rsidP="006B2662">
            <w:pPr>
              <w:rPr>
                <w:rFonts w:cstheme="minorHAnsi"/>
                <w:b w:val="0"/>
                <w:i/>
                <w:lang w:val="en-US"/>
              </w:rPr>
            </w:pPr>
            <m:oMathPara>
              <m:oMath>
                <m:sSub>
                  <m:sSubPr>
                    <m:ctrlPr>
                      <w:rPr>
                        <w:rFonts w:ascii="Cambria Math" w:hAnsi="Cambria Math"/>
                        <w:b w:val="0"/>
                        <w:color w:val="000000" w:themeColor="text1"/>
                      </w:rPr>
                    </m:ctrlPr>
                  </m:sSubPr>
                  <m:e>
                    <m:r>
                      <w:rPr>
                        <w:rFonts w:ascii="Cambria Math" w:hAnsi="Cambria Math"/>
                        <w:color w:val="000000" w:themeColor="text1"/>
                      </w:rPr>
                      <m:t>k</m:t>
                    </m:r>
                  </m:e>
                  <m:sub>
                    <m:r>
                      <m:rPr>
                        <m:sty m:val="p"/>
                      </m:rPr>
                      <w:rPr>
                        <w:rFonts w:ascii="Cambria Math" w:hAnsi="Cambria Math"/>
                        <w:color w:val="000000" w:themeColor="text1"/>
                      </w:rPr>
                      <m:t>W</m:t>
                    </m:r>
                  </m:sub>
                </m:sSub>
              </m:oMath>
            </m:oMathPara>
          </w:p>
        </w:tc>
        <w:tc>
          <w:tcPr>
            <w:tcW w:w="2775" w:type="dxa"/>
            <w:vAlign w:val="center"/>
          </w:tcPr>
          <w:p w14:paraId="7806F29C"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B2662">
              <w:rPr>
                <w:rFonts w:cstheme="minorHAnsi"/>
                <w:lang w:val="en-US"/>
              </w:rPr>
              <w:t xml:space="preserve">Volume-Area linear coefficient </w:t>
            </w:r>
          </w:p>
        </w:tc>
        <w:tc>
          <w:tcPr>
            <w:tcW w:w="1559" w:type="dxa"/>
            <w:vAlign w:val="center"/>
          </w:tcPr>
          <w:p w14:paraId="3D96361F"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wkV</w:t>
            </w:r>
            <w:proofErr w:type="spellEnd"/>
          </w:p>
        </w:tc>
        <w:tc>
          <w:tcPr>
            <w:tcW w:w="1751" w:type="dxa"/>
            <w:vAlign w:val="center"/>
          </w:tcPr>
          <w:p w14:paraId="46A70905"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Reservoirs</w:t>
            </w:r>
          </w:p>
        </w:tc>
        <w:tc>
          <w:tcPr>
            <w:tcW w:w="2125" w:type="dxa"/>
            <w:vAlign w:val="center"/>
          </w:tcPr>
          <w:p w14:paraId="1111E2C8" w14:textId="69DD8A0B"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207B6FF6"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B726C5" w14:textId="6D422354" w:rsidR="006B2662" w:rsidRPr="00AD2C9F" w:rsidRDefault="006B2662" w:rsidP="006B2662">
            <w:pPr>
              <w:rPr>
                <w:rFonts w:cstheme="minorHAnsi"/>
                <w:b w:val="0"/>
                <w:i/>
                <w:lang w:val="en-US"/>
              </w:rPr>
            </w:pPr>
            <m:oMathPara>
              <m:oMath>
                <m:sSub>
                  <m:sSubPr>
                    <m:ctrlPr>
                      <w:rPr>
                        <w:rFonts w:ascii="Cambria Math" w:hAnsi="Cambria Math"/>
                        <w:b w:val="0"/>
                        <w:color w:val="000000" w:themeColor="text1"/>
                      </w:rPr>
                    </m:ctrlPr>
                  </m:sSubPr>
                  <m:e>
                    <m:r>
                      <m:rPr>
                        <m:sty m:val="p"/>
                      </m:rPr>
                      <w:rPr>
                        <w:rFonts w:ascii="Cambria Math" w:hAnsi="Cambria Math"/>
                        <w:color w:val="000000" w:themeColor="text1"/>
                      </w:rPr>
                      <m:t>a</m:t>
                    </m:r>
                  </m:e>
                  <m:sub>
                    <m:r>
                      <w:rPr>
                        <w:rFonts w:ascii="Cambria Math" w:hAnsi="Cambria Math"/>
                        <w:color w:val="000000" w:themeColor="text1"/>
                      </w:rPr>
                      <m:t>W</m:t>
                    </m:r>
                  </m:sub>
                </m:sSub>
              </m:oMath>
            </m:oMathPara>
          </w:p>
        </w:tc>
        <w:tc>
          <w:tcPr>
            <w:tcW w:w="2775" w:type="dxa"/>
            <w:vAlign w:val="center"/>
          </w:tcPr>
          <w:p w14:paraId="3B571009"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B2662">
              <w:rPr>
                <w:rFonts w:cstheme="minorHAnsi"/>
                <w:lang w:val="en-US"/>
              </w:rPr>
              <w:t>Volume-Area linear constant</w:t>
            </w:r>
          </w:p>
        </w:tc>
        <w:tc>
          <w:tcPr>
            <w:tcW w:w="1559" w:type="dxa"/>
            <w:vAlign w:val="center"/>
          </w:tcPr>
          <w:p w14:paraId="160EF327"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wResArea</w:t>
            </w:r>
            <w:proofErr w:type="spellEnd"/>
          </w:p>
        </w:tc>
        <w:tc>
          <w:tcPr>
            <w:tcW w:w="1751" w:type="dxa"/>
            <w:vAlign w:val="center"/>
          </w:tcPr>
          <w:p w14:paraId="5692D664"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Reservoirs</w:t>
            </w:r>
          </w:p>
        </w:tc>
        <w:tc>
          <w:tcPr>
            <w:tcW w:w="2125" w:type="dxa"/>
            <w:vAlign w:val="center"/>
          </w:tcPr>
          <w:p w14:paraId="5A378F25" w14:textId="53EE5C3C"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3A9E5816"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82EAF6" w14:textId="1B2D7215" w:rsidR="006B2662" w:rsidRPr="00AD2C9F" w:rsidRDefault="006B2662" w:rsidP="006B2662">
            <w:pPr>
              <w:rPr>
                <w:b w:val="0"/>
                <w:i/>
                <w:lang w:val="en-US"/>
              </w:rPr>
            </w:pPr>
            <m:oMathPara>
              <m:oMath>
                <m:sSub>
                  <m:sSubPr>
                    <m:ctrlPr>
                      <w:rPr>
                        <w:rFonts w:ascii="Cambria Math" w:hAnsi="Cambria Math"/>
                        <w:b w:val="0"/>
                        <w:color w:val="000000" w:themeColor="text1"/>
                        <w:lang w:val="en-US"/>
                      </w:rPr>
                    </m:ctrlPr>
                  </m:sSubPr>
                  <m:e>
                    <m:r>
                      <w:rPr>
                        <w:rFonts w:ascii="Cambria Math" w:hAnsi="Cambria Math"/>
                        <w:color w:val="000000" w:themeColor="text1"/>
                      </w:rPr>
                      <m:t>α</m:t>
                    </m:r>
                  </m:e>
                  <m:sub>
                    <m:r>
                      <w:rPr>
                        <w:rFonts w:ascii="Cambria Math" w:hAnsi="Cambria Math"/>
                        <w:color w:val="000000" w:themeColor="text1"/>
                      </w:rPr>
                      <m:t>W</m:t>
                    </m:r>
                  </m:sub>
                </m:sSub>
              </m:oMath>
            </m:oMathPara>
            <w:bookmarkStart w:id="0" w:name="_GoBack"/>
            <w:bookmarkEnd w:id="0"/>
          </w:p>
        </w:tc>
        <w:tc>
          <w:tcPr>
            <w:tcW w:w="2775" w:type="dxa"/>
            <w:vAlign w:val="center"/>
          </w:tcPr>
          <w:p w14:paraId="4B7CBADB"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sidRPr="006B2662">
              <w:rPr>
                <w:rFonts w:cstheme="minorHAnsi"/>
                <w:lang w:val="en-US"/>
              </w:rPr>
              <w:t>Reservoir outflow coefficient</w:t>
            </w:r>
          </w:p>
        </w:tc>
        <w:tc>
          <w:tcPr>
            <w:tcW w:w="1559" w:type="dxa"/>
            <w:vAlign w:val="center"/>
          </w:tcPr>
          <w:p w14:paraId="0B193516"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wAlpha</w:t>
            </w:r>
            <w:proofErr w:type="spellEnd"/>
          </w:p>
        </w:tc>
        <w:tc>
          <w:tcPr>
            <w:tcW w:w="1751" w:type="dxa"/>
            <w:vAlign w:val="center"/>
          </w:tcPr>
          <w:p w14:paraId="61163214"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Reservoirs</w:t>
            </w:r>
          </w:p>
        </w:tc>
        <w:tc>
          <w:tcPr>
            <w:tcW w:w="2125" w:type="dxa"/>
            <w:vAlign w:val="center"/>
          </w:tcPr>
          <w:p w14:paraId="2B8C2619"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Not used</w:t>
            </w:r>
          </w:p>
        </w:tc>
      </w:tr>
      <w:tr w:rsidR="006B2662" w:rsidRPr="006A158F" w14:paraId="6F7A36B5"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A61703" w14:textId="69E20B88" w:rsidR="006B2662" w:rsidRPr="006B2662" w:rsidRDefault="006B2662" w:rsidP="006B2662">
            <w:pPr>
              <w:rPr>
                <w:i/>
                <w:lang w:val="en-US"/>
              </w:rPr>
            </w:pPr>
            <m:oMathPara>
              <m:oMath>
                <m:sSub>
                  <m:sSubPr>
                    <m:ctrlPr>
                      <w:rPr>
                        <w:rFonts w:ascii="Cambria Math" w:hAnsi="Cambria Math"/>
                        <w:color w:val="000000" w:themeColor="text1"/>
                        <w:lang w:val="en-US"/>
                      </w:rPr>
                    </m:ctrlPr>
                  </m:sSubPr>
                  <m:e>
                    <m:r>
                      <m:rPr>
                        <m:sty m:val="bi"/>
                      </m:rPr>
                      <w:rPr>
                        <w:rFonts w:ascii="Cambria Math" w:hAnsi="Cambria Math"/>
                        <w:color w:val="000000" w:themeColor="text1"/>
                      </w:rPr>
                      <m:t>α</m:t>
                    </m:r>
                  </m:e>
                  <m:sub>
                    <m:r>
                      <m:rPr>
                        <m:sty m:val="bi"/>
                      </m:rPr>
                      <w:rPr>
                        <w:rFonts w:ascii="Cambria Math" w:hAnsi="Cambria Math"/>
                        <w:color w:val="000000" w:themeColor="text1"/>
                      </w:rPr>
                      <m:t>GW</m:t>
                    </m:r>
                  </m:sub>
                </m:sSub>
              </m:oMath>
            </m:oMathPara>
          </w:p>
        </w:tc>
        <w:tc>
          <w:tcPr>
            <w:tcW w:w="2775" w:type="dxa"/>
            <w:vAlign w:val="center"/>
          </w:tcPr>
          <w:p w14:paraId="69CDB1D1"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B2662">
              <w:rPr>
                <w:rFonts w:cstheme="minorHAnsi"/>
                <w:lang w:val="en-US"/>
              </w:rPr>
              <w:t>Groundwater outflow coefficient</w:t>
            </w:r>
          </w:p>
        </w:tc>
        <w:tc>
          <w:tcPr>
            <w:tcW w:w="1559" w:type="dxa"/>
            <w:vAlign w:val="center"/>
          </w:tcPr>
          <w:p w14:paraId="132B9611"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wGwFlow</w:t>
            </w:r>
            <w:proofErr w:type="spellEnd"/>
          </w:p>
        </w:tc>
        <w:tc>
          <w:tcPr>
            <w:tcW w:w="1751" w:type="dxa"/>
            <w:vAlign w:val="center"/>
          </w:tcPr>
          <w:p w14:paraId="0A28B650"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Catchments</w:t>
            </w:r>
          </w:p>
        </w:tc>
        <w:tc>
          <w:tcPr>
            <w:tcW w:w="2125" w:type="dxa"/>
            <w:vAlign w:val="center"/>
          </w:tcPr>
          <w:p w14:paraId="56E6CE03"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Not used</w:t>
            </w:r>
          </w:p>
        </w:tc>
      </w:tr>
      <w:tr w:rsidR="006B2662" w:rsidRPr="006A158F" w14:paraId="6FFC7CC8"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91B3FE" w14:textId="34184A4C" w:rsidR="006B2662" w:rsidRPr="006B2662" w:rsidRDefault="006B2662" w:rsidP="006B2662">
            <w:pP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W,trans</m:t>
                    </m:r>
                  </m:sub>
                </m:sSub>
              </m:oMath>
            </m:oMathPara>
          </w:p>
        </w:tc>
        <w:tc>
          <w:tcPr>
            <w:tcW w:w="2775" w:type="dxa"/>
            <w:vAlign w:val="center"/>
          </w:tcPr>
          <w:p w14:paraId="76B2E306"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sidRPr="006B2662">
              <w:rPr>
                <w:rFonts w:eastAsiaTheme="minorEastAsia"/>
                <w:lang w:val="en-US"/>
              </w:rPr>
              <w:t>Transfer scheme loss rate</w:t>
            </w:r>
          </w:p>
        </w:tc>
        <w:tc>
          <w:tcPr>
            <w:tcW w:w="1559" w:type="dxa"/>
            <w:vAlign w:val="center"/>
          </w:tcPr>
          <w:p w14:paraId="47BC4F85"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wTransLoss</w:t>
            </w:r>
            <w:proofErr w:type="spellEnd"/>
          </w:p>
        </w:tc>
        <w:tc>
          <w:tcPr>
            <w:tcW w:w="1751" w:type="dxa"/>
            <w:vAlign w:val="center"/>
          </w:tcPr>
          <w:p w14:paraId="1E43825A"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TransferSchemes</w:t>
            </w:r>
            <w:proofErr w:type="spellEnd"/>
          </w:p>
        </w:tc>
        <w:tc>
          <w:tcPr>
            <w:tcW w:w="2125" w:type="dxa"/>
            <w:vAlign w:val="center"/>
          </w:tcPr>
          <w:p w14:paraId="1EEC72CA"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Not used</w:t>
            </w:r>
          </w:p>
        </w:tc>
      </w:tr>
      <w:tr w:rsidR="006B2662" w:rsidRPr="006A158F" w14:paraId="3226051E"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4BF6D9" w14:textId="21D39CAB" w:rsidR="006B2662" w:rsidRPr="006B2662" w:rsidRDefault="006B2662" w:rsidP="006B2662">
            <w:pPr>
              <w:rPr>
                <w:i/>
                <w:lang w:val="en-US"/>
              </w:rPr>
            </w:pPr>
            <m:oMathPara>
              <m:oMath>
                <m:sSub>
                  <m:sSubPr>
                    <m:ctrlPr>
                      <w:rPr>
                        <w:rFonts w:ascii="Cambria Math" w:hAnsi="Cambria Math"/>
                        <w:color w:val="000000" w:themeColor="text1"/>
                      </w:rPr>
                    </m:ctrlPr>
                  </m:sSubPr>
                  <m:e>
                    <m:acc>
                      <m:accPr>
                        <m:chr m:val="̅"/>
                        <m:ctrlPr>
                          <w:rPr>
                            <w:rFonts w:ascii="Cambria Math" w:eastAsia="Times New Roman" w:hAnsi="Cambria Math"/>
                            <w:b w:val="0"/>
                            <w:bCs w:val="0"/>
                            <w:i/>
                            <w:color w:val="000000" w:themeColor="text1"/>
                            <w:lang w:val="en-US" w:eastAsia="de-DE"/>
                          </w:rPr>
                        </m:ctrlPr>
                      </m:accPr>
                      <m:e>
                        <m:r>
                          <m:rPr>
                            <m:sty m:val="bi"/>
                          </m:rPr>
                          <w:rPr>
                            <w:rFonts w:ascii="Cambria Math" w:hAnsi="Cambria Math"/>
                            <w:color w:val="000000" w:themeColor="text1"/>
                          </w:rPr>
                          <m:t>T</m:t>
                        </m:r>
                      </m:e>
                    </m:acc>
                  </m:e>
                  <m:sub>
                    <m:r>
                      <m:rPr>
                        <m:sty m:val="b"/>
                      </m:rPr>
                      <w:rPr>
                        <w:rFonts w:ascii="Cambria Math" w:hAnsi="Cambria Math"/>
                        <w:color w:val="000000" w:themeColor="text1"/>
                      </w:rPr>
                      <m:t>W,trans</m:t>
                    </m:r>
                  </m:sub>
                </m:sSub>
              </m:oMath>
            </m:oMathPara>
          </w:p>
        </w:tc>
        <w:tc>
          <w:tcPr>
            <w:tcW w:w="2775" w:type="dxa"/>
            <w:vAlign w:val="center"/>
          </w:tcPr>
          <w:p w14:paraId="3149B5C7"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rFonts w:eastAsiaTheme="minorEastAsia"/>
                <w:lang w:val="en-US"/>
              </w:rPr>
              <w:t>Capacity of the transfer scheme</w:t>
            </w:r>
          </w:p>
        </w:tc>
        <w:tc>
          <w:tcPr>
            <w:tcW w:w="1559" w:type="dxa"/>
            <w:vAlign w:val="center"/>
          </w:tcPr>
          <w:p w14:paraId="73CF700D"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wTransCap</w:t>
            </w:r>
            <w:proofErr w:type="spellEnd"/>
          </w:p>
        </w:tc>
        <w:tc>
          <w:tcPr>
            <w:tcW w:w="1751" w:type="dxa"/>
            <w:vAlign w:val="center"/>
          </w:tcPr>
          <w:p w14:paraId="780A9DFA"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TransferSchemes</w:t>
            </w:r>
            <w:proofErr w:type="spellEnd"/>
          </w:p>
        </w:tc>
        <w:tc>
          <w:tcPr>
            <w:tcW w:w="2125" w:type="dxa"/>
            <w:vAlign w:val="center"/>
          </w:tcPr>
          <w:p w14:paraId="4A5B7861"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Not used</w:t>
            </w:r>
          </w:p>
        </w:tc>
      </w:tr>
      <w:tr w:rsidR="006B2662" w:rsidRPr="006A158F" w14:paraId="3F15B219"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9F2E9B" w14:textId="5984B648" w:rsidR="006B2662" w:rsidRPr="006B2662" w:rsidRDefault="006B2662" w:rsidP="006B2662">
            <w:pPr>
              <w:rPr>
                <w:rFonts w:eastAsia="Calibri"/>
                <w:i/>
                <w:lang w:val="en-US"/>
              </w:rPr>
            </w:pPr>
            <m:oMathPara>
              <m:oMath>
                <m:sSub>
                  <m:sSubPr>
                    <m:ctrlPr>
                      <w:rPr>
                        <w:rFonts w:ascii="Cambria Math" w:eastAsiaTheme="minorEastAsia" w:hAnsi="Cambria Math"/>
                        <w:color w:val="000000" w:themeColor="text1"/>
                      </w:rPr>
                    </m:ctrlPr>
                  </m:sSubPr>
                  <m:e>
                    <m:r>
                      <m:rPr>
                        <m:sty m:val="b"/>
                      </m:rPr>
                      <w:rPr>
                        <w:rFonts w:ascii="Cambria Math" w:eastAsiaTheme="minorEastAsia" w:hAnsi="Cambria Math"/>
                        <w:color w:val="000000" w:themeColor="text1"/>
                      </w:rPr>
                      <m:t>q</m:t>
                    </m:r>
                  </m:e>
                  <m:sub>
                    <m:r>
                      <m:rPr>
                        <m:sty m:val="bi"/>
                      </m:rPr>
                      <w:rPr>
                        <w:rFonts w:ascii="Cambria Math" w:eastAsiaTheme="minorEastAsia" w:hAnsi="Cambria Math"/>
                        <w:color w:val="000000" w:themeColor="text1"/>
                      </w:rPr>
                      <m:t>env</m:t>
                    </m:r>
                  </m:sub>
                </m:sSub>
              </m:oMath>
            </m:oMathPara>
          </w:p>
        </w:tc>
        <w:tc>
          <w:tcPr>
            <w:tcW w:w="2775" w:type="dxa"/>
            <w:vAlign w:val="center"/>
          </w:tcPr>
          <w:p w14:paraId="30CBE0ED"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rFonts w:eastAsiaTheme="minorEastAsia"/>
                <w:lang w:val="en-US"/>
              </w:rPr>
              <w:t>Environmental flow requirement</w:t>
            </w:r>
          </w:p>
        </w:tc>
        <w:tc>
          <w:tcPr>
            <w:tcW w:w="1559" w:type="dxa"/>
            <w:vAlign w:val="center"/>
          </w:tcPr>
          <w:p w14:paraId="1880BE3D"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wEnvFlow</w:t>
            </w:r>
            <w:proofErr w:type="spellEnd"/>
          </w:p>
        </w:tc>
        <w:tc>
          <w:tcPr>
            <w:tcW w:w="1751" w:type="dxa"/>
            <w:vAlign w:val="center"/>
          </w:tcPr>
          <w:p w14:paraId="1E0EF158"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EnvFlow</w:t>
            </w:r>
            <w:proofErr w:type="spellEnd"/>
          </w:p>
        </w:tc>
        <w:tc>
          <w:tcPr>
            <w:tcW w:w="2125" w:type="dxa"/>
            <w:vAlign w:val="center"/>
          </w:tcPr>
          <w:p w14:paraId="3E4D85E0" w14:textId="1DAACFB0"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3280C4C4"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5E4D1D" w14:textId="05384688" w:rsidR="006B2662" w:rsidRPr="006B2662" w:rsidRDefault="006B2662" w:rsidP="006B2662">
            <w:pPr>
              <w:rPr>
                <w:i/>
                <w:lang w:val="en-US"/>
              </w:rPr>
            </w:pPr>
            <m:oMathPara>
              <m:oMath>
                <m:sSub>
                  <m:sSubPr>
                    <m:ctrlPr>
                      <w:rPr>
                        <w:rFonts w:ascii="Cambria Math" w:hAnsi="Cambria Math"/>
                        <w:color w:val="000000" w:themeColor="text1"/>
                      </w:rPr>
                    </m:ctrlPr>
                  </m:sSubPr>
                  <m:e>
                    <m:r>
                      <m:rPr>
                        <m:sty m:val="b"/>
                      </m:rPr>
                      <w:rPr>
                        <w:rFonts w:ascii="Cambria Math" w:hAnsi="Cambria Math"/>
                        <w:color w:val="000000" w:themeColor="text1"/>
                      </w:rPr>
                      <m:t>d</m:t>
                    </m:r>
                  </m:e>
                  <m:sub>
                    <m:r>
                      <m:rPr>
                        <m:sty m:val="bi"/>
                      </m:rPr>
                      <w:rPr>
                        <w:rFonts w:ascii="Cambria Math" w:hAnsi="Cambria Math"/>
                        <w:color w:val="000000" w:themeColor="text1"/>
                      </w:rPr>
                      <m:t>W</m:t>
                    </m:r>
                  </m:sub>
                </m:sSub>
              </m:oMath>
            </m:oMathPara>
          </w:p>
        </w:tc>
        <w:tc>
          <w:tcPr>
            <w:tcW w:w="2775" w:type="dxa"/>
            <w:vAlign w:val="center"/>
          </w:tcPr>
          <w:p w14:paraId="42C117D1"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User net water demand</w:t>
            </w:r>
          </w:p>
        </w:tc>
        <w:tc>
          <w:tcPr>
            <w:tcW w:w="1559" w:type="dxa"/>
            <w:vAlign w:val="center"/>
          </w:tcPr>
          <w:p w14:paraId="04BB954E"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wUserDem</w:t>
            </w:r>
            <w:proofErr w:type="spellEnd"/>
          </w:p>
        </w:tc>
        <w:tc>
          <w:tcPr>
            <w:tcW w:w="1751" w:type="dxa"/>
            <w:vAlign w:val="center"/>
          </w:tcPr>
          <w:p w14:paraId="2B5B85CA"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UserDemand</w:t>
            </w:r>
            <w:proofErr w:type="spellEnd"/>
          </w:p>
        </w:tc>
        <w:tc>
          <w:tcPr>
            <w:tcW w:w="2125" w:type="dxa"/>
            <w:vAlign w:val="center"/>
          </w:tcPr>
          <w:p w14:paraId="71284F8D" w14:textId="46688728"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147CFC6D"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096674" w14:textId="4074CDD7" w:rsidR="006B2662" w:rsidRPr="006B2662" w:rsidRDefault="006B2662" w:rsidP="006B2662">
            <w:pPr>
              <w:rPr>
                <w:rFonts w:eastAsia="Calibri"/>
                <w:i/>
                <w:color w:val="000000" w:themeColor="text1"/>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user</m:t>
                    </m:r>
                  </m:sub>
                </m:sSub>
              </m:oMath>
            </m:oMathPara>
          </w:p>
        </w:tc>
        <w:tc>
          <w:tcPr>
            <w:tcW w:w="2775" w:type="dxa"/>
            <w:vAlign w:val="center"/>
          </w:tcPr>
          <w:p w14:paraId="30AC1C0D"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6B2662">
              <w:rPr>
                <w:color w:val="000000" w:themeColor="text1"/>
                <w:lang w:val="en-US"/>
              </w:rPr>
              <w:t>User loss rate</w:t>
            </w:r>
          </w:p>
        </w:tc>
        <w:tc>
          <w:tcPr>
            <w:tcW w:w="1559" w:type="dxa"/>
            <w:vAlign w:val="center"/>
          </w:tcPr>
          <w:p w14:paraId="55BCE322"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wUserLoss</w:t>
            </w:r>
            <w:proofErr w:type="spellEnd"/>
          </w:p>
        </w:tc>
        <w:tc>
          <w:tcPr>
            <w:tcW w:w="1751" w:type="dxa"/>
            <w:vAlign w:val="center"/>
          </w:tcPr>
          <w:p w14:paraId="4A6262F9"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WaterUsers</w:t>
            </w:r>
            <w:proofErr w:type="spellEnd"/>
          </w:p>
        </w:tc>
        <w:tc>
          <w:tcPr>
            <w:tcW w:w="2125" w:type="dxa"/>
            <w:vAlign w:val="center"/>
          </w:tcPr>
          <w:p w14:paraId="3B7BB935" w14:textId="227D54E1"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59A082C3"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EC90BB" w14:textId="73E805CF" w:rsidR="006B2662" w:rsidRPr="006B2662" w:rsidRDefault="006B2662" w:rsidP="006B2662">
            <w:pPr>
              <w:rPr>
                <w:rFonts w:eastAsia="Calibri"/>
                <w:i/>
                <w:color w:val="000000" w:themeColor="text1"/>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user</m:t>
                    </m:r>
                  </m:sub>
                </m:sSub>
              </m:oMath>
            </m:oMathPara>
          </w:p>
        </w:tc>
        <w:tc>
          <w:tcPr>
            <w:tcW w:w="2775" w:type="dxa"/>
            <w:vAlign w:val="center"/>
          </w:tcPr>
          <w:p w14:paraId="23791314"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6B2662">
              <w:rPr>
                <w:color w:val="000000" w:themeColor="text1"/>
                <w:lang w:val="en-US"/>
              </w:rPr>
              <w:t>User return flow rate</w:t>
            </w:r>
          </w:p>
        </w:tc>
        <w:tc>
          <w:tcPr>
            <w:tcW w:w="1559" w:type="dxa"/>
            <w:vAlign w:val="center"/>
          </w:tcPr>
          <w:p w14:paraId="76DDA221"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wUserRturn</w:t>
            </w:r>
            <w:proofErr w:type="spellEnd"/>
          </w:p>
        </w:tc>
        <w:tc>
          <w:tcPr>
            <w:tcW w:w="1751" w:type="dxa"/>
            <w:vAlign w:val="center"/>
          </w:tcPr>
          <w:p w14:paraId="2FA1D136" w14:textId="77777777"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WaterUsers</w:t>
            </w:r>
            <w:proofErr w:type="spellEnd"/>
          </w:p>
        </w:tc>
        <w:tc>
          <w:tcPr>
            <w:tcW w:w="2125" w:type="dxa"/>
            <w:vAlign w:val="center"/>
          </w:tcPr>
          <w:p w14:paraId="6DE3DCF5" w14:textId="44F7C88E"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fldChar w:fldCharType="begin" w:fldLock="1"/>
            </w:r>
            <w:r w:rsidRPr="006B2662">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6B2662">
              <w:rPr>
                <w:lang w:val="en-US"/>
              </w:rPr>
              <w:fldChar w:fldCharType="separate"/>
            </w:r>
            <w:r w:rsidRPr="006B2662">
              <w:rPr>
                <w:noProof/>
                <w:lang w:val="en-US"/>
              </w:rPr>
              <w:t>(World Bank, 2010)</w:t>
            </w:r>
            <w:r w:rsidRPr="006B2662">
              <w:rPr>
                <w:lang w:val="en-US"/>
              </w:rPr>
              <w:fldChar w:fldCharType="end"/>
            </w:r>
          </w:p>
        </w:tc>
      </w:tr>
      <w:tr w:rsidR="006B2662" w:rsidRPr="006A158F" w14:paraId="60F32BC2"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C55212" w14:textId="09958C1A" w:rsidR="006B2662" w:rsidRPr="006B2662" w:rsidRDefault="006B2662" w:rsidP="006B2662">
            <w:pPr>
              <w:rPr>
                <w:i/>
                <w:color w:val="000000" w:themeColor="text1"/>
                <w:lang w:val="en-US"/>
              </w:rPr>
            </w:pPr>
            <m:oMathPara>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i"/>
                      </m:rPr>
                      <w:rPr>
                        <w:rFonts w:ascii="Cambria Math" w:hAnsi="Cambria Math"/>
                        <w:color w:val="000000" w:themeColor="text1"/>
                      </w:rPr>
                      <m:t>W</m:t>
                    </m:r>
                  </m:sub>
                </m:sSub>
              </m:oMath>
            </m:oMathPara>
          </w:p>
        </w:tc>
        <w:tc>
          <w:tcPr>
            <w:tcW w:w="2775" w:type="dxa"/>
            <w:vAlign w:val="center"/>
          </w:tcPr>
          <w:p w14:paraId="15EA7793"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6B2662">
              <w:rPr>
                <w:color w:val="000000" w:themeColor="text1"/>
                <w:lang w:val="en-US"/>
              </w:rPr>
              <w:t>Marginal value of water use</w:t>
            </w:r>
          </w:p>
        </w:tc>
        <w:tc>
          <w:tcPr>
            <w:tcW w:w="1559" w:type="dxa"/>
            <w:vAlign w:val="center"/>
          </w:tcPr>
          <w:p w14:paraId="5EF9FFC4"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wUserVal</w:t>
            </w:r>
            <w:proofErr w:type="spellEnd"/>
          </w:p>
        </w:tc>
        <w:tc>
          <w:tcPr>
            <w:tcW w:w="1751" w:type="dxa"/>
            <w:vAlign w:val="center"/>
          </w:tcPr>
          <w:p w14:paraId="37D5F957" w14:textId="77777777"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WaterUsers</w:t>
            </w:r>
            <w:proofErr w:type="spellEnd"/>
          </w:p>
        </w:tc>
        <w:tc>
          <w:tcPr>
            <w:tcW w:w="2125" w:type="dxa"/>
            <w:vAlign w:val="center"/>
          </w:tcPr>
          <w:p w14:paraId="26CB511A" w14:textId="4E795741"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Empirical</w:t>
            </w:r>
          </w:p>
        </w:tc>
      </w:tr>
      <w:tr w:rsidR="006B2662" w:rsidRPr="009404A5" w14:paraId="70AF3CD8" w14:textId="77777777" w:rsidTr="009404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6BF230" w14:textId="2DD78FB2" w:rsidR="006B2662" w:rsidRPr="006B2662" w:rsidRDefault="006B2662" w:rsidP="006B2662">
            <w:pPr>
              <w:rPr>
                <w:rFonts w:eastAsia="Calibri" w:cs="Times New Roman"/>
                <w:color w:val="000000" w:themeColor="text1"/>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W</m:t>
                    </m:r>
                  </m:sub>
                </m:sSub>
              </m:oMath>
            </m:oMathPara>
          </w:p>
        </w:tc>
        <w:tc>
          <w:tcPr>
            <w:tcW w:w="2775" w:type="dxa"/>
            <w:vAlign w:val="center"/>
          </w:tcPr>
          <w:p w14:paraId="5D36C8D8" w14:textId="41B0741C"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6B2662">
              <w:rPr>
                <w:rFonts w:cstheme="minorHAnsi"/>
                <w:color w:val="000000" w:themeColor="text1"/>
                <w:lang w:val="en-US"/>
              </w:rPr>
              <w:t>Cost of surface water supply</w:t>
            </w:r>
          </w:p>
        </w:tc>
        <w:tc>
          <w:tcPr>
            <w:tcW w:w="1559" w:type="dxa"/>
            <w:vAlign w:val="center"/>
          </w:tcPr>
          <w:p w14:paraId="19C3E328" w14:textId="47549330"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B2662">
              <w:rPr>
                <w:lang w:val="en-US"/>
              </w:rPr>
              <w:t>wSupCost</w:t>
            </w:r>
            <w:proofErr w:type="spellEnd"/>
          </w:p>
        </w:tc>
        <w:tc>
          <w:tcPr>
            <w:tcW w:w="1751" w:type="dxa"/>
            <w:vAlign w:val="center"/>
          </w:tcPr>
          <w:p w14:paraId="0AEE4376" w14:textId="67F95998"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Aquifers</w:t>
            </w:r>
          </w:p>
        </w:tc>
        <w:tc>
          <w:tcPr>
            <w:tcW w:w="2125" w:type="dxa"/>
            <w:vAlign w:val="center"/>
          </w:tcPr>
          <w:p w14:paraId="719EB5BE" w14:textId="4BD8426D" w:rsidR="006B2662" w:rsidRPr="006B2662"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6B2662">
              <w:rPr>
                <w:lang w:val="en-US"/>
              </w:rPr>
              <w:t>Not used</w:t>
            </w:r>
          </w:p>
        </w:tc>
      </w:tr>
      <w:tr w:rsidR="006B2662" w:rsidRPr="009404A5" w14:paraId="6FA75A5E" w14:textId="77777777" w:rsidTr="009404A5">
        <w:trPr>
          <w:trHeight w:val="3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BE305E" w14:textId="296324D9" w:rsidR="006B2662" w:rsidRPr="006B2662" w:rsidRDefault="006B2662" w:rsidP="006B2662">
            <w:pPr>
              <w:rPr>
                <w:rFonts w:eastAsia="Calibri" w:cs="Times New Roman"/>
                <w:color w:val="000000" w:themeColor="text1"/>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GW</m:t>
                    </m:r>
                  </m:sub>
                </m:sSub>
              </m:oMath>
            </m:oMathPara>
          </w:p>
        </w:tc>
        <w:tc>
          <w:tcPr>
            <w:tcW w:w="2775" w:type="dxa"/>
            <w:vAlign w:val="center"/>
          </w:tcPr>
          <w:p w14:paraId="54525067" w14:textId="5B896808"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6B2662">
              <w:rPr>
                <w:rFonts w:cstheme="minorHAnsi"/>
                <w:color w:val="000000" w:themeColor="text1"/>
                <w:lang w:val="en-US"/>
              </w:rPr>
              <w:t>Cost of groundwater water supply</w:t>
            </w:r>
          </w:p>
        </w:tc>
        <w:tc>
          <w:tcPr>
            <w:tcW w:w="1559" w:type="dxa"/>
            <w:vAlign w:val="center"/>
          </w:tcPr>
          <w:p w14:paraId="74E3597B" w14:textId="10B99780"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B2662">
              <w:rPr>
                <w:lang w:val="en-US"/>
              </w:rPr>
              <w:t>wGwCost</w:t>
            </w:r>
            <w:proofErr w:type="spellEnd"/>
          </w:p>
        </w:tc>
        <w:tc>
          <w:tcPr>
            <w:tcW w:w="1751" w:type="dxa"/>
            <w:vAlign w:val="center"/>
          </w:tcPr>
          <w:p w14:paraId="50ECAA42" w14:textId="1E08F642"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Aquifers</w:t>
            </w:r>
          </w:p>
        </w:tc>
        <w:tc>
          <w:tcPr>
            <w:tcW w:w="2125" w:type="dxa"/>
            <w:vAlign w:val="center"/>
          </w:tcPr>
          <w:p w14:paraId="224C9971" w14:textId="427920E5" w:rsidR="006B2662" w:rsidRPr="006B2662"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6B2662">
              <w:rPr>
                <w:lang w:val="en-US"/>
              </w:rPr>
              <w:t>Not used</w:t>
            </w:r>
          </w:p>
        </w:tc>
      </w:tr>
    </w:tbl>
    <w:p w14:paraId="6BE29F18" w14:textId="77777777" w:rsidR="00396091" w:rsidRPr="006A158F" w:rsidRDefault="00396091" w:rsidP="00396091">
      <w:pPr>
        <w:rPr>
          <w:lang w:val="en-US"/>
        </w:rPr>
      </w:pPr>
      <w:r w:rsidRPr="006A158F">
        <w:rPr>
          <w:lang w:val="en-US"/>
        </w:rPr>
        <w:t xml:space="preserve"> </w:t>
      </w:r>
    </w:p>
    <w:p w14:paraId="15635DFB" w14:textId="77777777" w:rsidR="00923395" w:rsidRDefault="00923395">
      <w:pPr>
        <w:rPr>
          <w:rFonts w:asciiTheme="majorHAnsi" w:eastAsiaTheme="majorEastAsia" w:hAnsiTheme="majorHAnsi" w:cstheme="majorBidi"/>
          <w:color w:val="2F5496" w:themeColor="accent1" w:themeShade="BF"/>
          <w:sz w:val="32"/>
          <w:szCs w:val="32"/>
          <w:lang w:val="en-US"/>
        </w:rPr>
      </w:pPr>
      <w:r>
        <w:rPr>
          <w:lang w:val="en-US"/>
        </w:rPr>
        <w:br w:type="page"/>
      </w:r>
    </w:p>
    <w:p w14:paraId="0DA4E2F0" w14:textId="556B6DE2" w:rsidR="000A0DA5" w:rsidRPr="006A158F" w:rsidRDefault="0028668F" w:rsidP="003353BC">
      <w:pPr>
        <w:pStyle w:val="Heading1"/>
        <w:rPr>
          <w:lang w:val="en-US"/>
        </w:rPr>
      </w:pPr>
      <w:r w:rsidRPr="006A158F">
        <w:rPr>
          <w:lang w:val="en-US"/>
        </w:rPr>
        <w:lastRenderedPageBreak/>
        <w:t>Agriculture production module</w:t>
      </w:r>
    </w:p>
    <w:p w14:paraId="7F35B820" w14:textId="2DCF1499" w:rsidR="006A158F" w:rsidRPr="000C1A7D" w:rsidRDefault="006A158F" w:rsidP="006A158F">
      <w:pPr>
        <w:pStyle w:val="Caption"/>
        <w:keepNext/>
        <w:rPr>
          <w:lang w:val="en-US"/>
        </w:rPr>
      </w:pPr>
      <w:r w:rsidRPr="000C1A7D">
        <w:rPr>
          <w:lang w:val="en-US"/>
        </w:rPr>
        <w:t xml:space="preserve">Table </w:t>
      </w:r>
      <w:r w:rsidRPr="000C1A7D">
        <w:rPr>
          <w:lang w:val="en-US"/>
        </w:rPr>
        <w:fldChar w:fldCharType="begin"/>
      </w:r>
      <w:r w:rsidRPr="000C1A7D">
        <w:rPr>
          <w:lang w:val="en-US"/>
        </w:rPr>
        <w:instrText xml:space="preserve"> SEQ Table \* ARABIC </w:instrText>
      </w:r>
      <w:r w:rsidRPr="000C1A7D">
        <w:rPr>
          <w:lang w:val="en-US"/>
        </w:rPr>
        <w:fldChar w:fldCharType="separate"/>
      </w:r>
      <w:r w:rsidR="00C866A3">
        <w:rPr>
          <w:noProof/>
          <w:lang w:val="en-US"/>
        </w:rPr>
        <w:t>2</w:t>
      </w:r>
      <w:r w:rsidRPr="000C1A7D">
        <w:rPr>
          <w:lang w:val="en-US"/>
        </w:rPr>
        <w:fldChar w:fldCharType="end"/>
      </w:r>
      <w:r w:rsidRPr="000C1A7D">
        <w:rPr>
          <w:lang w:val="en-US"/>
        </w:rPr>
        <w:t>: Parameters of the Agriculture production module contained in the AgricultureModule.xlsx file. The parameters are called after their name in the HESS publication, but the name used in the python model is also indicated. The relevant pages of the sources are indicated in the excel files when available.</w:t>
      </w:r>
    </w:p>
    <w:tbl>
      <w:tblPr>
        <w:tblStyle w:val="PlainTable4"/>
        <w:tblW w:w="0" w:type="auto"/>
        <w:tblLook w:val="04A0" w:firstRow="1" w:lastRow="0" w:firstColumn="1" w:lastColumn="0" w:noHBand="0" w:noVBand="1"/>
      </w:tblPr>
      <w:tblGrid>
        <w:gridCol w:w="1560"/>
        <w:gridCol w:w="2268"/>
        <w:gridCol w:w="1559"/>
        <w:gridCol w:w="1701"/>
        <w:gridCol w:w="2528"/>
      </w:tblGrid>
      <w:tr w:rsidR="000A0DA5" w:rsidRPr="00134F1F" w14:paraId="422B15A0" w14:textId="77777777" w:rsidTr="0092339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7A78C420" w14:textId="6CA8B712" w:rsidR="000A0DA5" w:rsidRPr="00134F1F" w:rsidRDefault="000A0DA5" w:rsidP="00923395">
            <w:pPr>
              <w:jc w:val="center"/>
              <w:rPr>
                <w:b w:val="0"/>
                <w:sz w:val="20"/>
                <w:szCs w:val="20"/>
                <w:lang w:val="en-US"/>
              </w:rPr>
            </w:pPr>
            <w:r w:rsidRPr="00134F1F">
              <w:rPr>
                <w:b w:val="0"/>
                <w:sz w:val="20"/>
                <w:szCs w:val="20"/>
                <w:lang w:val="en-US"/>
              </w:rPr>
              <w:t>Notation in publication</w:t>
            </w:r>
          </w:p>
        </w:tc>
        <w:tc>
          <w:tcPr>
            <w:tcW w:w="2268" w:type="dxa"/>
            <w:tcBorders>
              <w:bottom w:val="single" w:sz="4" w:space="0" w:color="auto"/>
            </w:tcBorders>
            <w:vAlign w:val="center"/>
          </w:tcPr>
          <w:p w14:paraId="0608FA49" w14:textId="293E0D6A" w:rsidR="000A0DA5" w:rsidRPr="00134F1F" w:rsidRDefault="000A0DA5" w:rsidP="00923395">
            <w:pPr>
              <w:jc w:val="cente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134F1F">
              <w:rPr>
                <w:b w:val="0"/>
                <w:sz w:val="20"/>
                <w:szCs w:val="20"/>
                <w:lang w:val="en-US"/>
              </w:rPr>
              <w:t>Description</w:t>
            </w:r>
          </w:p>
        </w:tc>
        <w:tc>
          <w:tcPr>
            <w:tcW w:w="1559" w:type="dxa"/>
            <w:tcBorders>
              <w:bottom w:val="single" w:sz="4" w:space="0" w:color="auto"/>
            </w:tcBorders>
            <w:vAlign w:val="center"/>
          </w:tcPr>
          <w:p w14:paraId="21768356" w14:textId="1B6218EA" w:rsidR="000A0DA5" w:rsidRPr="00134F1F" w:rsidRDefault="000A0DA5" w:rsidP="00923395">
            <w:pPr>
              <w:jc w:val="cente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134F1F">
              <w:rPr>
                <w:b w:val="0"/>
                <w:sz w:val="20"/>
                <w:szCs w:val="20"/>
                <w:lang w:val="en-US"/>
              </w:rPr>
              <w:t>Parameter name in model</w:t>
            </w:r>
          </w:p>
        </w:tc>
        <w:tc>
          <w:tcPr>
            <w:tcW w:w="1701" w:type="dxa"/>
            <w:tcBorders>
              <w:bottom w:val="single" w:sz="4" w:space="0" w:color="auto"/>
            </w:tcBorders>
            <w:vAlign w:val="center"/>
          </w:tcPr>
          <w:p w14:paraId="2BCCE471" w14:textId="1D628434" w:rsidR="000A0DA5" w:rsidRPr="00134F1F" w:rsidRDefault="000A0DA5" w:rsidP="00923395">
            <w:pPr>
              <w:jc w:val="cente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134F1F">
              <w:rPr>
                <w:b w:val="0"/>
                <w:sz w:val="20"/>
                <w:szCs w:val="20"/>
                <w:lang w:val="en-US"/>
              </w:rPr>
              <w:t>Excel sheet</w:t>
            </w:r>
          </w:p>
        </w:tc>
        <w:tc>
          <w:tcPr>
            <w:tcW w:w="2528" w:type="dxa"/>
            <w:tcBorders>
              <w:bottom w:val="single" w:sz="4" w:space="0" w:color="auto"/>
            </w:tcBorders>
            <w:vAlign w:val="center"/>
          </w:tcPr>
          <w:p w14:paraId="5A99324A" w14:textId="48E870F9" w:rsidR="000A0DA5" w:rsidRPr="00134F1F" w:rsidRDefault="000A0DA5" w:rsidP="00923395">
            <w:pPr>
              <w:jc w:val="cente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134F1F">
              <w:rPr>
                <w:b w:val="0"/>
                <w:sz w:val="20"/>
                <w:szCs w:val="20"/>
                <w:lang w:val="en-US"/>
              </w:rPr>
              <w:t>Source</w:t>
            </w:r>
          </w:p>
        </w:tc>
      </w:tr>
      <w:tr w:rsidR="000A0DA5" w:rsidRPr="006A158F" w14:paraId="5EB9FC90" w14:textId="77777777" w:rsidTr="0092339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auto"/>
          </w:tcPr>
          <w:p w14:paraId="23B01657" w14:textId="03B3E22C" w:rsidR="000A0DA5" w:rsidRPr="00923395" w:rsidRDefault="00923395" w:rsidP="00D20116">
            <w:pPr>
              <w:rPr>
                <w:rFonts w:ascii="Cambria Math" w:hAnsi="Cambria Math"/>
                <w:sz w:val="20"/>
                <w:szCs w:val="20"/>
                <w:lang w:val="en-US"/>
              </w:rPr>
            </w:pPr>
            <w:r w:rsidRPr="00923395">
              <w:rPr>
                <w:sz w:val="20"/>
                <w:szCs w:val="20"/>
                <w:lang w:val="en-US"/>
              </w:rPr>
              <w:t>Indices</w:t>
            </w:r>
          </w:p>
        </w:tc>
        <w:tc>
          <w:tcPr>
            <w:tcW w:w="8056" w:type="dxa"/>
            <w:gridSpan w:val="4"/>
            <w:tcBorders>
              <w:top w:val="single" w:sz="4" w:space="0" w:color="auto"/>
            </w:tcBorders>
            <w:shd w:val="clear" w:color="auto" w:fill="auto"/>
          </w:tcPr>
          <w:p w14:paraId="09E985AD" w14:textId="040E6836" w:rsidR="000A0DA5" w:rsidRPr="00923395" w:rsidRDefault="000A0DA5" w:rsidP="00D20116">
            <w:pPr>
              <w:cnfStyle w:val="000000100000" w:firstRow="0" w:lastRow="0" w:firstColumn="0" w:lastColumn="0" w:oddVBand="0" w:evenVBand="0" w:oddHBand="1" w:evenHBand="0" w:firstRowFirstColumn="0" w:firstRowLastColumn="0" w:lastRowFirstColumn="0" w:lastRowLastColumn="0"/>
              <w:rPr>
                <w:b/>
                <w:iCs/>
                <w:sz w:val="20"/>
                <w:szCs w:val="20"/>
                <w:lang w:val="en-US"/>
              </w:rPr>
            </w:pPr>
          </w:p>
        </w:tc>
      </w:tr>
      <w:tr w:rsidR="000A0DA5" w:rsidRPr="006A158F" w14:paraId="4D5A15AC"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2256A086" w14:textId="77777777" w:rsidR="000A0DA5" w:rsidRPr="00FB1F07" w:rsidRDefault="000A0DA5" w:rsidP="00D20116">
            <w:pPr>
              <w:jc w:val="center"/>
              <w:rPr>
                <w:b w:val="0"/>
                <w:lang w:val="en-US"/>
              </w:rPr>
            </w:pPr>
            <w:proofErr w:type="spellStart"/>
            <w:r w:rsidRPr="00FB1F07">
              <w:rPr>
                <w:b w:val="0"/>
                <w:lang w:val="en-US"/>
              </w:rPr>
              <w:t>fz</w:t>
            </w:r>
            <w:proofErr w:type="spellEnd"/>
          </w:p>
        </w:tc>
        <w:tc>
          <w:tcPr>
            <w:tcW w:w="2268" w:type="dxa"/>
          </w:tcPr>
          <w:p w14:paraId="7058E8AD" w14:textId="77777777" w:rsidR="000A0DA5" w:rsidRPr="00FB1F07" w:rsidRDefault="000A0DA5" w:rsidP="00D20116">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t>Farming zones</w:t>
            </w:r>
          </w:p>
        </w:tc>
        <w:tc>
          <w:tcPr>
            <w:tcW w:w="1559" w:type="dxa"/>
          </w:tcPr>
          <w:p w14:paraId="1DE3374D" w14:textId="6FBF9AD5"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nfzone</w:t>
            </w:r>
            <w:proofErr w:type="spellEnd"/>
          </w:p>
        </w:tc>
        <w:tc>
          <w:tcPr>
            <w:tcW w:w="1701" w:type="dxa"/>
          </w:tcPr>
          <w:p w14:paraId="3B3EFD4C" w14:textId="5F3A5F3C"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FarmingZones</w:t>
            </w:r>
            <w:proofErr w:type="spellEnd"/>
          </w:p>
        </w:tc>
        <w:tc>
          <w:tcPr>
            <w:tcW w:w="2528" w:type="dxa"/>
          </w:tcPr>
          <w:p w14:paraId="30CD4197" w14:textId="139E8B3D"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FB1F07">
              <w:rPr>
                <w:lang w:val="en-US"/>
              </w:rPr>
              <w:fldChar w:fldCharType="separate"/>
            </w:r>
            <w:r w:rsidRPr="00FB1F07">
              <w:rPr>
                <w:noProof/>
                <w:lang w:val="en-US"/>
              </w:rPr>
              <w:t>(World Bank, 2010)</w:t>
            </w:r>
            <w:r w:rsidRPr="00FB1F07">
              <w:rPr>
                <w:lang w:val="en-US"/>
              </w:rPr>
              <w:fldChar w:fldCharType="end"/>
            </w:r>
          </w:p>
        </w:tc>
      </w:tr>
      <w:tr w:rsidR="000A0DA5" w:rsidRPr="006A158F" w14:paraId="4D5D8E52"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13FE3CD5" w14:textId="77777777" w:rsidR="000A0DA5" w:rsidRPr="00FB1F07" w:rsidRDefault="000A0DA5" w:rsidP="00D20116">
            <w:pPr>
              <w:jc w:val="center"/>
              <w:rPr>
                <w:b w:val="0"/>
                <w:lang w:val="en-US"/>
              </w:rPr>
            </w:pPr>
            <w:r w:rsidRPr="00FB1F07">
              <w:rPr>
                <w:b w:val="0"/>
                <w:lang w:val="en-US"/>
              </w:rPr>
              <w:t>ft</w:t>
            </w:r>
          </w:p>
        </w:tc>
        <w:tc>
          <w:tcPr>
            <w:tcW w:w="2268" w:type="dxa"/>
          </w:tcPr>
          <w:p w14:paraId="1B706696" w14:textId="77777777" w:rsidR="000A0DA5" w:rsidRPr="00FB1F07" w:rsidRDefault="000A0DA5" w:rsidP="00D20116">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t>Farm types</w:t>
            </w:r>
          </w:p>
        </w:tc>
        <w:tc>
          <w:tcPr>
            <w:tcW w:w="1559" w:type="dxa"/>
          </w:tcPr>
          <w:p w14:paraId="421C4C9A" w14:textId="32490DC6"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nftype</w:t>
            </w:r>
            <w:proofErr w:type="spellEnd"/>
          </w:p>
        </w:tc>
        <w:tc>
          <w:tcPr>
            <w:tcW w:w="1701" w:type="dxa"/>
          </w:tcPr>
          <w:p w14:paraId="5374643E" w14:textId="7E03B4E6"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FarmTypes</w:t>
            </w:r>
            <w:proofErr w:type="spellEnd"/>
          </w:p>
        </w:tc>
        <w:tc>
          <w:tcPr>
            <w:tcW w:w="2528" w:type="dxa"/>
          </w:tcPr>
          <w:p w14:paraId="52B38E0E" w14:textId="2C49FC59"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t>-</w:t>
            </w:r>
          </w:p>
        </w:tc>
      </w:tr>
      <w:tr w:rsidR="000A0DA5" w:rsidRPr="006A158F" w14:paraId="485A95AE"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1929B476" w14:textId="77777777" w:rsidR="000A0DA5" w:rsidRPr="00FB1F07" w:rsidRDefault="000A0DA5" w:rsidP="00D20116">
            <w:pPr>
              <w:jc w:val="center"/>
              <w:rPr>
                <w:b w:val="0"/>
                <w:lang w:val="en-US"/>
              </w:rPr>
            </w:pPr>
            <w:proofErr w:type="spellStart"/>
            <w:r w:rsidRPr="00FB1F07">
              <w:rPr>
                <w:b w:val="0"/>
                <w:lang w:val="en-US"/>
              </w:rPr>
              <w:t>cr</w:t>
            </w:r>
            <w:proofErr w:type="spellEnd"/>
          </w:p>
        </w:tc>
        <w:tc>
          <w:tcPr>
            <w:tcW w:w="2268" w:type="dxa"/>
          </w:tcPr>
          <w:p w14:paraId="6FFCD015" w14:textId="77777777" w:rsidR="000A0DA5" w:rsidRPr="00FB1F07" w:rsidRDefault="000A0DA5" w:rsidP="00D20116">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t>Crops</w:t>
            </w:r>
          </w:p>
        </w:tc>
        <w:tc>
          <w:tcPr>
            <w:tcW w:w="1559" w:type="dxa"/>
          </w:tcPr>
          <w:p w14:paraId="50C79ED4" w14:textId="1B2E0639"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ncrops</w:t>
            </w:r>
            <w:proofErr w:type="spellEnd"/>
          </w:p>
        </w:tc>
        <w:tc>
          <w:tcPr>
            <w:tcW w:w="1701" w:type="dxa"/>
          </w:tcPr>
          <w:p w14:paraId="4D6945CD" w14:textId="58F164A2"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t>Crops</w:t>
            </w:r>
          </w:p>
        </w:tc>
        <w:tc>
          <w:tcPr>
            <w:tcW w:w="2528" w:type="dxa"/>
          </w:tcPr>
          <w:p w14:paraId="152505C2" w14:textId="333683C1" w:rsidR="000A0DA5" w:rsidRPr="00FB1F07" w:rsidRDefault="000A0DA5" w:rsidP="00D20116">
            <w:pPr>
              <w:cnfStyle w:val="000000000000" w:firstRow="0" w:lastRow="0" w:firstColumn="0" w:lastColumn="0" w:oddVBand="0" w:evenVBand="0" w:oddHBand="0" w:evenHBand="0" w:firstRowFirstColumn="0" w:firstRowLastColumn="0" w:lastRowFirstColumn="0" w:lastRowLastColumn="0"/>
              <w:rPr>
                <w:lang w:val="en-US"/>
              </w:rPr>
            </w:pPr>
          </w:p>
        </w:tc>
      </w:tr>
      <w:tr w:rsidR="000A0DA5" w:rsidRPr="006A158F" w14:paraId="1F22737D"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562D0283" w14:textId="77777777" w:rsidR="000A0DA5" w:rsidRPr="00FB1F07" w:rsidRDefault="000A0DA5" w:rsidP="00D20116">
            <w:pPr>
              <w:jc w:val="center"/>
              <w:rPr>
                <w:b w:val="0"/>
                <w:lang w:val="en-US"/>
              </w:rPr>
            </w:pPr>
            <w:proofErr w:type="spellStart"/>
            <w:r w:rsidRPr="00FB1F07">
              <w:rPr>
                <w:b w:val="0"/>
                <w:lang w:val="en-US"/>
              </w:rPr>
              <w:t>cul</w:t>
            </w:r>
            <w:proofErr w:type="spellEnd"/>
          </w:p>
        </w:tc>
        <w:tc>
          <w:tcPr>
            <w:tcW w:w="2268" w:type="dxa"/>
          </w:tcPr>
          <w:p w14:paraId="17C62E50" w14:textId="77777777" w:rsidR="000A0DA5" w:rsidRPr="00FB1F07" w:rsidRDefault="000A0DA5" w:rsidP="00D20116">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t>Cultures</w:t>
            </w:r>
          </w:p>
        </w:tc>
        <w:tc>
          <w:tcPr>
            <w:tcW w:w="1559" w:type="dxa"/>
          </w:tcPr>
          <w:p w14:paraId="28EB7AEC" w14:textId="52220D1B"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nculture</w:t>
            </w:r>
            <w:proofErr w:type="spellEnd"/>
          </w:p>
        </w:tc>
        <w:tc>
          <w:tcPr>
            <w:tcW w:w="1701" w:type="dxa"/>
          </w:tcPr>
          <w:p w14:paraId="6A3CDC3C" w14:textId="06E236F0"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t>Cultures</w:t>
            </w:r>
          </w:p>
        </w:tc>
        <w:tc>
          <w:tcPr>
            <w:tcW w:w="2528" w:type="dxa"/>
          </w:tcPr>
          <w:p w14:paraId="6CD76AA0" w14:textId="5AA79646" w:rsidR="000A0DA5" w:rsidRPr="00FB1F07" w:rsidRDefault="000A0DA5" w:rsidP="00D20116">
            <w:pPr>
              <w:cnfStyle w:val="000000100000" w:firstRow="0" w:lastRow="0" w:firstColumn="0" w:lastColumn="0" w:oddVBand="0" w:evenVBand="0" w:oddHBand="1" w:evenHBand="0" w:firstRowFirstColumn="0" w:firstRowLastColumn="0" w:lastRowFirstColumn="0" w:lastRowLastColumn="0"/>
              <w:rPr>
                <w:lang w:val="en-US"/>
              </w:rPr>
            </w:pPr>
          </w:p>
        </w:tc>
      </w:tr>
      <w:tr w:rsidR="000A0DA5" w:rsidRPr="006A158F" w14:paraId="002CBF2F"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07B54387" w14:textId="77777777" w:rsidR="000A0DA5" w:rsidRPr="00FB1F07" w:rsidRDefault="000A0DA5" w:rsidP="00D20116">
            <w:pPr>
              <w:jc w:val="center"/>
              <w:rPr>
                <w:b w:val="0"/>
                <w:lang w:val="en-US"/>
              </w:rPr>
            </w:pPr>
            <w:proofErr w:type="spellStart"/>
            <w:r w:rsidRPr="00FB1F07">
              <w:rPr>
                <w:b w:val="0"/>
                <w:lang w:val="en-US"/>
              </w:rPr>
              <w:t>ps</w:t>
            </w:r>
            <w:proofErr w:type="spellEnd"/>
          </w:p>
        </w:tc>
        <w:tc>
          <w:tcPr>
            <w:tcW w:w="2268" w:type="dxa"/>
          </w:tcPr>
          <w:p w14:paraId="4FEC3F99" w14:textId="77777777" w:rsidR="000A0DA5" w:rsidRPr="00FB1F07" w:rsidRDefault="000A0DA5" w:rsidP="00D20116">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t>Phases</w:t>
            </w:r>
          </w:p>
        </w:tc>
        <w:tc>
          <w:tcPr>
            <w:tcW w:w="1559" w:type="dxa"/>
          </w:tcPr>
          <w:p w14:paraId="3550BB35" w14:textId="34A1473D"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nyphase</w:t>
            </w:r>
            <w:proofErr w:type="spellEnd"/>
          </w:p>
        </w:tc>
        <w:tc>
          <w:tcPr>
            <w:tcW w:w="1701" w:type="dxa"/>
          </w:tcPr>
          <w:p w14:paraId="301B68E2" w14:textId="75A2D5CF" w:rsidR="000A0DA5" w:rsidRPr="00FB1F07" w:rsidRDefault="00E8771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GrowthPhases</w:t>
            </w:r>
            <w:proofErr w:type="spellEnd"/>
          </w:p>
        </w:tc>
        <w:tc>
          <w:tcPr>
            <w:tcW w:w="2528" w:type="dxa"/>
          </w:tcPr>
          <w:p w14:paraId="752AA5EF" w14:textId="3BD9DDB6" w:rsidR="000A0DA5" w:rsidRPr="00FB1F07" w:rsidRDefault="000A0DA5" w:rsidP="00D20116">
            <w:pPr>
              <w:cnfStyle w:val="000000000000" w:firstRow="0" w:lastRow="0" w:firstColumn="0" w:lastColumn="0" w:oddVBand="0" w:evenVBand="0" w:oddHBand="0" w:evenHBand="0" w:firstRowFirstColumn="0" w:firstRowLastColumn="0" w:lastRowFirstColumn="0" w:lastRowLastColumn="0"/>
              <w:rPr>
                <w:lang w:val="en-US"/>
              </w:rPr>
            </w:pPr>
          </w:p>
        </w:tc>
      </w:tr>
      <w:tr w:rsidR="000A0DA5" w:rsidRPr="006A158F" w14:paraId="094D0D92"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4FAF1D34" w14:textId="77777777" w:rsidR="000A0DA5" w:rsidRPr="00FB1F07" w:rsidRDefault="000A0DA5" w:rsidP="00D20116">
            <w:pPr>
              <w:jc w:val="center"/>
              <w:rPr>
                <w:b w:val="0"/>
                <w:lang w:val="en-US"/>
              </w:rPr>
            </w:pPr>
            <w:proofErr w:type="spellStart"/>
            <w:r w:rsidRPr="00FB1F07">
              <w:rPr>
                <w:b w:val="0"/>
                <w:lang w:val="en-US"/>
              </w:rPr>
              <w:t>pt</w:t>
            </w:r>
            <w:proofErr w:type="spellEnd"/>
          </w:p>
        </w:tc>
        <w:tc>
          <w:tcPr>
            <w:tcW w:w="2268" w:type="dxa"/>
          </w:tcPr>
          <w:p w14:paraId="0C003766" w14:textId="77777777" w:rsidR="000A0DA5" w:rsidRPr="00FB1F07" w:rsidRDefault="000A0DA5" w:rsidP="00D20116">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t>Demand satisfaction paths</w:t>
            </w:r>
          </w:p>
        </w:tc>
        <w:tc>
          <w:tcPr>
            <w:tcW w:w="1559" w:type="dxa"/>
          </w:tcPr>
          <w:p w14:paraId="7F5A0E4E" w14:textId="53443B5B"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nypath</w:t>
            </w:r>
            <w:proofErr w:type="spellEnd"/>
          </w:p>
        </w:tc>
        <w:tc>
          <w:tcPr>
            <w:tcW w:w="1701" w:type="dxa"/>
          </w:tcPr>
          <w:p w14:paraId="015B6C5A" w14:textId="3FED65B7" w:rsidR="000A0DA5" w:rsidRPr="00FB1F07" w:rsidRDefault="00E8771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aYieldMat</w:t>
            </w:r>
            <w:proofErr w:type="spellEnd"/>
          </w:p>
        </w:tc>
        <w:tc>
          <w:tcPr>
            <w:tcW w:w="2528" w:type="dxa"/>
          </w:tcPr>
          <w:p w14:paraId="3CE3C6C3" w14:textId="269370CF" w:rsidR="000A0DA5" w:rsidRPr="00FB1F07" w:rsidRDefault="000A0DA5" w:rsidP="00D20116">
            <w:pPr>
              <w:cnfStyle w:val="000000100000" w:firstRow="0" w:lastRow="0" w:firstColumn="0" w:lastColumn="0" w:oddVBand="0" w:evenVBand="0" w:oddHBand="1" w:evenHBand="0" w:firstRowFirstColumn="0" w:firstRowLastColumn="0" w:lastRowFirstColumn="0" w:lastRowLastColumn="0"/>
              <w:rPr>
                <w:lang w:val="en-US"/>
              </w:rPr>
            </w:pPr>
          </w:p>
        </w:tc>
      </w:tr>
      <w:tr w:rsidR="000A0DA5" w:rsidRPr="006A158F" w14:paraId="7BEBB0AF"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786EBA59" w14:textId="61EA973F" w:rsidR="000A0DA5" w:rsidRPr="00FB1F07" w:rsidRDefault="00923395" w:rsidP="00D20116">
            <w:pPr>
              <w:rPr>
                <w:lang w:val="en-US"/>
              </w:rPr>
            </w:pPr>
            <w:r w:rsidRPr="00FB1F07">
              <w:rPr>
                <w:lang w:val="en-US"/>
              </w:rPr>
              <w:t>Parameters</w:t>
            </w:r>
          </w:p>
        </w:tc>
        <w:tc>
          <w:tcPr>
            <w:tcW w:w="8056" w:type="dxa"/>
            <w:gridSpan w:val="4"/>
          </w:tcPr>
          <w:p w14:paraId="6C0E4EA3" w14:textId="077A31E6" w:rsidR="000A0DA5" w:rsidRPr="00FB1F07" w:rsidRDefault="000A0DA5" w:rsidP="00D20116">
            <w:pPr>
              <w:cnfStyle w:val="000000000000" w:firstRow="0" w:lastRow="0" w:firstColumn="0" w:lastColumn="0" w:oddVBand="0" w:evenVBand="0" w:oddHBand="0" w:evenHBand="0" w:firstRowFirstColumn="0" w:firstRowLastColumn="0" w:lastRowFirstColumn="0" w:lastRowLastColumn="0"/>
              <w:rPr>
                <w:i/>
                <w:lang w:val="en-US"/>
              </w:rPr>
            </w:pPr>
          </w:p>
        </w:tc>
      </w:tr>
      <w:tr w:rsidR="006B2662" w:rsidRPr="006A158F" w14:paraId="0DEC4407"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1BE611F4" w14:textId="0C5D70C3" w:rsidR="006B2662" w:rsidRPr="00FB1F07" w:rsidRDefault="006B2662" w:rsidP="006B2662">
            <w:pPr>
              <w:rPr>
                <w:i/>
                <w:lang w:val="en-US"/>
              </w:rPr>
            </w:pPr>
            <m:oMathPara>
              <m:oMath>
                <m:acc>
                  <m:accPr>
                    <m:chr m:val="̅"/>
                    <m:ctrlPr>
                      <w:rPr>
                        <w:rFonts w:ascii="Cambria Math" w:eastAsia="Times New Roman" w:hAnsi="Cambria Math"/>
                        <w:b w:val="0"/>
                        <w:bCs w:val="0"/>
                        <w:i/>
                        <w:color w:val="000000" w:themeColor="text1"/>
                        <w:lang w:val="en-US" w:eastAsia="de-DE"/>
                      </w:rPr>
                    </m:ctrlPr>
                  </m:accPr>
                  <m:e>
                    <m:r>
                      <m:rPr>
                        <m:sty m:val="bi"/>
                      </m:rPr>
                      <w:rPr>
                        <w:rFonts w:ascii="Cambria Math" w:hAnsi="Cambria Math"/>
                        <w:color w:val="000000" w:themeColor="text1"/>
                      </w:rPr>
                      <m:t>A</m:t>
                    </m:r>
                  </m:e>
                </m:acc>
              </m:oMath>
            </m:oMathPara>
          </w:p>
        </w:tc>
        <w:tc>
          <w:tcPr>
            <w:tcW w:w="2268" w:type="dxa"/>
          </w:tcPr>
          <w:p w14:paraId="644B722A" w14:textId="77777777"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rFonts w:eastAsiaTheme="minorEastAsia"/>
                <w:lang w:val="en-US"/>
              </w:rPr>
              <w:t xml:space="preserve">Land capacity </w:t>
            </w:r>
          </w:p>
        </w:tc>
        <w:tc>
          <w:tcPr>
            <w:tcW w:w="1559" w:type="dxa"/>
          </w:tcPr>
          <w:p w14:paraId="3D679BC3" w14:textId="03D7732C"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aLandCap</w:t>
            </w:r>
            <w:proofErr w:type="spellEnd"/>
          </w:p>
        </w:tc>
        <w:tc>
          <w:tcPr>
            <w:tcW w:w="1701" w:type="dxa"/>
          </w:tcPr>
          <w:p w14:paraId="6DB4D446" w14:textId="635AA465"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FarmingZones</w:t>
            </w:r>
            <w:proofErr w:type="spellEnd"/>
          </w:p>
        </w:tc>
        <w:tc>
          <w:tcPr>
            <w:tcW w:w="2528" w:type="dxa"/>
          </w:tcPr>
          <w:p w14:paraId="4ACF4DE6" w14:textId="339B7721"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FB1F07">
              <w:rPr>
                <w:lang w:val="en-US"/>
              </w:rPr>
              <w:fldChar w:fldCharType="separate"/>
            </w:r>
            <w:r w:rsidRPr="00FB1F07">
              <w:rPr>
                <w:noProof/>
                <w:lang w:val="en-US"/>
              </w:rPr>
              <w:t>(World Bank, 2010)</w:t>
            </w:r>
            <w:r w:rsidRPr="00FB1F07">
              <w:rPr>
                <w:lang w:val="en-US"/>
              </w:rPr>
              <w:fldChar w:fldCharType="end"/>
            </w:r>
          </w:p>
        </w:tc>
      </w:tr>
      <w:tr w:rsidR="006B2662" w:rsidRPr="006A158F" w14:paraId="7370C975"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3BFA815B" w14:textId="7429386E" w:rsidR="006B2662" w:rsidRPr="00FB1F07" w:rsidRDefault="006B2662" w:rsidP="006B2662">
            <w:pPr>
              <w:rPr>
                <w:rFonts w:eastAsia="Calibri"/>
                <w:i/>
                <w:lang w:val="en-US"/>
              </w:rPr>
            </w:pPr>
            <m:oMathPara>
              <m:oMath>
                <m:r>
                  <m:rPr>
                    <m:sty m:val="bi"/>
                  </m:rPr>
                  <w:rPr>
                    <w:rFonts w:ascii="Cambria Math" w:hAnsi="Cambria Math"/>
                    <w:color w:val="000000" w:themeColor="text1"/>
                  </w:rPr>
                  <m:t>y</m:t>
                </m:r>
              </m:oMath>
            </m:oMathPara>
          </w:p>
        </w:tc>
        <w:tc>
          <w:tcPr>
            <w:tcW w:w="2268" w:type="dxa"/>
          </w:tcPr>
          <w:p w14:paraId="14415E79" w14:textId="77777777"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FB1F07">
              <w:rPr>
                <w:rFonts w:eastAsiaTheme="minorEastAsia"/>
                <w:lang w:val="en-US"/>
              </w:rPr>
              <w:t xml:space="preserve">Potential yield </w:t>
            </w:r>
          </w:p>
        </w:tc>
        <w:tc>
          <w:tcPr>
            <w:tcW w:w="1559" w:type="dxa"/>
          </w:tcPr>
          <w:p w14:paraId="2AD1F657" w14:textId="37B77F1A"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aCulYield</w:t>
            </w:r>
            <w:proofErr w:type="spellEnd"/>
          </w:p>
        </w:tc>
        <w:tc>
          <w:tcPr>
            <w:tcW w:w="1701" w:type="dxa"/>
          </w:tcPr>
          <w:p w14:paraId="3F524EAB" w14:textId="0A797530"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t>Yields</w:t>
            </w:r>
          </w:p>
        </w:tc>
        <w:tc>
          <w:tcPr>
            <w:tcW w:w="2528" w:type="dxa"/>
          </w:tcPr>
          <w:p w14:paraId="53E42BCA" w14:textId="6FEB3512"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URL":"http://www.fao.org/faostat/en/#data/QC","accessed":{"date-parts":[["2018","7","27"]]},"author":[{"dropping-particle":"","family":"FAO","given":"","non-dropping-particle":"","parse-names":false,"suffix":""}],"id":"ITEM-1","issued":{"date-parts":[["2018"]]},"title":"FAOSTAT","type":"webpage"},"uris":["http://www.mendeley.com/documents/?uuid=02c1428f-8dcf-3c1e-81ab-14f4537292c5"]}],"mendeley":{"formattedCitation":"(FAO, 2018)","plainTextFormattedCitation":"(FAO, 2018)","previouslyFormattedCitation":"(FAO, 2018)"},"properties":{"noteIndex":0},"schema":"https://github.com/citation-style-language/schema/raw/master/csl-citation.json"}</w:instrText>
            </w:r>
            <w:r w:rsidRPr="00FB1F07">
              <w:rPr>
                <w:lang w:val="en-US"/>
              </w:rPr>
              <w:fldChar w:fldCharType="separate"/>
            </w:r>
            <w:r w:rsidRPr="00FB1F07">
              <w:rPr>
                <w:noProof/>
                <w:lang w:val="en-US"/>
              </w:rPr>
              <w:t>(FAO, 2018)</w:t>
            </w:r>
            <w:r w:rsidRPr="00FB1F07">
              <w:rPr>
                <w:lang w:val="en-US"/>
              </w:rPr>
              <w:fldChar w:fldCharType="end"/>
            </w:r>
          </w:p>
        </w:tc>
      </w:tr>
      <w:tr w:rsidR="006B2662" w:rsidRPr="006A158F" w14:paraId="38171FBE"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48ED8EFB" w14:textId="3EB56EB7" w:rsidR="006B2662" w:rsidRPr="00FB1F07" w:rsidRDefault="006B2662" w:rsidP="006B2662">
            <w:pPr>
              <w:rPr>
                <w:i/>
                <w:lang w:val="en-US"/>
              </w:rPr>
            </w:pPr>
            <m:oMathPara>
              <m:oMath>
                <m:r>
                  <m:rPr>
                    <m:sty m:val="bi"/>
                  </m:rPr>
                  <w:rPr>
                    <w:rFonts w:ascii="Cambria Math" w:eastAsiaTheme="minorEastAsia" w:hAnsi="Cambria Math"/>
                    <w:color w:val="000000" w:themeColor="text1"/>
                  </w:rPr>
                  <m:t>a</m:t>
                </m:r>
              </m:oMath>
            </m:oMathPara>
          </w:p>
        </w:tc>
        <w:tc>
          <w:tcPr>
            <w:tcW w:w="2268" w:type="dxa"/>
          </w:tcPr>
          <w:p w14:paraId="5C93083A" w14:textId="77777777"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FB1F07">
              <w:rPr>
                <w:rFonts w:eastAsiaTheme="minorEastAsia"/>
                <w:lang w:val="en-US"/>
              </w:rPr>
              <w:t>Month to phase conversion coefficient</w:t>
            </w:r>
          </w:p>
        </w:tc>
        <w:tc>
          <w:tcPr>
            <w:tcW w:w="1559" w:type="dxa"/>
          </w:tcPr>
          <w:p w14:paraId="0FAF7922" w14:textId="20F5D3CC"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yphase_month</w:t>
            </w:r>
            <w:proofErr w:type="spellEnd"/>
          </w:p>
        </w:tc>
        <w:tc>
          <w:tcPr>
            <w:tcW w:w="1701" w:type="dxa"/>
          </w:tcPr>
          <w:p w14:paraId="5D08EE82" w14:textId="29525C6A"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PhaseMonth</w:t>
            </w:r>
            <w:proofErr w:type="spellEnd"/>
          </w:p>
        </w:tc>
        <w:tc>
          <w:tcPr>
            <w:tcW w:w="2528" w:type="dxa"/>
          </w:tcPr>
          <w:p w14:paraId="59C6BB95" w14:textId="7CE75197"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FB1F07">
              <w:rPr>
                <w:lang w:val="en-US"/>
              </w:rPr>
              <w:fldChar w:fldCharType="separate"/>
            </w:r>
            <w:r w:rsidRPr="00FB1F07">
              <w:rPr>
                <w:noProof/>
                <w:lang w:val="en-US"/>
              </w:rPr>
              <w:t>(World Bank, 2010)</w:t>
            </w:r>
            <w:r w:rsidRPr="00FB1F07">
              <w:rPr>
                <w:lang w:val="en-US"/>
              </w:rPr>
              <w:fldChar w:fldCharType="end"/>
            </w:r>
          </w:p>
        </w:tc>
      </w:tr>
      <w:tr w:rsidR="006B2662" w:rsidRPr="006A158F" w14:paraId="635F9223"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6A2982FA" w14:textId="313E44B1" w:rsidR="006B2662" w:rsidRPr="00FB1F07" w:rsidRDefault="006B2662" w:rsidP="006B2662">
            <w:pPr>
              <w:rPr>
                <w:rFonts w:eastAsia="Calibri"/>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k</m:t>
                    </m:r>
                  </m:e>
                  <m:sub>
                    <m:r>
                      <m:rPr>
                        <m:sty m:val="bi"/>
                      </m:rPr>
                      <w:rPr>
                        <w:rFonts w:ascii="Cambria Math" w:eastAsiaTheme="minorEastAsia" w:hAnsi="Cambria Math"/>
                        <w:color w:val="000000" w:themeColor="text1"/>
                      </w:rPr>
                      <m:t>c</m:t>
                    </m:r>
                  </m:sub>
                </m:sSub>
              </m:oMath>
            </m:oMathPara>
          </w:p>
        </w:tc>
        <w:tc>
          <w:tcPr>
            <w:tcW w:w="2268" w:type="dxa"/>
          </w:tcPr>
          <w:p w14:paraId="5592B18C" w14:textId="77777777"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sidRPr="00FB1F07">
              <w:rPr>
                <w:rFonts w:eastAsiaTheme="minorEastAsia"/>
                <w:lang w:val="en-US"/>
              </w:rPr>
              <w:t>Single crop coefficient</w:t>
            </w:r>
          </w:p>
        </w:tc>
        <w:tc>
          <w:tcPr>
            <w:tcW w:w="1559" w:type="dxa"/>
          </w:tcPr>
          <w:p w14:paraId="77B223F1" w14:textId="6AF01C68"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aKc</w:t>
            </w:r>
            <w:proofErr w:type="spellEnd"/>
          </w:p>
        </w:tc>
        <w:tc>
          <w:tcPr>
            <w:tcW w:w="1701" w:type="dxa"/>
          </w:tcPr>
          <w:p w14:paraId="7C8ECA05" w14:textId="46EC8A95"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GrowthPhases</w:t>
            </w:r>
            <w:proofErr w:type="spellEnd"/>
          </w:p>
        </w:tc>
        <w:tc>
          <w:tcPr>
            <w:tcW w:w="2528" w:type="dxa"/>
          </w:tcPr>
          <w:p w14:paraId="0819DDD3" w14:textId="0C68DE4D"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FB1F07">
              <w:rPr>
                <w:lang w:val="en-US"/>
              </w:rPr>
              <w:fldChar w:fldCharType="separate"/>
            </w:r>
            <w:r w:rsidRPr="00FB1F07">
              <w:rPr>
                <w:noProof/>
                <w:lang w:val="en-US"/>
              </w:rPr>
              <w:t>(World Bank, 2010)</w:t>
            </w:r>
            <w:r w:rsidRPr="00FB1F07">
              <w:rPr>
                <w:lang w:val="en-US"/>
              </w:rPr>
              <w:fldChar w:fldCharType="end"/>
            </w:r>
          </w:p>
        </w:tc>
      </w:tr>
      <w:tr w:rsidR="006B2662" w:rsidRPr="006A158F" w14:paraId="744971C8"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6476222D" w14:textId="2A7EAB61" w:rsidR="006B2662" w:rsidRPr="00FB1F07" w:rsidRDefault="006B2662" w:rsidP="006B2662">
            <w:pPr>
              <w:rPr>
                <w:rFonts w:eastAsia="Calibri"/>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k</m:t>
                    </m:r>
                  </m:e>
                  <m:sub>
                    <m:r>
                      <m:rPr>
                        <m:sty m:val="bi"/>
                      </m:rPr>
                      <w:rPr>
                        <w:rFonts w:ascii="Cambria Math" w:eastAsiaTheme="minorEastAsia" w:hAnsi="Cambria Math"/>
                        <w:color w:val="000000" w:themeColor="text1"/>
                      </w:rPr>
                      <m:t>Y</m:t>
                    </m:r>
                  </m:sub>
                </m:sSub>
              </m:oMath>
            </m:oMathPara>
          </w:p>
        </w:tc>
        <w:tc>
          <w:tcPr>
            <w:tcW w:w="2268" w:type="dxa"/>
          </w:tcPr>
          <w:p w14:paraId="230A13E8" w14:textId="77777777"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rFonts w:eastAsiaTheme="minorEastAsia"/>
                <w:lang w:val="en-US"/>
              </w:rPr>
              <w:t xml:space="preserve">Yield water response factor </w:t>
            </w:r>
          </w:p>
        </w:tc>
        <w:tc>
          <w:tcPr>
            <w:tcW w:w="1559" w:type="dxa"/>
          </w:tcPr>
          <w:p w14:paraId="54AA72E9" w14:textId="5B9CD2C5"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aYieldFactor</w:t>
            </w:r>
            <w:proofErr w:type="spellEnd"/>
          </w:p>
        </w:tc>
        <w:tc>
          <w:tcPr>
            <w:tcW w:w="1701" w:type="dxa"/>
          </w:tcPr>
          <w:p w14:paraId="657A9AC4" w14:textId="789D7F1D"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GrowthPhases</w:t>
            </w:r>
            <w:proofErr w:type="spellEnd"/>
          </w:p>
        </w:tc>
        <w:tc>
          <w:tcPr>
            <w:tcW w:w="2528" w:type="dxa"/>
          </w:tcPr>
          <w:p w14:paraId="2A07475D" w14:textId="282765EE"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author":[{"dropping-particle":"","family":"Doorenbos","given":"J.","non-dropping-particle":"","parse-names":false,"suffix":""},{"dropping-particle":"","family":"Kassam","given":"A.H.","non-dropping-particle":"","parse-names":false,"suffix":""}],"id":"ITEM-1","issued":{"date-parts":[["1979"]]},"publisher":"Food and Agricultural Organisation of the United Nations","publisher-place":"Rome","title":"Yield response to water. FAO Irrigation and Drainage Paper No. 33","type":"book"},"uris":["http://www.mendeley.com/documents/?uuid=62683776-0b29-478c-8cb2-3c7b5cffe91d"]}],"mendeley":{"formattedCitation":"(Doorenbos and Kassam, 1979)","plainTextFormattedCitation":"(Doorenbos and Kassam, 1979)","previouslyFormattedCitation":"(Doorenbos and Kassam, 1979)"},"properties":{"noteIndex":0},"schema":"https://github.com/citation-style-language/schema/raw/master/csl-citation.json"}</w:instrText>
            </w:r>
            <w:r w:rsidRPr="00FB1F07">
              <w:rPr>
                <w:lang w:val="en-US"/>
              </w:rPr>
              <w:fldChar w:fldCharType="separate"/>
            </w:r>
            <w:r w:rsidRPr="00FB1F07">
              <w:rPr>
                <w:noProof/>
                <w:lang w:val="en-US"/>
              </w:rPr>
              <w:t>(Doorenbos and Kassam, 1979)</w:t>
            </w:r>
            <w:r w:rsidRPr="00FB1F07">
              <w:rPr>
                <w:lang w:val="en-US"/>
              </w:rPr>
              <w:fldChar w:fldCharType="end"/>
            </w:r>
          </w:p>
        </w:tc>
      </w:tr>
      <w:tr w:rsidR="006B2662" w:rsidRPr="00083AAC" w14:paraId="34ECD5D7" w14:textId="77777777" w:rsidTr="00923395">
        <w:trPr>
          <w:trHeight w:val="340"/>
        </w:trPr>
        <w:tc>
          <w:tcPr>
            <w:cnfStyle w:val="001000000000" w:firstRow="0" w:lastRow="0" w:firstColumn="1" w:lastColumn="0" w:oddVBand="0" w:evenVBand="0" w:oddHBand="0" w:evenHBand="0" w:firstRowFirstColumn="0" w:firstRowLastColumn="0" w:lastRowFirstColumn="0" w:lastRowLastColumn="0"/>
            <w:tcW w:w="1560" w:type="dxa"/>
          </w:tcPr>
          <w:p w14:paraId="409EEBEF" w14:textId="77D5F40F" w:rsidR="006B2662" w:rsidRPr="00FB1F07" w:rsidRDefault="006B2662" w:rsidP="006B2662">
            <w:pPr>
              <w:rPr>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cult</m:t>
                    </m:r>
                  </m:sub>
                </m:sSub>
              </m:oMath>
            </m:oMathPara>
          </w:p>
        </w:tc>
        <w:tc>
          <w:tcPr>
            <w:tcW w:w="2268" w:type="dxa"/>
          </w:tcPr>
          <w:p w14:paraId="2BCE076B" w14:textId="77777777"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FB1F07">
              <w:rPr>
                <w:rFonts w:eastAsiaTheme="minorEastAsia"/>
                <w:lang w:val="en-US"/>
              </w:rPr>
              <w:t>Cultivation costs</w:t>
            </w:r>
          </w:p>
        </w:tc>
        <w:tc>
          <w:tcPr>
            <w:tcW w:w="1559" w:type="dxa"/>
          </w:tcPr>
          <w:p w14:paraId="19FF5450" w14:textId="770904FE"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B1F07">
              <w:rPr>
                <w:lang w:val="en-US"/>
              </w:rPr>
              <w:t>aCulCost</w:t>
            </w:r>
            <w:proofErr w:type="spellEnd"/>
          </w:p>
        </w:tc>
        <w:tc>
          <w:tcPr>
            <w:tcW w:w="1701" w:type="dxa"/>
          </w:tcPr>
          <w:p w14:paraId="5A19F9C1" w14:textId="2C617F11"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r w:rsidRPr="00FB1F07">
              <w:rPr>
                <w:rFonts w:eastAsiaTheme="minorEastAsia"/>
                <w:lang w:val="en-US"/>
              </w:rPr>
              <w:t>CulCost</w:t>
            </w:r>
            <w:proofErr w:type="spellEnd"/>
          </w:p>
        </w:tc>
        <w:tc>
          <w:tcPr>
            <w:tcW w:w="2528" w:type="dxa"/>
          </w:tcPr>
          <w:p w14:paraId="73523CA1" w14:textId="01829640" w:rsidR="006B2662" w:rsidRPr="00FB1F07" w:rsidRDefault="006B2662" w:rsidP="006B2662">
            <w:pPr>
              <w:cnfStyle w:val="000000000000" w:firstRow="0" w:lastRow="0" w:firstColumn="0" w:lastColumn="0" w:oddVBand="0" w:evenVBand="0" w:oddHBand="0" w:evenHBand="0" w:firstRowFirstColumn="0" w:firstRowLastColumn="0" w:lastRowFirstColumn="0" w:lastRowLastColumn="0"/>
              <w:rPr>
                <w:lang w:val="en-US"/>
              </w:rPr>
            </w:pPr>
            <w:r w:rsidRPr="00FB1F07">
              <w:rPr>
                <w:lang w:val="en-US"/>
              </w:rPr>
              <w:fldChar w:fldCharType="begin" w:fldLock="1"/>
            </w:r>
            <w:r w:rsidRPr="00FB1F07">
              <w:rPr>
                <w:lang w:val="en-US"/>
              </w:rPr>
              <w:instrText>ADDIN CSL_CITATION {"citationItems":[{"id":"ITEM-1","itemData":{"DOI":"10.7910/DVN/28556","author":[{"dropping-particle":"","family":"IFPRI","given":"","non-dropping-particle":"","parse-names":false,"suffix":""}],"id":"ITEM-1","issued":{"date-parts":[["2015"]]},"publisher":"Harvard Dataverse","title":"Mozambique Social Accounting Matrix, 2007","type":"article"},"uris":["http://www.mendeley.com/documents/?uuid=68b134dc-d872-4e45-94fd-2f976c90e22a"]},{"id":"ITEM-2","itemData":{"DOI":"https://doi.org/10.7910/DVN/REUCQR","URL":"https://dataverse.harvard.edu/dataset.xhtml?persistentId=doi:10.7910/DVN/REUCQR","accessed":{"date-parts":[["2018","9","25"]]},"author":[{"dropping-particle":"","family":"IFPRI","given":"","non-dropping-particle":"","parse-names":false,"suffix":""}],"id":"ITEM-2","issued":{"date-parts":[["2017"]]},"title":"2014 Social Accounting Matrix for Malawi","type":"webpage"},"uris":["http://www.mendeley.com/documents/?uuid=ff6654f3-9048-32e8-8819-97c583e25265"]}],"mendeley":{"formattedCitation":"(IFPRI, 2015, 2017)","plainTextFormattedCitation":"(IFPRI, 2015, 2017)","previouslyFormattedCitation":"(IFPRI, 2015, 2017)"},"properties":{"noteIndex":0},"schema":"https://github.com/citation-style-language/schema/raw/master/csl-citation.json"}</w:instrText>
            </w:r>
            <w:r w:rsidRPr="00FB1F07">
              <w:rPr>
                <w:lang w:val="en-US"/>
              </w:rPr>
              <w:fldChar w:fldCharType="separate"/>
            </w:r>
            <w:r w:rsidRPr="00FB1F07">
              <w:rPr>
                <w:noProof/>
                <w:lang w:val="en-US"/>
              </w:rPr>
              <w:t>(IFPRI, 2015, 2017)</w:t>
            </w:r>
            <w:r w:rsidRPr="00FB1F07">
              <w:rPr>
                <w:lang w:val="en-US"/>
              </w:rPr>
              <w:fldChar w:fldCharType="end"/>
            </w:r>
          </w:p>
        </w:tc>
      </w:tr>
      <w:tr w:rsidR="006B2662" w:rsidRPr="006A158F" w14:paraId="53CEBCCB" w14:textId="77777777" w:rsidTr="0092339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0" w:type="dxa"/>
          </w:tcPr>
          <w:p w14:paraId="7CD45B90" w14:textId="358DF79A" w:rsidR="006B2662" w:rsidRPr="00FB1F07" w:rsidRDefault="00FB1F07" w:rsidP="006B2662">
            <w:pP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W</m:t>
                    </m:r>
                  </m:sub>
                </m:sSub>
              </m:oMath>
            </m:oMathPara>
          </w:p>
        </w:tc>
        <w:tc>
          <w:tcPr>
            <w:tcW w:w="2268" w:type="dxa"/>
          </w:tcPr>
          <w:p w14:paraId="79C9A7EF" w14:textId="77777777"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rFonts w:eastAsiaTheme="minorEastAsia"/>
                <w:lang w:val="en-US"/>
              </w:rPr>
              <w:t>Irrigation costs</w:t>
            </w:r>
          </w:p>
        </w:tc>
        <w:tc>
          <w:tcPr>
            <w:tcW w:w="1559" w:type="dxa"/>
          </w:tcPr>
          <w:p w14:paraId="483C6925" w14:textId="1AFD98CC"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B1F07">
              <w:rPr>
                <w:lang w:val="en-US"/>
              </w:rPr>
              <w:t>aIrrgCost</w:t>
            </w:r>
            <w:proofErr w:type="spellEnd"/>
          </w:p>
        </w:tc>
        <w:tc>
          <w:tcPr>
            <w:tcW w:w="1701" w:type="dxa"/>
          </w:tcPr>
          <w:p w14:paraId="61173A51" w14:textId="18676022"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rFonts w:eastAsiaTheme="minorEastAsia"/>
                <w:lang w:val="en-US"/>
              </w:rPr>
            </w:pPr>
            <w:proofErr w:type="spellStart"/>
            <w:r w:rsidRPr="00FB1F07">
              <w:rPr>
                <w:rFonts w:eastAsiaTheme="minorEastAsia"/>
                <w:lang w:val="en-US"/>
              </w:rPr>
              <w:t>FarmingZones</w:t>
            </w:r>
            <w:proofErr w:type="spellEnd"/>
          </w:p>
        </w:tc>
        <w:tc>
          <w:tcPr>
            <w:tcW w:w="2528" w:type="dxa"/>
          </w:tcPr>
          <w:p w14:paraId="509A8AE1" w14:textId="0D2D6068" w:rsidR="006B2662" w:rsidRPr="00FB1F07" w:rsidRDefault="006B2662" w:rsidP="006B2662">
            <w:pPr>
              <w:cnfStyle w:val="000000100000" w:firstRow="0" w:lastRow="0" w:firstColumn="0" w:lastColumn="0" w:oddVBand="0" w:evenVBand="0" w:oddHBand="1" w:evenHBand="0" w:firstRowFirstColumn="0" w:firstRowLastColumn="0" w:lastRowFirstColumn="0" w:lastRowLastColumn="0"/>
              <w:rPr>
                <w:lang w:val="en-US"/>
              </w:rPr>
            </w:pPr>
            <w:r w:rsidRPr="00FB1F07">
              <w:rPr>
                <w:rFonts w:eastAsiaTheme="minorEastAsia"/>
                <w:lang w:val="en-US"/>
              </w:rPr>
              <w:t>Not used</w:t>
            </w:r>
          </w:p>
        </w:tc>
      </w:tr>
    </w:tbl>
    <w:p w14:paraId="24248028" w14:textId="2D2D00E4" w:rsidR="000A0DA5" w:rsidRPr="006A158F" w:rsidRDefault="000A0DA5" w:rsidP="000A0DA5">
      <w:pPr>
        <w:rPr>
          <w:lang w:val="en-US"/>
        </w:rPr>
      </w:pPr>
    </w:p>
    <w:p w14:paraId="2CF665CE" w14:textId="77777777" w:rsidR="003353BC" w:rsidRDefault="003353BC" w:rsidP="003353BC">
      <w:pPr>
        <w:pStyle w:val="Heading1"/>
        <w:rPr>
          <w:lang w:val="en-US"/>
        </w:rPr>
      </w:pPr>
    </w:p>
    <w:p w14:paraId="03F2567A" w14:textId="77777777" w:rsidR="003353BC" w:rsidRDefault="003353BC" w:rsidP="003353BC">
      <w:pPr>
        <w:rPr>
          <w:rFonts w:asciiTheme="majorHAnsi" w:eastAsiaTheme="majorEastAsia" w:hAnsiTheme="majorHAnsi" w:cstheme="majorBidi"/>
          <w:color w:val="2F5496" w:themeColor="accent1" w:themeShade="BF"/>
          <w:sz w:val="32"/>
          <w:szCs w:val="32"/>
          <w:lang w:val="en-US"/>
        </w:rPr>
      </w:pPr>
      <w:r>
        <w:rPr>
          <w:lang w:val="en-US"/>
        </w:rPr>
        <w:br w:type="page"/>
      </w:r>
    </w:p>
    <w:p w14:paraId="2886AB68" w14:textId="03AC4C28" w:rsidR="00747132" w:rsidRPr="006A158F" w:rsidRDefault="00747132" w:rsidP="003353BC">
      <w:pPr>
        <w:pStyle w:val="Heading1"/>
        <w:rPr>
          <w:lang w:val="en-US"/>
        </w:rPr>
      </w:pPr>
      <w:r w:rsidRPr="006A158F">
        <w:rPr>
          <w:lang w:val="en-US"/>
        </w:rPr>
        <w:lastRenderedPageBreak/>
        <w:t>Crop market module</w:t>
      </w:r>
    </w:p>
    <w:p w14:paraId="14BEBDF6" w14:textId="25292FF4" w:rsidR="000C1A7D" w:rsidRPr="00083AAC" w:rsidRDefault="000C1A7D" w:rsidP="000C1A7D">
      <w:pPr>
        <w:pStyle w:val="Caption"/>
        <w:keepNext/>
        <w:rPr>
          <w:lang w:val="en-US"/>
        </w:rPr>
      </w:pPr>
      <w:r w:rsidRPr="00083AAC">
        <w:rPr>
          <w:lang w:val="en-US"/>
        </w:rPr>
        <w:t xml:space="preserve">Table </w:t>
      </w:r>
      <w:r>
        <w:fldChar w:fldCharType="begin"/>
      </w:r>
      <w:r w:rsidRPr="00083AAC">
        <w:rPr>
          <w:lang w:val="en-US"/>
        </w:rPr>
        <w:instrText xml:space="preserve"> SEQ Table \* ARABIC </w:instrText>
      </w:r>
      <w:r>
        <w:fldChar w:fldCharType="separate"/>
      </w:r>
      <w:r w:rsidR="00C866A3">
        <w:rPr>
          <w:noProof/>
          <w:lang w:val="en-US"/>
        </w:rPr>
        <w:t>3</w:t>
      </w:r>
      <w:r>
        <w:fldChar w:fldCharType="end"/>
      </w:r>
      <w:r w:rsidRPr="00083AAC">
        <w:rPr>
          <w:lang w:val="en-US"/>
        </w:rPr>
        <w:t xml:space="preserve">: </w:t>
      </w:r>
      <w:r w:rsidRPr="006A158F">
        <w:rPr>
          <w:lang w:val="en-US"/>
        </w:rPr>
        <w:t xml:space="preserve">Parameters of the </w:t>
      </w:r>
      <w:r>
        <w:rPr>
          <w:lang w:val="en-US"/>
        </w:rPr>
        <w:t xml:space="preserve">Crop market </w:t>
      </w:r>
      <w:r w:rsidRPr="006A158F">
        <w:rPr>
          <w:lang w:val="en-US"/>
        </w:rPr>
        <w:t xml:space="preserve">module contained </w:t>
      </w:r>
      <w:r>
        <w:rPr>
          <w:lang w:val="en-US"/>
        </w:rPr>
        <w:t>in the CropMarketModule.xlsx file. The parameters are called after their name in the HESS publication, but the name used in the python model is also indicated. The relevant pages of the sources are indicated in the excel files when available.</w:t>
      </w:r>
    </w:p>
    <w:tbl>
      <w:tblPr>
        <w:tblStyle w:val="PlainTable4"/>
        <w:tblW w:w="9639" w:type="dxa"/>
        <w:tblLook w:val="04A0" w:firstRow="1" w:lastRow="0" w:firstColumn="1" w:lastColumn="0" w:noHBand="0" w:noVBand="1"/>
      </w:tblPr>
      <w:tblGrid>
        <w:gridCol w:w="1272"/>
        <w:gridCol w:w="2640"/>
        <w:gridCol w:w="2229"/>
        <w:gridCol w:w="1694"/>
        <w:gridCol w:w="1804"/>
      </w:tblGrid>
      <w:tr w:rsidR="00747132" w:rsidRPr="006A158F" w14:paraId="7F67A42A" w14:textId="77777777" w:rsidTr="00AA7A7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7" w:type="dxa"/>
            <w:vAlign w:val="center"/>
          </w:tcPr>
          <w:p w14:paraId="5081BFA5" w14:textId="00274B24" w:rsidR="00747132" w:rsidRPr="00AA7A74" w:rsidRDefault="00747132" w:rsidP="00923395">
            <w:pPr>
              <w:jc w:val="center"/>
              <w:rPr>
                <w:b w:val="0"/>
                <w:lang w:val="en-US"/>
              </w:rPr>
            </w:pPr>
            <w:r w:rsidRPr="00AA7A74">
              <w:rPr>
                <w:b w:val="0"/>
                <w:lang w:val="en-US"/>
              </w:rPr>
              <w:t>Notation in publication</w:t>
            </w:r>
          </w:p>
        </w:tc>
        <w:tc>
          <w:tcPr>
            <w:tcW w:w="2677" w:type="dxa"/>
            <w:vAlign w:val="center"/>
          </w:tcPr>
          <w:p w14:paraId="1CA1F057" w14:textId="3888DCB9" w:rsidR="00747132" w:rsidRPr="00AA7A74" w:rsidRDefault="00747132" w:rsidP="009233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AA7A74">
              <w:rPr>
                <w:b w:val="0"/>
                <w:lang w:val="en-US"/>
              </w:rPr>
              <w:t>Description</w:t>
            </w:r>
          </w:p>
        </w:tc>
        <w:tc>
          <w:tcPr>
            <w:tcW w:w="2256" w:type="dxa"/>
            <w:vAlign w:val="center"/>
          </w:tcPr>
          <w:p w14:paraId="0B8E0117" w14:textId="0F6ACD73" w:rsidR="00747132" w:rsidRPr="00AA7A74" w:rsidRDefault="00747132" w:rsidP="009233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AA7A74">
              <w:rPr>
                <w:b w:val="0"/>
                <w:lang w:val="en-US"/>
              </w:rPr>
              <w:t>Parameter name in model</w:t>
            </w:r>
          </w:p>
        </w:tc>
        <w:tc>
          <w:tcPr>
            <w:tcW w:w="1699" w:type="dxa"/>
            <w:vAlign w:val="center"/>
          </w:tcPr>
          <w:p w14:paraId="0E0C6AA2" w14:textId="0F5873F2" w:rsidR="00747132" w:rsidRPr="00AA7A74" w:rsidRDefault="00747132" w:rsidP="009233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AA7A74">
              <w:rPr>
                <w:b w:val="0"/>
                <w:lang w:val="en-US"/>
              </w:rPr>
              <w:t>Excel sheet</w:t>
            </w:r>
          </w:p>
        </w:tc>
        <w:tc>
          <w:tcPr>
            <w:tcW w:w="1830" w:type="dxa"/>
            <w:vAlign w:val="center"/>
          </w:tcPr>
          <w:p w14:paraId="61CC8DC5" w14:textId="679DEBDA" w:rsidR="00747132" w:rsidRPr="00AA7A74" w:rsidRDefault="00747132" w:rsidP="009233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AA7A74">
              <w:rPr>
                <w:b w:val="0"/>
                <w:lang w:val="en-US"/>
              </w:rPr>
              <w:t>Source</w:t>
            </w:r>
          </w:p>
        </w:tc>
      </w:tr>
      <w:tr w:rsidR="00923395" w:rsidRPr="006A158F" w14:paraId="3876EF71"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7" w:type="dxa"/>
          </w:tcPr>
          <w:p w14:paraId="3AE7E83C" w14:textId="6FBAC144" w:rsidR="00923395" w:rsidRPr="00AA7A74" w:rsidRDefault="00923395" w:rsidP="00923395">
            <w:pPr>
              <w:rPr>
                <w:lang w:val="en-US"/>
              </w:rPr>
            </w:pPr>
            <w:r w:rsidRPr="00AA7A74">
              <w:rPr>
                <w:lang w:val="en-US"/>
              </w:rPr>
              <w:t>Indices</w:t>
            </w:r>
          </w:p>
        </w:tc>
        <w:tc>
          <w:tcPr>
            <w:tcW w:w="8462" w:type="dxa"/>
            <w:gridSpan w:val="4"/>
          </w:tcPr>
          <w:p w14:paraId="4611EB26" w14:textId="06ED4617" w:rsidR="00923395" w:rsidRPr="00AA7A74" w:rsidRDefault="00923395" w:rsidP="00923395">
            <w:pPr>
              <w:cnfStyle w:val="000000100000" w:firstRow="0" w:lastRow="0" w:firstColumn="0" w:lastColumn="0" w:oddVBand="0" w:evenVBand="0" w:oddHBand="1" w:evenHBand="0" w:firstRowFirstColumn="0" w:firstRowLastColumn="0" w:lastRowFirstColumn="0" w:lastRowLastColumn="0"/>
              <w:rPr>
                <w:b/>
                <w:i/>
                <w:iCs/>
                <w:lang w:val="en-US"/>
              </w:rPr>
            </w:pPr>
          </w:p>
        </w:tc>
      </w:tr>
      <w:tr w:rsidR="00923395" w:rsidRPr="006A158F" w14:paraId="727B15C5"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77" w:type="dxa"/>
          </w:tcPr>
          <w:p w14:paraId="45CC8556" w14:textId="77777777" w:rsidR="00923395" w:rsidRPr="00AA7A74" w:rsidRDefault="00923395" w:rsidP="00923395">
            <w:pPr>
              <w:jc w:val="center"/>
              <w:rPr>
                <w:b w:val="0"/>
                <w:lang w:val="en-US"/>
              </w:rPr>
            </w:pPr>
            <w:r w:rsidRPr="00AA7A74">
              <w:rPr>
                <w:b w:val="0"/>
                <w:lang w:val="en-US"/>
              </w:rPr>
              <w:t>cm</w:t>
            </w:r>
          </w:p>
        </w:tc>
        <w:tc>
          <w:tcPr>
            <w:tcW w:w="2677" w:type="dxa"/>
          </w:tcPr>
          <w:p w14:paraId="5224126D" w14:textId="77777777"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Crop markets</w:t>
            </w:r>
          </w:p>
        </w:tc>
        <w:tc>
          <w:tcPr>
            <w:tcW w:w="2256" w:type="dxa"/>
          </w:tcPr>
          <w:p w14:paraId="4CE3C5CD" w14:textId="4550B78C"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ncmarket</w:t>
            </w:r>
            <w:proofErr w:type="spellEnd"/>
          </w:p>
        </w:tc>
        <w:tc>
          <w:tcPr>
            <w:tcW w:w="1699" w:type="dxa"/>
          </w:tcPr>
          <w:p w14:paraId="3C47B9D0" w14:textId="49B02816"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CropMarkets</w:t>
            </w:r>
            <w:proofErr w:type="spellEnd"/>
          </w:p>
        </w:tc>
        <w:tc>
          <w:tcPr>
            <w:tcW w:w="1830" w:type="dxa"/>
          </w:tcPr>
          <w:p w14:paraId="59281A05" w14:textId="0C4060A3"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w:t>
            </w:r>
          </w:p>
        </w:tc>
      </w:tr>
      <w:tr w:rsidR="00923395" w:rsidRPr="006A158F" w14:paraId="698521FF"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7" w:type="dxa"/>
          </w:tcPr>
          <w:p w14:paraId="76FF0C3E" w14:textId="77777777" w:rsidR="00923395" w:rsidRPr="00AA7A74" w:rsidRDefault="00923395" w:rsidP="00923395">
            <w:pPr>
              <w:jc w:val="center"/>
              <w:rPr>
                <w:b w:val="0"/>
                <w:lang w:val="en-US"/>
              </w:rPr>
            </w:pPr>
            <w:proofErr w:type="spellStart"/>
            <w:r w:rsidRPr="00AA7A74">
              <w:rPr>
                <w:b w:val="0"/>
                <w:lang w:val="en-US"/>
              </w:rPr>
              <w:t>cds</w:t>
            </w:r>
            <w:proofErr w:type="spellEnd"/>
          </w:p>
        </w:tc>
        <w:tc>
          <w:tcPr>
            <w:tcW w:w="2677" w:type="dxa"/>
          </w:tcPr>
          <w:p w14:paraId="31859319" w14:textId="77777777" w:rsidR="00923395" w:rsidRPr="00AA7A74" w:rsidRDefault="00923395" w:rsidP="00923395">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Crop demand steps</w:t>
            </w:r>
          </w:p>
        </w:tc>
        <w:tc>
          <w:tcPr>
            <w:tcW w:w="2256" w:type="dxa"/>
          </w:tcPr>
          <w:p w14:paraId="6C68E133" w14:textId="1D7F05CD" w:rsidR="00923395" w:rsidRPr="00AA7A74" w:rsidRDefault="00923395" w:rsidP="0092339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ncdstep</w:t>
            </w:r>
            <w:proofErr w:type="spellEnd"/>
          </w:p>
        </w:tc>
        <w:tc>
          <w:tcPr>
            <w:tcW w:w="1699" w:type="dxa"/>
          </w:tcPr>
          <w:p w14:paraId="50F41C24" w14:textId="621815F1" w:rsidR="00923395" w:rsidRPr="00AA7A74" w:rsidRDefault="00923395" w:rsidP="00923395">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w:t>
            </w:r>
          </w:p>
        </w:tc>
        <w:tc>
          <w:tcPr>
            <w:tcW w:w="1830" w:type="dxa"/>
          </w:tcPr>
          <w:p w14:paraId="0E94476F" w14:textId="4D681AFB" w:rsidR="00923395" w:rsidRPr="00AA7A74" w:rsidRDefault="00923395" w:rsidP="00923395">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Not used</w:t>
            </w:r>
          </w:p>
        </w:tc>
      </w:tr>
      <w:tr w:rsidR="00923395" w:rsidRPr="006A158F" w14:paraId="306C0D4B"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77" w:type="dxa"/>
          </w:tcPr>
          <w:p w14:paraId="33762814" w14:textId="77777777" w:rsidR="00923395" w:rsidRPr="00AA7A74" w:rsidRDefault="00923395" w:rsidP="00923395">
            <w:pPr>
              <w:jc w:val="center"/>
              <w:rPr>
                <w:b w:val="0"/>
                <w:lang w:val="en-US"/>
              </w:rPr>
            </w:pPr>
            <w:r w:rsidRPr="00AA7A74">
              <w:rPr>
                <w:b w:val="0"/>
                <w:lang w:val="en-US"/>
              </w:rPr>
              <w:t>tr</w:t>
            </w:r>
          </w:p>
        </w:tc>
        <w:tc>
          <w:tcPr>
            <w:tcW w:w="2677" w:type="dxa"/>
          </w:tcPr>
          <w:p w14:paraId="56EC4515" w14:textId="77777777"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Transport routes</w:t>
            </w:r>
          </w:p>
        </w:tc>
        <w:tc>
          <w:tcPr>
            <w:tcW w:w="2256" w:type="dxa"/>
          </w:tcPr>
          <w:p w14:paraId="41230AD9" w14:textId="026281F0"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nctrans</w:t>
            </w:r>
            <w:proofErr w:type="spellEnd"/>
          </w:p>
        </w:tc>
        <w:tc>
          <w:tcPr>
            <w:tcW w:w="1699" w:type="dxa"/>
          </w:tcPr>
          <w:p w14:paraId="5545E96B" w14:textId="1139FEC4"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CropTransport</w:t>
            </w:r>
            <w:proofErr w:type="spellEnd"/>
          </w:p>
        </w:tc>
        <w:tc>
          <w:tcPr>
            <w:tcW w:w="1830" w:type="dxa"/>
          </w:tcPr>
          <w:p w14:paraId="786406F6" w14:textId="3FBE18C0" w:rsidR="00923395" w:rsidRPr="00AA7A74" w:rsidRDefault="00923395" w:rsidP="00923395">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w:t>
            </w:r>
          </w:p>
        </w:tc>
      </w:tr>
      <w:tr w:rsidR="00923395" w:rsidRPr="006A158F" w14:paraId="037BAFBD"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7" w:type="dxa"/>
          </w:tcPr>
          <w:p w14:paraId="26715EE9" w14:textId="7F639A2B" w:rsidR="00923395" w:rsidRPr="00AA7A74" w:rsidRDefault="00923395" w:rsidP="00923395">
            <w:pPr>
              <w:rPr>
                <w:lang w:val="en-US"/>
              </w:rPr>
            </w:pPr>
            <w:r w:rsidRPr="00AA7A74">
              <w:rPr>
                <w:lang w:val="en-US"/>
              </w:rPr>
              <w:t>Parameters</w:t>
            </w:r>
          </w:p>
        </w:tc>
        <w:tc>
          <w:tcPr>
            <w:tcW w:w="8462" w:type="dxa"/>
            <w:gridSpan w:val="4"/>
          </w:tcPr>
          <w:p w14:paraId="3C46CEE3" w14:textId="4DCE536F" w:rsidR="00923395" w:rsidRPr="00AA7A74" w:rsidRDefault="00923395" w:rsidP="00923395">
            <w:pPr>
              <w:cnfStyle w:val="000000100000" w:firstRow="0" w:lastRow="0" w:firstColumn="0" w:lastColumn="0" w:oddVBand="0" w:evenVBand="0" w:oddHBand="1" w:evenHBand="0" w:firstRowFirstColumn="0" w:firstRowLastColumn="0" w:lastRowFirstColumn="0" w:lastRowLastColumn="0"/>
              <w:rPr>
                <w:i/>
                <w:lang w:val="en-US"/>
              </w:rPr>
            </w:pPr>
          </w:p>
        </w:tc>
      </w:tr>
      <w:tr w:rsidR="00AA7A74" w:rsidRPr="006A158F" w14:paraId="09F137ED"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77" w:type="dxa"/>
          </w:tcPr>
          <w:p w14:paraId="3B118DE6" w14:textId="7A7648F4" w:rsidR="00AA7A74" w:rsidRPr="00AA7A74" w:rsidRDefault="00AA7A74" w:rsidP="00AA7A74">
            <w:pP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d</m:t>
                    </m:r>
                  </m:e>
                  <m:sub>
                    <m:r>
                      <m:rPr>
                        <m:sty m:val="bi"/>
                      </m:rPr>
                      <w:rPr>
                        <w:rFonts w:ascii="Cambria Math" w:hAnsi="Cambria Math"/>
                        <w:color w:val="000000" w:themeColor="text1"/>
                      </w:rPr>
                      <m:t>C</m:t>
                    </m:r>
                  </m:sub>
                </m:sSub>
              </m:oMath>
            </m:oMathPara>
          </w:p>
        </w:tc>
        <w:tc>
          <w:tcPr>
            <w:tcW w:w="2677" w:type="dxa"/>
          </w:tcPr>
          <w:p w14:paraId="2B7D78CA" w14:textId="7777777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 xml:space="preserve">Crop demand </w:t>
            </w:r>
          </w:p>
        </w:tc>
        <w:tc>
          <w:tcPr>
            <w:tcW w:w="2256" w:type="dxa"/>
          </w:tcPr>
          <w:p w14:paraId="078F94C2" w14:textId="3A70F729"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aCropDem</w:t>
            </w:r>
            <w:proofErr w:type="spellEnd"/>
          </w:p>
        </w:tc>
        <w:tc>
          <w:tcPr>
            <w:tcW w:w="1699" w:type="dxa"/>
          </w:tcPr>
          <w:p w14:paraId="14A1783E" w14:textId="09A91155"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CropDem</w:t>
            </w:r>
            <w:proofErr w:type="spellEnd"/>
          </w:p>
        </w:tc>
        <w:tc>
          <w:tcPr>
            <w:tcW w:w="1830" w:type="dxa"/>
          </w:tcPr>
          <w:p w14:paraId="2A4A92DF" w14:textId="7973D14B"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URL":"http://www.fao.org/faostat/en/#data/QC","accessed":{"date-parts":[["2018","7","27"]]},"author":[{"dropping-particle":"","family":"FAO","given":"","non-dropping-particle":"","parse-names":false,"suffix":""}],"id":"ITEM-1","issued":{"date-parts":[["2018"]]},"title":"FAOSTAT","type":"webpage"},"uris":["http://www.mendeley.com/documents/?uuid=02c1428f-8dcf-3c1e-81ab-14f4537292c5"]}],"mendeley":{"formattedCitation":"(FAO, 2018)","plainTextFormattedCitation":"(FAO, 2018)","previouslyFormattedCitation":"(FAO, 2018)"},"properties":{"noteIndex":0},"schema":"https://github.com/citation-style-language/schema/raw/master/csl-citation.json"}</w:instrText>
            </w:r>
            <w:r w:rsidRPr="00AA7A74">
              <w:rPr>
                <w:lang w:val="en-US"/>
              </w:rPr>
              <w:fldChar w:fldCharType="separate"/>
            </w:r>
            <w:r w:rsidRPr="00AA7A74">
              <w:rPr>
                <w:noProof/>
                <w:lang w:val="en-US"/>
              </w:rPr>
              <w:t>(FAO, 2018)</w:t>
            </w:r>
            <w:r w:rsidRPr="00AA7A74">
              <w:rPr>
                <w:lang w:val="en-US"/>
              </w:rPr>
              <w:fldChar w:fldCharType="end"/>
            </w:r>
          </w:p>
        </w:tc>
      </w:tr>
      <w:tr w:rsidR="00AA7A74" w:rsidRPr="006A158F" w14:paraId="2F9A1375"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77" w:type="dxa"/>
          </w:tcPr>
          <w:p w14:paraId="05FB3A72" w14:textId="06C3889B" w:rsidR="00AA7A74" w:rsidRPr="00AA7A74" w:rsidRDefault="00AA7A74" w:rsidP="00AA7A74">
            <w:pP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d</m:t>
                    </m:r>
                  </m:e>
                  <m:sub>
                    <m:r>
                      <m:rPr>
                        <m:sty m:val="bi"/>
                      </m:rPr>
                      <w:rPr>
                        <w:rFonts w:ascii="Cambria Math" w:hAnsi="Cambria Math"/>
                        <w:color w:val="000000" w:themeColor="text1"/>
                      </w:rPr>
                      <m:t>min</m:t>
                    </m:r>
                  </m:sub>
                </m:sSub>
              </m:oMath>
            </m:oMathPara>
          </w:p>
        </w:tc>
        <w:tc>
          <w:tcPr>
            <w:tcW w:w="2677" w:type="dxa"/>
          </w:tcPr>
          <w:p w14:paraId="11FDD580" w14:textId="77777777"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rFonts w:eastAsiaTheme="minorEastAsia"/>
                <w:lang w:val="en-US"/>
              </w:rPr>
              <w:t xml:space="preserve">Crop minimum demand </w:t>
            </w:r>
          </w:p>
        </w:tc>
        <w:tc>
          <w:tcPr>
            <w:tcW w:w="2256" w:type="dxa"/>
          </w:tcPr>
          <w:p w14:paraId="51F437D0" w14:textId="68C061E9"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aMinDem</w:t>
            </w:r>
            <w:proofErr w:type="spellEnd"/>
          </w:p>
        </w:tc>
        <w:tc>
          <w:tcPr>
            <w:tcW w:w="1699" w:type="dxa"/>
          </w:tcPr>
          <w:p w14:paraId="256B17B1" w14:textId="6C2FA66F"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CropMinDem</w:t>
            </w:r>
            <w:proofErr w:type="spellEnd"/>
          </w:p>
        </w:tc>
        <w:tc>
          <w:tcPr>
            <w:tcW w:w="1830" w:type="dxa"/>
          </w:tcPr>
          <w:p w14:paraId="210DF5C4" w14:textId="2493E551"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w:t>
            </w:r>
          </w:p>
        </w:tc>
      </w:tr>
      <w:tr w:rsidR="00AA7A74" w:rsidRPr="006A158F" w14:paraId="4A852C5F" w14:textId="77777777" w:rsidTr="00AA7A74">
        <w:trPr>
          <w:trHeight w:val="319"/>
        </w:trPr>
        <w:tc>
          <w:tcPr>
            <w:cnfStyle w:val="001000000000" w:firstRow="0" w:lastRow="0" w:firstColumn="1" w:lastColumn="0" w:oddVBand="0" w:evenVBand="0" w:oddHBand="0" w:evenHBand="0" w:firstRowFirstColumn="0" w:firstRowLastColumn="0" w:lastRowFirstColumn="0" w:lastRowLastColumn="0"/>
            <w:tcW w:w="1177" w:type="dxa"/>
          </w:tcPr>
          <w:p w14:paraId="44E92C45" w14:textId="6F0BF4EC" w:rsidR="00AA7A74" w:rsidRPr="00AA7A74" w:rsidRDefault="00AA7A74" w:rsidP="00AA7A74">
            <w:pP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C,trans</m:t>
                    </m:r>
                  </m:sub>
                </m:sSub>
              </m:oMath>
            </m:oMathPara>
          </w:p>
        </w:tc>
        <w:tc>
          <w:tcPr>
            <w:tcW w:w="2677" w:type="dxa"/>
          </w:tcPr>
          <w:p w14:paraId="405438D2" w14:textId="7777777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rFonts w:eastAsiaTheme="minorEastAsia"/>
                <w:lang w:val="en-US"/>
              </w:rPr>
              <w:t>Crop transport loss rate</w:t>
            </w:r>
          </w:p>
        </w:tc>
        <w:tc>
          <w:tcPr>
            <w:tcW w:w="2256" w:type="dxa"/>
          </w:tcPr>
          <w:p w14:paraId="7A149D63" w14:textId="304E45E4"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sidRPr="00AA7A74">
              <w:rPr>
                <w:color w:val="000000" w:themeColor="text1"/>
                <w:lang w:val="en-US"/>
              </w:rPr>
              <w:t>aTransLoss</w:t>
            </w:r>
            <w:proofErr w:type="spellEnd"/>
          </w:p>
        </w:tc>
        <w:tc>
          <w:tcPr>
            <w:tcW w:w="1699" w:type="dxa"/>
          </w:tcPr>
          <w:p w14:paraId="68AABD07" w14:textId="585A144C"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CropTransport</w:t>
            </w:r>
            <w:proofErr w:type="spellEnd"/>
          </w:p>
        </w:tc>
        <w:tc>
          <w:tcPr>
            <w:tcW w:w="1830" w:type="dxa"/>
          </w:tcPr>
          <w:p w14:paraId="03E6DBA6" w14:textId="633FCF80"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Not used</w:t>
            </w:r>
          </w:p>
        </w:tc>
      </w:tr>
      <w:tr w:rsidR="00AA7A74" w:rsidRPr="006A158F" w14:paraId="2D7FE614" w14:textId="77777777" w:rsidTr="00AA7A7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177" w:type="dxa"/>
          </w:tcPr>
          <w:p w14:paraId="720413C6" w14:textId="37371B75" w:rsidR="00AA7A74" w:rsidRPr="00AA7A74" w:rsidRDefault="00AA7A74" w:rsidP="00AA7A74">
            <w:pP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b</m:t>
                    </m:r>
                  </m:e>
                  <m:sub>
                    <m:r>
                      <m:rPr>
                        <m:sty m:val="bi"/>
                      </m:rPr>
                      <w:rPr>
                        <w:rFonts w:ascii="Cambria Math" w:hAnsi="Cambria Math"/>
                        <w:color w:val="000000" w:themeColor="text1"/>
                      </w:rPr>
                      <m:t>C</m:t>
                    </m:r>
                  </m:sub>
                </m:sSub>
              </m:oMath>
            </m:oMathPara>
          </w:p>
        </w:tc>
        <w:tc>
          <w:tcPr>
            <w:tcW w:w="2677" w:type="dxa"/>
          </w:tcPr>
          <w:p w14:paraId="217775EA" w14:textId="77777777"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rFonts w:eastAsiaTheme="minorEastAsia"/>
                <w:lang w:val="en-US"/>
              </w:rPr>
              <w:t xml:space="preserve">Crop marginal value </w:t>
            </w:r>
          </w:p>
        </w:tc>
        <w:tc>
          <w:tcPr>
            <w:tcW w:w="2256" w:type="dxa"/>
          </w:tcPr>
          <w:p w14:paraId="7EF34388" w14:textId="3E0B7C25"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aCropVal</w:t>
            </w:r>
            <w:proofErr w:type="spellEnd"/>
          </w:p>
        </w:tc>
        <w:tc>
          <w:tcPr>
            <w:tcW w:w="1699" w:type="dxa"/>
          </w:tcPr>
          <w:p w14:paraId="3FC09ECE" w14:textId="39082455"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CropValue</w:t>
            </w:r>
            <w:proofErr w:type="spellEnd"/>
          </w:p>
        </w:tc>
        <w:tc>
          <w:tcPr>
            <w:tcW w:w="1830" w:type="dxa"/>
          </w:tcPr>
          <w:p w14:paraId="5572BB15" w14:textId="1E5AE8BA"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vertAlign w:val="superscript"/>
                <w:lang w:val="en-US"/>
              </w:rPr>
            </w:pPr>
            <w:r w:rsidRPr="00AA7A74">
              <w:rPr>
                <w:vertAlign w:val="superscript"/>
                <w:lang w:val="en-US"/>
              </w:rPr>
              <w:fldChar w:fldCharType="begin" w:fldLock="1"/>
            </w:r>
            <w:r w:rsidRPr="00AA7A74">
              <w:rPr>
                <w:vertAlign w:val="superscript"/>
                <w:lang w:val="en-US"/>
              </w:rPr>
              <w:instrText>ADDIN CSL_CITATION {"citationItems":[{"id":"ITEM-1","itemData":{"URL":"http://www.fao.org/faostat/en/#data/QC","accessed":{"date-parts":[["2018","7","27"]]},"author":[{"dropping-particle":"","family":"FAO","given":"","non-dropping-particle":"","parse-names":false,"suffix":""}],"id":"ITEM-1","issued":{"date-parts":[["2018"]]},"title":"FAOSTAT","type":"webpage"},"uris":["http://www.mendeley.com/documents/?uuid=02c1428f-8dcf-3c1e-81ab-14f4537292c5"]}],"mendeley":{"formattedCitation":"(FAO, 2018)","plainTextFormattedCitation":"(FAO, 2018)","previouslyFormattedCitation":"(FAO, 2018)"},"properties":{"noteIndex":0},"schema":"https://github.com/citation-style-language/schema/raw/master/csl-citation.json"}</w:instrText>
            </w:r>
            <w:r w:rsidRPr="00AA7A74">
              <w:rPr>
                <w:vertAlign w:val="superscript"/>
                <w:lang w:val="en-US"/>
              </w:rPr>
              <w:fldChar w:fldCharType="separate"/>
            </w:r>
            <w:r w:rsidRPr="00AA7A74">
              <w:rPr>
                <w:noProof/>
                <w:lang w:val="en-US"/>
              </w:rPr>
              <w:t>(FAO, 2018)</w:t>
            </w:r>
            <w:r w:rsidRPr="00AA7A74">
              <w:rPr>
                <w:vertAlign w:val="superscript"/>
                <w:lang w:val="en-US"/>
              </w:rPr>
              <w:fldChar w:fldCharType="end"/>
            </w:r>
          </w:p>
        </w:tc>
      </w:tr>
      <w:tr w:rsidR="00AA7A74" w:rsidRPr="006A158F" w14:paraId="50BE9494" w14:textId="77777777" w:rsidTr="00AA7A74">
        <w:trPr>
          <w:trHeight w:val="319"/>
        </w:trPr>
        <w:tc>
          <w:tcPr>
            <w:cnfStyle w:val="001000000000" w:firstRow="0" w:lastRow="0" w:firstColumn="1" w:lastColumn="0" w:oddVBand="0" w:evenVBand="0" w:oddHBand="0" w:evenHBand="0" w:firstRowFirstColumn="0" w:firstRowLastColumn="0" w:lastRowFirstColumn="0" w:lastRowLastColumn="0"/>
            <w:tcW w:w="1177" w:type="dxa"/>
          </w:tcPr>
          <w:p w14:paraId="1EAA51C1" w14:textId="2578736D" w:rsidR="00AA7A74" w:rsidRPr="00AA7A74" w:rsidRDefault="00AA7A74" w:rsidP="00AA7A74">
            <w:pPr>
              <w:rPr>
                <w:i/>
                <w:color w:val="000000" w:themeColor="text1"/>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ext</m:t>
                    </m:r>
                  </m:sub>
                </m:sSub>
              </m:oMath>
            </m:oMathPara>
          </w:p>
        </w:tc>
        <w:tc>
          <w:tcPr>
            <w:tcW w:w="2677" w:type="dxa"/>
          </w:tcPr>
          <w:p w14:paraId="070F0D58" w14:textId="7777777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A7A74">
              <w:rPr>
                <w:rFonts w:eastAsiaTheme="minorEastAsia"/>
                <w:color w:val="000000" w:themeColor="text1"/>
                <w:lang w:val="en-US"/>
              </w:rPr>
              <w:t>Crop external import costs</w:t>
            </w:r>
          </w:p>
        </w:tc>
        <w:tc>
          <w:tcPr>
            <w:tcW w:w="2256" w:type="dxa"/>
          </w:tcPr>
          <w:p w14:paraId="677F8D3B" w14:textId="3900D60D"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sidRPr="00AA7A74">
              <w:rPr>
                <w:color w:val="000000" w:themeColor="text1"/>
                <w:lang w:val="en-US"/>
              </w:rPr>
              <w:t>aCropVal</w:t>
            </w:r>
            <w:proofErr w:type="spellEnd"/>
          </w:p>
        </w:tc>
        <w:tc>
          <w:tcPr>
            <w:tcW w:w="1699" w:type="dxa"/>
          </w:tcPr>
          <w:p w14:paraId="1D209A2D" w14:textId="2FE9E27F"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sidRPr="00AA7A74">
              <w:rPr>
                <w:color w:val="000000" w:themeColor="text1"/>
                <w:lang w:val="en-US"/>
              </w:rPr>
              <w:t>CropValue</w:t>
            </w:r>
            <w:proofErr w:type="spellEnd"/>
          </w:p>
        </w:tc>
        <w:tc>
          <w:tcPr>
            <w:tcW w:w="1830" w:type="dxa"/>
          </w:tcPr>
          <w:p w14:paraId="235A0D57" w14:textId="26082A23"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A7A74">
              <w:rPr>
                <w:vertAlign w:val="superscript"/>
                <w:lang w:val="en-US"/>
              </w:rPr>
              <w:fldChar w:fldCharType="begin" w:fldLock="1"/>
            </w:r>
            <w:r w:rsidRPr="00AA7A74">
              <w:rPr>
                <w:vertAlign w:val="superscript"/>
                <w:lang w:val="en-US"/>
              </w:rPr>
              <w:instrText>ADDIN CSL_CITATION {"citationItems":[{"id":"ITEM-1","itemData":{"URL":"http://www.fao.org/faostat/en/#data/QC","accessed":{"date-parts":[["2018","7","27"]]},"author":[{"dropping-particle":"","family":"FAO","given":"","non-dropping-particle":"","parse-names":false,"suffix":""}],"id":"ITEM-1","issued":{"date-parts":[["2018"]]},"title":"FAOSTAT","type":"webpage"},"uris":["http://www.mendeley.com/documents/?uuid=02c1428f-8dcf-3c1e-81ab-14f4537292c5"]}],"mendeley":{"formattedCitation":"(FAO, 2018)","plainTextFormattedCitation":"(FAO, 2018)","previouslyFormattedCitation":"(FAO, 2018)"},"properties":{"noteIndex":0},"schema":"https://github.com/citation-style-language/schema/raw/master/csl-citation.json"}</w:instrText>
            </w:r>
            <w:r w:rsidRPr="00AA7A74">
              <w:rPr>
                <w:vertAlign w:val="superscript"/>
                <w:lang w:val="en-US"/>
              </w:rPr>
              <w:fldChar w:fldCharType="separate"/>
            </w:r>
            <w:r w:rsidRPr="00AA7A74">
              <w:rPr>
                <w:noProof/>
                <w:lang w:val="en-US"/>
              </w:rPr>
              <w:t>(FAO, 2018)</w:t>
            </w:r>
            <w:r w:rsidRPr="00AA7A74">
              <w:rPr>
                <w:vertAlign w:val="superscript"/>
                <w:lang w:val="en-US"/>
              </w:rPr>
              <w:fldChar w:fldCharType="end"/>
            </w:r>
          </w:p>
        </w:tc>
      </w:tr>
      <w:tr w:rsidR="00AA7A74" w:rsidRPr="006A158F" w14:paraId="2E41115E" w14:textId="77777777" w:rsidTr="00AA7A7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177" w:type="dxa"/>
          </w:tcPr>
          <w:p w14:paraId="3A56C0AA" w14:textId="6EF45AD0" w:rsidR="00AA7A74" w:rsidRPr="00AA7A74" w:rsidRDefault="00AA7A74" w:rsidP="00AA7A74">
            <w:pPr>
              <w:rPr>
                <w:rFonts w:eastAsia="Calibri"/>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C,trans</m:t>
                    </m:r>
                  </m:sub>
                </m:sSub>
              </m:oMath>
            </m:oMathPara>
          </w:p>
        </w:tc>
        <w:tc>
          <w:tcPr>
            <w:tcW w:w="2677" w:type="dxa"/>
          </w:tcPr>
          <w:p w14:paraId="2D2A1DDD" w14:textId="77777777"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AA7A74">
              <w:rPr>
                <w:rFonts w:eastAsiaTheme="minorEastAsia"/>
                <w:color w:val="000000" w:themeColor="text1"/>
                <w:lang w:val="en-US"/>
              </w:rPr>
              <w:t xml:space="preserve">Crop transport costs </w:t>
            </w:r>
          </w:p>
        </w:tc>
        <w:tc>
          <w:tcPr>
            <w:tcW w:w="2256" w:type="dxa"/>
          </w:tcPr>
          <w:p w14:paraId="43C87489" w14:textId="6B0616CA"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color w:val="000000" w:themeColor="text1"/>
                <w:lang w:val="en-US"/>
              </w:rPr>
            </w:pPr>
            <w:proofErr w:type="spellStart"/>
            <w:r w:rsidRPr="00AA7A74">
              <w:rPr>
                <w:color w:val="000000" w:themeColor="text1"/>
                <w:lang w:val="en-US"/>
              </w:rPr>
              <w:t>aTransCost</w:t>
            </w:r>
            <w:proofErr w:type="spellEnd"/>
          </w:p>
        </w:tc>
        <w:tc>
          <w:tcPr>
            <w:tcW w:w="1699" w:type="dxa"/>
          </w:tcPr>
          <w:p w14:paraId="2C920D34" w14:textId="40F82F6E"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TransportCost</w:t>
            </w:r>
            <w:proofErr w:type="spellEnd"/>
          </w:p>
        </w:tc>
        <w:tc>
          <w:tcPr>
            <w:tcW w:w="1830" w:type="dxa"/>
          </w:tcPr>
          <w:p w14:paraId="7C2B9005" w14:textId="0CC52AA0"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vertAlign w:val="superscript"/>
                <w:lang w:val="en-US"/>
              </w:rPr>
              <w:fldChar w:fldCharType="begin" w:fldLock="1"/>
            </w:r>
            <w:r w:rsidRPr="00AA7A74">
              <w:rPr>
                <w:vertAlign w:val="superscript"/>
                <w:lang w:val="en-US"/>
              </w:rPr>
              <w:instrText>ADDIN CSL_CITATION {"citationItems":[{"id":"ITEM-1","itemData":{"URL":"http://www.fao.org/faostat/en/#data/QC","accessed":{"date-parts":[["2018","7","27"]]},"author":[{"dropping-particle":"","family":"FAO","given":"","non-dropping-particle":"","parse-names":false,"suffix":""}],"id":"ITEM-1","issued":{"date-parts":[["2018"]]},"title":"FAOSTAT","type":"webpage"},"uris":["http://www.mendeley.com/documents/?uuid=02c1428f-8dcf-3c1e-81ab-14f4537292c5"]}],"mendeley":{"formattedCitation":"(FAO, 2018)","plainTextFormattedCitation":"(FAO, 2018)","previouslyFormattedCitation":"(FAO, 2018)"},"properties":{"noteIndex":0},"schema":"https://github.com/citation-style-language/schema/raw/master/csl-citation.json"}</w:instrText>
            </w:r>
            <w:r w:rsidRPr="00AA7A74">
              <w:rPr>
                <w:vertAlign w:val="superscript"/>
                <w:lang w:val="en-US"/>
              </w:rPr>
              <w:fldChar w:fldCharType="separate"/>
            </w:r>
            <w:r w:rsidRPr="00AA7A74">
              <w:rPr>
                <w:noProof/>
                <w:lang w:val="en-US"/>
              </w:rPr>
              <w:t>(FAO, 2018)</w:t>
            </w:r>
            <w:r w:rsidRPr="00AA7A74">
              <w:rPr>
                <w:vertAlign w:val="superscript"/>
                <w:lang w:val="en-US"/>
              </w:rPr>
              <w:fldChar w:fldCharType="end"/>
            </w:r>
          </w:p>
        </w:tc>
      </w:tr>
    </w:tbl>
    <w:p w14:paraId="7D701824" w14:textId="5C3BE96F" w:rsidR="00747132" w:rsidRPr="006A158F" w:rsidRDefault="00747132" w:rsidP="00747132">
      <w:pPr>
        <w:rPr>
          <w:lang w:val="en-US"/>
        </w:rPr>
      </w:pPr>
    </w:p>
    <w:p w14:paraId="6BD818FD" w14:textId="77777777" w:rsidR="003353BC" w:rsidRDefault="003353BC" w:rsidP="003353BC">
      <w:pPr>
        <w:pStyle w:val="Heading1"/>
        <w:rPr>
          <w:lang w:val="en-US"/>
        </w:rPr>
      </w:pPr>
    </w:p>
    <w:p w14:paraId="251A390D" w14:textId="77777777" w:rsidR="003353BC" w:rsidRDefault="003353BC" w:rsidP="003353BC">
      <w:pPr>
        <w:rPr>
          <w:rFonts w:asciiTheme="majorHAnsi" w:eastAsiaTheme="majorEastAsia" w:hAnsiTheme="majorHAnsi" w:cstheme="majorBidi"/>
          <w:color w:val="2F5496" w:themeColor="accent1" w:themeShade="BF"/>
          <w:sz w:val="32"/>
          <w:szCs w:val="32"/>
          <w:lang w:val="en-US"/>
        </w:rPr>
      </w:pPr>
      <w:r>
        <w:rPr>
          <w:lang w:val="en-US"/>
        </w:rPr>
        <w:br w:type="page"/>
      </w:r>
    </w:p>
    <w:p w14:paraId="02C99D7B" w14:textId="5C43838A" w:rsidR="006F62E5" w:rsidRPr="006A158F" w:rsidRDefault="006F62E5" w:rsidP="003353BC">
      <w:pPr>
        <w:pStyle w:val="Heading1"/>
        <w:rPr>
          <w:lang w:val="en-US"/>
        </w:rPr>
      </w:pPr>
      <w:r w:rsidRPr="006A158F">
        <w:rPr>
          <w:lang w:val="en-US"/>
        </w:rPr>
        <w:lastRenderedPageBreak/>
        <w:t>Energy production module</w:t>
      </w:r>
    </w:p>
    <w:p w14:paraId="01BA5006" w14:textId="664C60FE" w:rsidR="000C1A7D" w:rsidRPr="00083AAC" w:rsidRDefault="000C1A7D" w:rsidP="000C1A7D">
      <w:pPr>
        <w:pStyle w:val="Caption"/>
        <w:keepNext/>
        <w:rPr>
          <w:lang w:val="en-US"/>
        </w:rPr>
      </w:pPr>
      <w:r w:rsidRPr="00083AAC">
        <w:rPr>
          <w:lang w:val="en-US"/>
        </w:rPr>
        <w:t xml:space="preserve">Table </w:t>
      </w:r>
      <w:r>
        <w:fldChar w:fldCharType="begin"/>
      </w:r>
      <w:r w:rsidRPr="00083AAC">
        <w:rPr>
          <w:lang w:val="en-US"/>
        </w:rPr>
        <w:instrText xml:space="preserve"> SEQ Table \* ARABIC </w:instrText>
      </w:r>
      <w:r>
        <w:fldChar w:fldCharType="separate"/>
      </w:r>
      <w:r w:rsidR="00C866A3">
        <w:rPr>
          <w:noProof/>
          <w:lang w:val="en-US"/>
        </w:rPr>
        <w:t>4</w:t>
      </w:r>
      <w:r>
        <w:fldChar w:fldCharType="end"/>
      </w:r>
      <w:r w:rsidRPr="00083AAC">
        <w:rPr>
          <w:lang w:val="en-US"/>
        </w:rPr>
        <w:t xml:space="preserve">: </w:t>
      </w:r>
      <w:r w:rsidRPr="006A158F">
        <w:rPr>
          <w:lang w:val="en-US"/>
        </w:rPr>
        <w:t xml:space="preserve">Parameters of the </w:t>
      </w:r>
      <w:r>
        <w:rPr>
          <w:lang w:val="en-US"/>
        </w:rPr>
        <w:t>Energy production</w:t>
      </w:r>
      <w:r w:rsidRPr="006A158F">
        <w:rPr>
          <w:lang w:val="en-US"/>
        </w:rPr>
        <w:t xml:space="preserve"> module contained </w:t>
      </w:r>
      <w:r>
        <w:rPr>
          <w:lang w:val="en-US"/>
        </w:rPr>
        <w:t>in the EnergyModule.xlsx file. The parameters are called after their name in the HESS publication, but the name used in the python model is also indicated. The relevant pages of the sources are indicated in the excel files when available.</w:t>
      </w:r>
    </w:p>
    <w:tbl>
      <w:tblPr>
        <w:tblStyle w:val="PlainTable4"/>
        <w:tblW w:w="0" w:type="auto"/>
        <w:tblLook w:val="04A0" w:firstRow="1" w:lastRow="0" w:firstColumn="1" w:lastColumn="0" w:noHBand="0" w:noVBand="1"/>
      </w:tblPr>
      <w:tblGrid>
        <w:gridCol w:w="1133"/>
        <w:gridCol w:w="1167"/>
        <w:gridCol w:w="1166"/>
        <w:gridCol w:w="2283"/>
        <w:gridCol w:w="1963"/>
        <w:gridCol w:w="1926"/>
      </w:tblGrid>
      <w:tr w:rsidR="00442C6E" w:rsidRPr="006A158F" w14:paraId="2DF601C6" w14:textId="77777777" w:rsidTr="00AA7A7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D062A9E" w14:textId="26989879" w:rsidR="006F62E5" w:rsidRPr="00134F1F" w:rsidRDefault="006F62E5" w:rsidP="00134F1F">
            <w:pPr>
              <w:jc w:val="center"/>
              <w:rPr>
                <w:b w:val="0"/>
                <w:lang w:val="en-US"/>
              </w:rPr>
            </w:pPr>
            <w:r w:rsidRPr="00134F1F">
              <w:rPr>
                <w:b w:val="0"/>
                <w:sz w:val="20"/>
                <w:lang w:val="en-US"/>
              </w:rPr>
              <w:t>Notation in publication</w:t>
            </w:r>
          </w:p>
        </w:tc>
        <w:tc>
          <w:tcPr>
            <w:tcW w:w="2350" w:type="dxa"/>
            <w:gridSpan w:val="2"/>
            <w:vAlign w:val="center"/>
          </w:tcPr>
          <w:p w14:paraId="009DDCA6" w14:textId="676C07B1" w:rsidR="006F62E5" w:rsidRPr="00134F1F" w:rsidRDefault="006F62E5" w:rsidP="00134F1F">
            <w:pPr>
              <w:jc w:val="center"/>
              <w:cnfStyle w:val="100000000000" w:firstRow="1" w:lastRow="0" w:firstColumn="0" w:lastColumn="0" w:oddVBand="0" w:evenVBand="0" w:oddHBand="0" w:evenHBand="0" w:firstRowFirstColumn="0" w:firstRowLastColumn="0" w:lastRowFirstColumn="0" w:lastRowLastColumn="0"/>
              <w:rPr>
                <w:b w:val="0"/>
                <w:lang w:val="en-US"/>
              </w:rPr>
            </w:pPr>
            <w:r w:rsidRPr="00134F1F">
              <w:rPr>
                <w:b w:val="0"/>
                <w:sz w:val="20"/>
                <w:lang w:val="en-US"/>
              </w:rPr>
              <w:t>Description</w:t>
            </w:r>
          </w:p>
        </w:tc>
        <w:tc>
          <w:tcPr>
            <w:tcW w:w="2283" w:type="dxa"/>
            <w:vAlign w:val="center"/>
          </w:tcPr>
          <w:p w14:paraId="43267956" w14:textId="01F80F16" w:rsidR="006F62E5" w:rsidRPr="00134F1F" w:rsidRDefault="006F62E5" w:rsidP="00134F1F">
            <w:pPr>
              <w:jc w:val="center"/>
              <w:cnfStyle w:val="100000000000" w:firstRow="1" w:lastRow="0" w:firstColumn="0" w:lastColumn="0" w:oddVBand="0" w:evenVBand="0" w:oddHBand="0" w:evenHBand="0" w:firstRowFirstColumn="0" w:firstRowLastColumn="0" w:lastRowFirstColumn="0" w:lastRowLastColumn="0"/>
              <w:rPr>
                <w:b w:val="0"/>
                <w:lang w:val="en-US"/>
              </w:rPr>
            </w:pPr>
            <w:r w:rsidRPr="00134F1F">
              <w:rPr>
                <w:b w:val="0"/>
                <w:sz w:val="20"/>
                <w:lang w:val="en-US"/>
              </w:rPr>
              <w:t>Parameter name in model</w:t>
            </w:r>
          </w:p>
        </w:tc>
        <w:tc>
          <w:tcPr>
            <w:tcW w:w="0" w:type="auto"/>
            <w:vAlign w:val="center"/>
          </w:tcPr>
          <w:p w14:paraId="08ADC871" w14:textId="24676D73" w:rsidR="006F62E5" w:rsidRPr="00134F1F" w:rsidRDefault="006F62E5" w:rsidP="00134F1F">
            <w:pPr>
              <w:jc w:val="center"/>
              <w:cnfStyle w:val="100000000000" w:firstRow="1" w:lastRow="0" w:firstColumn="0" w:lastColumn="0" w:oddVBand="0" w:evenVBand="0" w:oddHBand="0" w:evenHBand="0" w:firstRowFirstColumn="0" w:firstRowLastColumn="0" w:lastRowFirstColumn="0" w:lastRowLastColumn="0"/>
              <w:rPr>
                <w:b w:val="0"/>
                <w:lang w:val="en-US"/>
              </w:rPr>
            </w:pPr>
            <w:r w:rsidRPr="00134F1F">
              <w:rPr>
                <w:b w:val="0"/>
                <w:sz w:val="20"/>
                <w:lang w:val="en-US"/>
              </w:rPr>
              <w:t>Excel sheet</w:t>
            </w:r>
          </w:p>
        </w:tc>
        <w:tc>
          <w:tcPr>
            <w:tcW w:w="0" w:type="auto"/>
            <w:vAlign w:val="center"/>
          </w:tcPr>
          <w:p w14:paraId="3609B874" w14:textId="2DAA656C" w:rsidR="006F62E5" w:rsidRPr="00134F1F" w:rsidRDefault="006F62E5" w:rsidP="00134F1F">
            <w:pPr>
              <w:jc w:val="center"/>
              <w:cnfStyle w:val="100000000000" w:firstRow="1" w:lastRow="0" w:firstColumn="0" w:lastColumn="0" w:oddVBand="0" w:evenVBand="0" w:oddHBand="0" w:evenHBand="0" w:firstRowFirstColumn="0" w:firstRowLastColumn="0" w:lastRowFirstColumn="0" w:lastRowLastColumn="0"/>
              <w:rPr>
                <w:b w:val="0"/>
                <w:lang w:val="en-US"/>
              </w:rPr>
            </w:pPr>
            <w:r w:rsidRPr="00134F1F">
              <w:rPr>
                <w:b w:val="0"/>
                <w:sz w:val="20"/>
                <w:lang w:val="en-US"/>
              </w:rPr>
              <w:t>Source</w:t>
            </w:r>
          </w:p>
        </w:tc>
      </w:tr>
      <w:tr w:rsidR="006F62E5" w:rsidRPr="006A158F" w14:paraId="3B390884" w14:textId="77777777" w:rsidTr="00134F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auto"/>
          </w:tcPr>
          <w:p w14:paraId="30F0E45F" w14:textId="69830255" w:rsidR="006F62E5" w:rsidRPr="00134F1F" w:rsidRDefault="00134F1F" w:rsidP="00D20116">
            <w:pPr>
              <w:rPr>
                <w:sz w:val="20"/>
                <w:szCs w:val="20"/>
                <w:lang w:val="en-US"/>
              </w:rPr>
            </w:pPr>
            <w:r w:rsidRPr="00134F1F">
              <w:rPr>
                <w:sz w:val="20"/>
                <w:szCs w:val="20"/>
                <w:lang w:val="en-US"/>
              </w:rPr>
              <w:t>Indices</w:t>
            </w:r>
          </w:p>
        </w:tc>
        <w:tc>
          <w:tcPr>
            <w:tcW w:w="0" w:type="auto"/>
            <w:gridSpan w:val="4"/>
            <w:shd w:val="clear" w:color="auto" w:fill="auto"/>
          </w:tcPr>
          <w:p w14:paraId="51AED548" w14:textId="19F72101" w:rsidR="006F62E5" w:rsidRPr="006A158F" w:rsidRDefault="006F62E5" w:rsidP="00D20116">
            <w:pPr>
              <w:cnfStyle w:val="000000100000" w:firstRow="0" w:lastRow="0" w:firstColumn="0" w:lastColumn="0" w:oddVBand="0" w:evenVBand="0" w:oddHBand="1" w:evenHBand="0" w:firstRowFirstColumn="0" w:firstRowLastColumn="0" w:lastRowFirstColumn="0" w:lastRowLastColumn="0"/>
              <w:rPr>
                <w:b/>
                <w:iCs/>
                <w:lang w:val="en-US"/>
              </w:rPr>
            </w:pPr>
          </w:p>
        </w:tc>
      </w:tr>
      <w:tr w:rsidR="00442C6E" w:rsidRPr="006A158F" w14:paraId="7FE921AE"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1608963C" w14:textId="77777777" w:rsidR="006F62E5" w:rsidRPr="00AA7A74" w:rsidRDefault="006F62E5" w:rsidP="00D20116">
            <w:pPr>
              <w:jc w:val="center"/>
              <w:rPr>
                <w:b w:val="0"/>
                <w:lang w:val="en-US"/>
              </w:rPr>
            </w:pPr>
            <w:r w:rsidRPr="00AA7A74">
              <w:rPr>
                <w:b w:val="0"/>
                <w:lang w:val="en-US"/>
              </w:rPr>
              <w:t>hp</w:t>
            </w:r>
          </w:p>
        </w:tc>
        <w:tc>
          <w:tcPr>
            <w:tcW w:w="2350" w:type="dxa"/>
            <w:gridSpan w:val="2"/>
          </w:tcPr>
          <w:p w14:paraId="62782CF3" w14:textId="77777777"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Hydropower turbines</w:t>
            </w:r>
          </w:p>
        </w:tc>
        <w:tc>
          <w:tcPr>
            <w:tcW w:w="2283" w:type="dxa"/>
          </w:tcPr>
          <w:p w14:paraId="3761461D" w14:textId="141979BA"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nhpp</w:t>
            </w:r>
            <w:proofErr w:type="spellEnd"/>
          </w:p>
        </w:tc>
        <w:tc>
          <w:tcPr>
            <w:tcW w:w="0" w:type="auto"/>
          </w:tcPr>
          <w:p w14:paraId="57313875" w14:textId="1DF0D4B2"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Hydropower</w:t>
            </w:r>
          </w:p>
        </w:tc>
        <w:tc>
          <w:tcPr>
            <w:tcW w:w="0" w:type="auto"/>
          </w:tcPr>
          <w:p w14:paraId="29CB863A" w14:textId="2475D320"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p>
        </w:tc>
      </w:tr>
      <w:tr w:rsidR="00442C6E" w:rsidRPr="006A158F" w14:paraId="399F7B75"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2DBDFC69" w14:textId="77777777" w:rsidR="006F62E5" w:rsidRPr="00AA7A74" w:rsidRDefault="006F62E5" w:rsidP="00D20116">
            <w:pPr>
              <w:jc w:val="center"/>
              <w:rPr>
                <w:b w:val="0"/>
                <w:lang w:val="en-US"/>
              </w:rPr>
            </w:pPr>
            <w:r w:rsidRPr="00AA7A74">
              <w:rPr>
                <w:b w:val="0"/>
                <w:lang w:val="en-US"/>
              </w:rPr>
              <w:t>op</w:t>
            </w:r>
          </w:p>
        </w:tc>
        <w:tc>
          <w:tcPr>
            <w:tcW w:w="2350" w:type="dxa"/>
            <w:gridSpan w:val="2"/>
          </w:tcPr>
          <w:p w14:paraId="6C8906B5" w14:textId="77777777"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Other power plants</w:t>
            </w:r>
          </w:p>
        </w:tc>
        <w:tc>
          <w:tcPr>
            <w:tcW w:w="2283" w:type="dxa"/>
          </w:tcPr>
          <w:p w14:paraId="5FD3414B" w14:textId="1A2C6373"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nopp</w:t>
            </w:r>
            <w:proofErr w:type="spellEnd"/>
          </w:p>
        </w:tc>
        <w:tc>
          <w:tcPr>
            <w:tcW w:w="0" w:type="auto"/>
          </w:tcPr>
          <w:p w14:paraId="0D560081" w14:textId="3FA51411"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PowerPlants</w:t>
            </w:r>
            <w:proofErr w:type="spellEnd"/>
          </w:p>
        </w:tc>
        <w:tc>
          <w:tcPr>
            <w:tcW w:w="0" w:type="auto"/>
          </w:tcPr>
          <w:p w14:paraId="467CB7AE" w14:textId="164FC56F"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p>
        </w:tc>
      </w:tr>
      <w:tr w:rsidR="00442C6E" w:rsidRPr="006A158F" w14:paraId="0BA485D0"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36500AE6" w14:textId="77777777" w:rsidR="006F62E5" w:rsidRPr="00AA7A74" w:rsidRDefault="006F62E5" w:rsidP="00D20116">
            <w:pPr>
              <w:jc w:val="center"/>
              <w:rPr>
                <w:b w:val="0"/>
                <w:lang w:val="en-US"/>
              </w:rPr>
            </w:pPr>
            <w:proofErr w:type="spellStart"/>
            <w:r w:rsidRPr="00AA7A74">
              <w:rPr>
                <w:b w:val="0"/>
                <w:lang w:val="en-US"/>
              </w:rPr>
              <w:t>pt</w:t>
            </w:r>
            <w:proofErr w:type="spellEnd"/>
          </w:p>
        </w:tc>
        <w:tc>
          <w:tcPr>
            <w:tcW w:w="2350" w:type="dxa"/>
            <w:gridSpan w:val="2"/>
          </w:tcPr>
          <w:p w14:paraId="37BEF9C3" w14:textId="77777777"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Power technologies</w:t>
            </w:r>
          </w:p>
        </w:tc>
        <w:tc>
          <w:tcPr>
            <w:tcW w:w="2283" w:type="dxa"/>
          </w:tcPr>
          <w:p w14:paraId="3480905F" w14:textId="5C2B6324"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nptech</w:t>
            </w:r>
            <w:proofErr w:type="spellEnd"/>
          </w:p>
        </w:tc>
        <w:tc>
          <w:tcPr>
            <w:tcW w:w="0" w:type="auto"/>
          </w:tcPr>
          <w:p w14:paraId="2DF6FD54" w14:textId="7AB09EEC"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PowerTechnologies</w:t>
            </w:r>
            <w:proofErr w:type="spellEnd"/>
          </w:p>
        </w:tc>
        <w:tc>
          <w:tcPr>
            <w:tcW w:w="0" w:type="auto"/>
          </w:tcPr>
          <w:p w14:paraId="432F60E2" w14:textId="375E0BC9"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lang w:val="en-US"/>
              </w:rPr>
            </w:pPr>
          </w:p>
        </w:tc>
      </w:tr>
      <w:tr w:rsidR="00442C6E" w:rsidRPr="006A158F" w14:paraId="0A745BC3"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41AE2985" w14:textId="77777777" w:rsidR="006F62E5" w:rsidRPr="00AA7A74" w:rsidRDefault="006F62E5" w:rsidP="00D20116">
            <w:pPr>
              <w:jc w:val="center"/>
              <w:rPr>
                <w:b w:val="0"/>
                <w:lang w:val="en-US"/>
              </w:rPr>
            </w:pPr>
            <w:proofErr w:type="spellStart"/>
            <w:r w:rsidRPr="00AA7A74">
              <w:rPr>
                <w:b w:val="0"/>
                <w:lang w:val="en-US"/>
              </w:rPr>
              <w:t>fu</w:t>
            </w:r>
            <w:proofErr w:type="spellEnd"/>
          </w:p>
        </w:tc>
        <w:tc>
          <w:tcPr>
            <w:tcW w:w="2350" w:type="dxa"/>
            <w:gridSpan w:val="2"/>
          </w:tcPr>
          <w:p w14:paraId="517BAC8E" w14:textId="77777777"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Fuels</w:t>
            </w:r>
          </w:p>
        </w:tc>
        <w:tc>
          <w:tcPr>
            <w:tcW w:w="2283" w:type="dxa"/>
          </w:tcPr>
          <w:p w14:paraId="1097AA3E" w14:textId="5027E959"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nfuel</w:t>
            </w:r>
            <w:proofErr w:type="spellEnd"/>
          </w:p>
        </w:tc>
        <w:tc>
          <w:tcPr>
            <w:tcW w:w="0" w:type="auto"/>
          </w:tcPr>
          <w:p w14:paraId="6CF2C6A0" w14:textId="3621DC3C"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Fuels</w:t>
            </w:r>
          </w:p>
        </w:tc>
        <w:tc>
          <w:tcPr>
            <w:tcW w:w="0" w:type="auto"/>
          </w:tcPr>
          <w:p w14:paraId="256ABA28" w14:textId="77615B26"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p>
        </w:tc>
      </w:tr>
      <w:tr w:rsidR="006F62E5" w:rsidRPr="006A158F" w14:paraId="36028BC9" w14:textId="77777777" w:rsidTr="00134F1F">
        <w:trPr>
          <w:trHeight w:val="340"/>
        </w:trPr>
        <w:tc>
          <w:tcPr>
            <w:cnfStyle w:val="001000000000" w:firstRow="0" w:lastRow="0" w:firstColumn="1" w:lastColumn="0" w:oddVBand="0" w:evenVBand="0" w:oddHBand="0" w:evenHBand="0" w:firstRowFirstColumn="0" w:firstRowLastColumn="0" w:lastRowFirstColumn="0" w:lastRowLastColumn="0"/>
            <w:tcW w:w="0" w:type="auto"/>
            <w:gridSpan w:val="2"/>
          </w:tcPr>
          <w:p w14:paraId="7211570F" w14:textId="6CF4FB85" w:rsidR="006F62E5" w:rsidRPr="00AA7A74" w:rsidRDefault="00134F1F" w:rsidP="00D20116">
            <w:pPr>
              <w:rPr>
                <w:lang w:val="en-US"/>
              </w:rPr>
            </w:pPr>
            <w:r w:rsidRPr="00AA7A74">
              <w:rPr>
                <w:lang w:val="en-US"/>
              </w:rPr>
              <w:t>Parameters</w:t>
            </w:r>
          </w:p>
        </w:tc>
        <w:tc>
          <w:tcPr>
            <w:tcW w:w="0" w:type="auto"/>
            <w:gridSpan w:val="4"/>
          </w:tcPr>
          <w:p w14:paraId="2CF10967" w14:textId="2EB1DD6D" w:rsidR="006F62E5" w:rsidRPr="00AA7A74" w:rsidRDefault="006F62E5" w:rsidP="00D20116">
            <w:pPr>
              <w:cnfStyle w:val="000000000000" w:firstRow="0" w:lastRow="0" w:firstColumn="0" w:lastColumn="0" w:oddVBand="0" w:evenVBand="0" w:oddHBand="0" w:evenHBand="0" w:firstRowFirstColumn="0" w:firstRowLastColumn="0" w:lastRowFirstColumn="0" w:lastRowLastColumn="0"/>
              <w:rPr>
                <w:i/>
                <w:lang w:val="en-US"/>
              </w:rPr>
            </w:pPr>
          </w:p>
        </w:tc>
      </w:tr>
      <w:tr w:rsidR="00442C6E" w:rsidRPr="006A158F" w14:paraId="5BDF8031"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1AB96FEB" w14:textId="58A2F4B9" w:rsidR="006F62E5" w:rsidRPr="00AA7A74" w:rsidRDefault="00AA7A74" w:rsidP="00D20116">
            <w:pPr>
              <w:rPr>
                <w:b w:val="0"/>
                <w:i/>
                <w:lang w:val="en-US"/>
              </w:rPr>
            </w:pPr>
            <m:oMathPara>
              <m:oMath>
                <m:r>
                  <m:rPr>
                    <m:sty m:val="p"/>
                  </m:rPr>
                  <w:rPr>
                    <w:rFonts w:ascii="Cambria Math" w:hAnsi="Cambria Math"/>
                    <w:lang w:val="en-US"/>
                  </w:rPr>
                  <m:t>γ</m:t>
                </m:r>
              </m:oMath>
            </m:oMathPara>
          </w:p>
        </w:tc>
        <w:tc>
          <w:tcPr>
            <w:tcW w:w="2350" w:type="dxa"/>
            <w:gridSpan w:val="2"/>
          </w:tcPr>
          <w:p w14:paraId="5707524D" w14:textId="77777777"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r w:rsidRPr="00AA7A74">
              <w:rPr>
                <w:rFonts w:eastAsiaTheme="minorEastAsia"/>
                <w:lang w:val="en-US"/>
              </w:rPr>
              <w:t xml:space="preserve">Water-Energy equivalent </w:t>
            </w:r>
          </w:p>
        </w:tc>
        <w:tc>
          <w:tcPr>
            <w:tcW w:w="2283" w:type="dxa"/>
          </w:tcPr>
          <w:p w14:paraId="4EED3C33" w14:textId="7F9BC0DA"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eHppProd</w:t>
            </w:r>
            <w:proofErr w:type="spellEnd"/>
          </w:p>
        </w:tc>
        <w:tc>
          <w:tcPr>
            <w:tcW w:w="0" w:type="auto"/>
          </w:tcPr>
          <w:p w14:paraId="7569D273" w14:textId="68A38A57" w:rsidR="006F62E5" w:rsidRPr="00AA7A74" w:rsidRDefault="006F62E5" w:rsidP="00D20116">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Hydropower</w:t>
            </w:r>
          </w:p>
        </w:tc>
        <w:tc>
          <w:tcPr>
            <w:tcW w:w="0" w:type="auto"/>
          </w:tcPr>
          <w:p w14:paraId="7E2B3D66" w14:textId="704B99D9" w:rsidR="006F62E5" w:rsidRPr="00AA7A74" w:rsidRDefault="00442C6E" w:rsidP="00D20116">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AA7A74">
              <w:rPr>
                <w:lang w:val="en-US"/>
              </w:rPr>
              <w:fldChar w:fldCharType="separate"/>
            </w:r>
            <w:r w:rsidRPr="00AA7A74">
              <w:rPr>
                <w:noProof/>
                <w:lang w:val="en-US"/>
              </w:rPr>
              <w:t>(World Bank, 2010)</w:t>
            </w:r>
            <w:r w:rsidRPr="00AA7A74">
              <w:rPr>
                <w:lang w:val="en-US"/>
              </w:rPr>
              <w:fldChar w:fldCharType="end"/>
            </w:r>
          </w:p>
        </w:tc>
      </w:tr>
      <w:tr w:rsidR="00AA7A74" w:rsidRPr="006A158F" w14:paraId="0EEAA814"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2845C7AC" w14:textId="0B1ABD45" w:rsidR="00AA7A74" w:rsidRPr="00AA7A74" w:rsidRDefault="00AA7A74" w:rsidP="00AA7A74">
            <w:pPr>
              <w:rPr>
                <w:i/>
                <w:lang w:val="en-US"/>
              </w:rPr>
            </w:pPr>
            <m:oMathPara>
              <m:oMath>
                <m:sSub>
                  <m:sSubPr>
                    <m:ctrlPr>
                      <w:rPr>
                        <w:rFonts w:ascii="Cambria Math" w:hAnsi="Cambria Math"/>
                        <w:color w:val="000000" w:themeColor="text1"/>
                      </w:rPr>
                    </m:ctrlPr>
                  </m:sSubPr>
                  <m:e>
                    <m:acc>
                      <m:accPr>
                        <m:chr m:val="̅"/>
                        <m:ctrlPr>
                          <w:rPr>
                            <w:rFonts w:ascii="Cambria Math" w:eastAsia="Times New Roman" w:hAnsi="Cambria Math" w:cstheme="majorBidi"/>
                            <w:b w:val="0"/>
                            <w:bCs w:val="0"/>
                            <w:i/>
                            <w:iCs/>
                            <w:color w:val="000000" w:themeColor="text1"/>
                            <w:lang w:val="en-GB" w:eastAsia="de-DE"/>
                          </w:rPr>
                        </m:ctrlPr>
                      </m:accPr>
                      <m:e>
                        <m:r>
                          <m:rPr>
                            <m:sty m:val="b"/>
                          </m:rPr>
                          <w:rPr>
                            <w:rFonts w:ascii="Cambria Math" w:hAnsi="Cambria Math"/>
                            <w:color w:val="000000" w:themeColor="text1"/>
                          </w:rPr>
                          <m:t>P</m:t>
                        </m:r>
                      </m:e>
                    </m:acc>
                  </m:e>
                  <m:sub>
                    <m:r>
                      <m:rPr>
                        <m:sty m:val="bi"/>
                      </m:rPr>
                      <w:rPr>
                        <w:rFonts w:ascii="Cambria Math" w:hAnsi="Cambria Math"/>
                        <w:color w:val="000000" w:themeColor="text1"/>
                      </w:rPr>
                      <m:t>hydro</m:t>
                    </m:r>
                  </m:sub>
                </m:sSub>
              </m:oMath>
            </m:oMathPara>
          </w:p>
        </w:tc>
        <w:tc>
          <w:tcPr>
            <w:tcW w:w="2350" w:type="dxa"/>
            <w:gridSpan w:val="2"/>
          </w:tcPr>
          <w:p w14:paraId="1809CC3B" w14:textId="39806D2A"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b/>
                <w:lang w:val="en-US"/>
              </w:rPr>
            </w:pPr>
            <w:r w:rsidRPr="00AA7A74">
              <w:rPr>
                <w:rFonts w:eastAsiaTheme="minorEastAsia"/>
                <w:lang w:val="en-US"/>
              </w:rPr>
              <w:t>Capacity of hydropower turbine</w:t>
            </w:r>
          </w:p>
        </w:tc>
        <w:tc>
          <w:tcPr>
            <w:tcW w:w="2283" w:type="dxa"/>
          </w:tcPr>
          <w:p w14:paraId="4AECB67E" w14:textId="0EE8BB6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eHppCap</w:t>
            </w:r>
            <w:proofErr w:type="spellEnd"/>
          </w:p>
        </w:tc>
        <w:tc>
          <w:tcPr>
            <w:tcW w:w="0" w:type="auto"/>
          </w:tcPr>
          <w:p w14:paraId="6D71FE23" w14:textId="116A1B6A"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sidRPr="00AA7A74">
              <w:rPr>
                <w:rFonts w:eastAsiaTheme="minorEastAsia"/>
                <w:lang w:val="en-US"/>
              </w:rPr>
              <w:t>Hydropower</w:t>
            </w:r>
          </w:p>
        </w:tc>
        <w:tc>
          <w:tcPr>
            <w:tcW w:w="0" w:type="auto"/>
          </w:tcPr>
          <w:p w14:paraId="7621EF6A" w14:textId="2EAA5F71"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vertAlign w:val="superscript"/>
                <w:lang w:val="en-US"/>
              </w:rPr>
            </w:pPr>
            <w:r w:rsidRPr="00AA7A74">
              <w:rPr>
                <w:lang w:val="en-US"/>
              </w:rPr>
              <w:fldChar w:fldCharType="begin" w:fldLock="1"/>
            </w:r>
            <w:r w:rsidRPr="00AA7A74">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AA7A74">
              <w:rPr>
                <w:lang w:val="en-US"/>
              </w:rPr>
              <w:fldChar w:fldCharType="separate"/>
            </w:r>
            <w:r w:rsidRPr="00AA7A74">
              <w:rPr>
                <w:noProof/>
                <w:lang w:val="en-US"/>
              </w:rPr>
              <w:t>(World Bank, 2010)</w:t>
            </w:r>
            <w:r w:rsidRPr="00AA7A74">
              <w:rPr>
                <w:lang w:val="en-US"/>
              </w:rPr>
              <w:fldChar w:fldCharType="end"/>
            </w:r>
          </w:p>
        </w:tc>
      </w:tr>
      <w:tr w:rsidR="00AA7A74" w:rsidRPr="006A158F" w14:paraId="4FB91CE5"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5B3EB066" w14:textId="7FBCCAA5" w:rsidR="00AA7A74" w:rsidRPr="00AA7A74" w:rsidRDefault="00AA7A74" w:rsidP="00AA7A74">
            <w:pP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hydro</m:t>
                    </m:r>
                  </m:sub>
                </m:sSub>
              </m:oMath>
            </m:oMathPara>
          </w:p>
        </w:tc>
        <w:tc>
          <w:tcPr>
            <w:tcW w:w="2350" w:type="dxa"/>
            <w:gridSpan w:val="2"/>
          </w:tcPr>
          <w:p w14:paraId="0F022E8C" w14:textId="77777777"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Efficiency of hydropower plants</w:t>
            </w:r>
          </w:p>
        </w:tc>
        <w:tc>
          <w:tcPr>
            <w:tcW w:w="2283" w:type="dxa"/>
          </w:tcPr>
          <w:p w14:paraId="61C05D24" w14:textId="7070F72F"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eHppEff</w:t>
            </w:r>
            <w:proofErr w:type="spellEnd"/>
          </w:p>
        </w:tc>
        <w:tc>
          <w:tcPr>
            <w:tcW w:w="0" w:type="auto"/>
          </w:tcPr>
          <w:p w14:paraId="3B7EA5FC" w14:textId="5F039218"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Hydropower</w:t>
            </w:r>
          </w:p>
        </w:tc>
        <w:tc>
          <w:tcPr>
            <w:tcW w:w="0" w:type="auto"/>
          </w:tcPr>
          <w:p w14:paraId="2BC21555" w14:textId="47B7AB75"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lang w:val="en-US"/>
              </w:rPr>
              <w:fldChar w:fldCharType="begin" w:fldLock="1"/>
            </w:r>
            <w:r w:rsidRPr="00AA7A74">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AA7A74">
              <w:rPr>
                <w:lang w:val="en-US"/>
              </w:rPr>
              <w:fldChar w:fldCharType="separate"/>
            </w:r>
            <w:r w:rsidRPr="00AA7A74">
              <w:rPr>
                <w:noProof/>
                <w:lang w:val="en-US"/>
              </w:rPr>
              <w:t>(World Bank, 2010)</w:t>
            </w:r>
            <w:r w:rsidRPr="00AA7A74">
              <w:rPr>
                <w:lang w:val="en-US"/>
              </w:rPr>
              <w:fldChar w:fldCharType="end"/>
            </w:r>
          </w:p>
        </w:tc>
      </w:tr>
      <w:tr w:rsidR="00AA7A74" w:rsidRPr="006A158F" w14:paraId="08CE19D9"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0B964DD1" w14:textId="39AEF718" w:rsidR="00AA7A74" w:rsidRPr="00AA7A74" w:rsidRDefault="00AA7A74" w:rsidP="00AA7A74">
            <w:pPr>
              <w:rPr>
                <w:i/>
                <w:lang w:val="en-US"/>
              </w:rPr>
            </w:pPr>
            <m:oMathPara>
              <m:oMath>
                <m:sSub>
                  <m:sSubPr>
                    <m:ctrlPr>
                      <w:rPr>
                        <w:rFonts w:ascii="Cambria Math" w:hAnsi="Cambria Math"/>
                        <w:color w:val="000000" w:themeColor="text1"/>
                      </w:rPr>
                    </m:ctrlPr>
                  </m:sSubPr>
                  <m:e>
                    <m:acc>
                      <m:accPr>
                        <m:chr m:val="̅"/>
                        <m:ctrlPr>
                          <w:rPr>
                            <w:rFonts w:ascii="Cambria Math" w:eastAsia="Times New Roman" w:hAnsi="Cambria Math" w:cstheme="majorBidi"/>
                            <w:b w:val="0"/>
                            <w:bCs w:val="0"/>
                            <w:i/>
                            <w:iCs/>
                            <w:color w:val="000000" w:themeColor="text1"/>
                            <w:lang w:val="en-GB" w:eastAsia="de-DE"/>
                          </w:rPr>
                        </m:ctrlPr>
                      </m:accPr>
                      <m:e>
                        <m:r>
                          <m:rPr>
                            <m:sty m:val="b"/>
                          </m:rPr>
                          <w:rPr>
                            <w:rFonts w:ascii="Cambria Math" w:hAnsi="Cambria Math"/>
                            <w:color w:val="000000" w:themeColor="text1"/>
                          </w:rPr>
                          <m:t>P</m:t>
                        </m:r>
                      </m:e>
                    </m:acc>
                  </m:e>
                  <m:sub>
                    <m:r>
                      <m:rPr>
                        <m:sty m:val="bi"/>
                      </m:rPr>
                      <w:rPr>
                        <w:rFonts w:ascii="Cambria Math" w:hAnsi="Cambria Math"/>
                        <w:color w:val="000000" w:themeColor="text1"/>
                      </w:rPr>
                      <m:t>plant</m:t>
                    </m:r>
                  </m:sub>
                </m:sSub>
              </m:oMath>
            </m:oMathPara>
          </w:p>
        </w:tc>
        <w:tc>
          <w:tcPr>
            <w:tcW w:w="2350" w:type="dxa"/>
            <w:gridSpan w:val="2"/>
          </w:tcPr>
          <w:p w14:paraId="20340F7D" w14:textId="7777777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rFonts w:eastAsiaTheme="minorEastAsia"/>
                <w:lang w:val="en-US"/>
              </w:rPr>
              <w:t>Capacity of other power plants</w:t>
            </w:r>
          </w:p>
        </w:tc>
        <w:tc>
          <w:tcPr>
            <w:tcW w:w="2283" w:type="dxa"/>
          </w:tcPr>
          <w:p w14:paraId="0842E99B" w14:textId="2BA028C3"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eOppCap</w:t>
            </w:r>
            <w:proofErr w:type="spellEnd"/>
          </w:p>
        </w:tc>
        <w:tc>
          <w:tcPr>
            <w:tcW w:w="0" w:type="auto"/>
          </w:tcPr>
          <w:p w14:paraId="51B6D601" w14:textId="64D0A36F"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r w:rsidRPr="00AA7A74">
              <w:rPr>
                <w:rFonts w:eastAsiaTheme="minorEastAsia"/>
                <w:lang w:val="en-US"/>
              </w:rPr>
              <w:t>PowerPlants</w:t>
            </w:r>
            <w:proofErr w:type="spellEnd"/>
          </w:p>
        </w:tc>
        <w:tc>
          <w:tcPr>
            <w:tcW w:w="0" w:type="auto"/>
          </w:tcPr>
          <w:p w14:paraId="0A08A5D2" w14:textId="343EAE3C"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b/>
                <w:lang w:val="en-US"/>
              </w:rPr>
            </w:pPr>
            <w:r w:rsidRPr="00AA7A74">
              <w:rPr>
                <w:lang w:val="en-US"/>
              </w:rPr>
              <w:fldChar w:fldCharType="begin" w:fldLock="1"/>
            </w:r>
            <w:r w:rsidRPr="00AA7A74">
              <w:rPr>
                <w:lang w:val="en-US"/>
              </w:rPr>
              <w:instrText>ADDIN CSL_CITATION {"citationItems":[{"id":"ITEM-1","itemData":{"DOI":"10.4324/9781315282053","ISBN":"9780470723722","abstract":"Sehr guter Bericht über das gesamte Einzugsgebiet. Viele Informationen zu Namibia/Tansania. Eine echte Hilfe!","author":[{"dropping-particle":"","family":"World Bank","given":"","non-dropping-particle":"","parse-names":false,"suffix":""}],"container-title":"World Bank","id":"ITEM-1","issued":{"date-parts":[["2010"]]},"page":"1-202","title":"The Zambezi River Basin","type":"article-journal","volume":"4"},"uris":["http://www.mendeley.com/documents/?uuid=3b96ec8a-5017-41ae-906a-8b8f18e34e3c"]}],"mendeley":{"formattedCitation":"(World Bank, 2010)","plainTextFormattedCitation":"(World Bank, 2010)","previouslyFormattedCitation":"(World Bank, 2010)"},"properties":{"noteIndex":0},"schema":"https://github.com/citation-style-language/schema/raw/master/csl-citation.json"}</w:instrText>
            </w:r>
            <w:r w:rsidRPr="00AA7A74">
              <w:rPr>
                <w:lang w:val="en-US"/>
              </w:rPr>
              <w:fldChar w:fldCharType="separate"/>
            </w:r>
            <w:r w:rsidRPr="00AA7A74">
              <w:rPr>
                <w:noProof/>
                <w:lang w:val="en-US"/>
              </w:rPr>
              <w:t>(World Bank, 2010)</w:t>
            </w:r>
            <w:r w:rsidRPr="00AA7A74">
              <w:rPr>
                <w:lang w:val="en-US"/>
              </w:rPr>
              <w:fldChar w:fldCharType="end"/>
            </w:r>
          </w:p>
        </w:tc>
      </w:tr>
      <w:tr w:rsidR="00AA7A74" w:rsidRPr="006A158F" w14:paraId="2AF0551C"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65C241EB" w14:textId="05C36307" w:rsidR="00AA7A74" w:rsidRPr="00AA7A74" w:rsidRDefault="00AA7A74" w:rsidP="00AA7A74">
            <w:pP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plant</m:t>
                    </m:r>
                  </m:sub>
                </m:sSub>
              </m:oMath>
            </m:oMathPara>
          </w:p>
        </w:tc>
        <w:tc>
          <w:tcPr>
            <w:tcW w:w="2350" w:type="dxa"/>
            <w:gridSpan w:val="2"/>
          </w:tcPr>
          <w:p w14:paraId="6867B507" w14:textId="77777777"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Efficiency of other power plants</w:t>
            </w:r>
          </w:p>
        </w:tc>
        <w:tc>
          <w:tcPr>
            <w:tcW w:w="2283" w:type="dxa"/>
          </w:tcPr>
          <w:p w14:paraId="6D98B385" w14:textId="3461C2C1"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eOppEff</w:t>
            </w:r>
            <w:proofErr w:type="spellEnd"/>
          </w:p>
        </w:tc>
        <w:tc>
          <w:tcPr>
            <w:tcW w:w="0" w:type="auto"/>
          </w:tcPr>
          <w:p w14:paraId="2F16D780" w14:textId="16A7A393"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proofErr w:type="spellStart"/>
            <w:r w:rsidRPr="00AA7A74">
              <w:rPr>
                <w:rFonts w:eastAsiaTheme="minorEastAsia"/>
                <w:lang w:val="en-US"/>
              </w:rPr>
              <w:t>PowerPlants</w:t>
            </w:r>
            <w:proofErr w:type="spellEnd"/>
          </w:p>
        </w:tc>
        <w:tc>
          <w:tcPr>
            <w:tcW w:w="0" w:type="auto"/>
          </w:tcPr>
          <w:p w14:paraId="162BD753" w14:textId="73480E73"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b/>
                <w:lang w:val="en-US"/>
              </w:rPr>
            </w:pPr>
            <w:r w:rsidRPr="00AA7A74">
              <w:rPr>
                <w:b/>
                <w:lang w:val="en-US"/>
              </w:rPr>
              <w:fldChar w:fldCharType="begin" w:fldLock="1"/>
            </w:r>
            <w:r w:rsidRPr="00AA7A74">
              <w:rPr>
                <w:b/>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b/>
                <w:lang w:val="en-US"/>
              </w:rPr>
              <w:fldChar w:fldCharType="separate"/>
            </w:r>
            <w:r w:rsidRPr="00AA7A74">
              <w:rPr>
                <w:noProof/>
                <w:lang w:val="en-US"/>
              </w:rPr>
              <w:t>(IRENA, 2013)</w:t>
            </w:r>
            <w:r w:rsidRPr="00AA7A74">
              <w:rPr>
                <w:b/>
                <w:lang w:val="en-US"/>
              </w:rPr>
              <w:fldChar w:fldCharType="end"/>
            </w:r>
          </w:p>
        </w:tc>
      </w:tr>
      <w:tr w:rsidR="00AA7A74" w:rsidRPr="006A158F" w14:paraId="560893FD"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60FDD15C" w14:textId="2E035CB5" w:rsidR="00AA7A74" w:rsidRPr="00AA7A74" w:rsidRDefault="00AA7A74" w:rsidP="00AA7A74">
            <w:pP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tech</m:t>
                    </m:r>
                  </m:sub>
                </m:sSub>
              </m:oMath>
            </m:oMathPara>
          </w:p>
        </w:tc>
        <w:tc>
          <w:tcPr>
            <w:tcW w:w="2350" w:type="dxa"/>
            <w:gridSpan w:val="2"/>
          </w:tcPr>
          <w:p w14:paraId="0455AD7D" w14:textId="7777777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rFonts w:eastAsiaTheme="minorEastAsia"/>
                <w:lang w:val="en-US"/>
              </w:rPr>
              <w:t>Lifetime of power technologies</w:t>
            </w:r>
          </w:p>
        </w:tc>
        <w:tc>
          <w:tcPr>
            <w:tcW w:w="2283" w:type="dxa"/>
          </w:tcPr>
          <w:p w14:paraId="65ED3993" w14:textId="799FEA20"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eLifeTime</w:t>
            </w:r>
            <w:proofErr w:type="spellEnd"/>
          </w:p>
        </w:tc>
        <w:tc>
          <w:tcPr>
            <w:tcW w:w="0" w:type="auto"/>
          </w:tcPr>
          <w:p w14:paraId="7118C601" w14:textId="639B3DF0"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r w:rsidRPr="00AA7A74">
              <w:rPr>
                <w:lang w:val="en-US"/>
              </w:rPr>
              <w:t>PowerTechnologies</w:t>
            </w:r>
            <w:proofErr w:type="spellEnd"/>
          </w:p>
        </w:tc>
        <w:tc>
          <w:tcPr>
            <w:tcW w:w="0" w:type="auto"/>
          </w:tcPr>
          <w:p w14:paraId="58C699D6" w14:textId="3A749AE8"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3B641BDD"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2222244F" w14:textId="3967AE13" w:rsidR="00AA7A74" w:rsidRPr="00AA7A74" w:rsidRDefault="00AA7A74" w:rsidP="00AA7A74">
            <w:pP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CO2</m:t>
                    </m:r>
                  </m:sub>
                </m:sSub>
              </m:oMath>
            </m:oMathPara>
          </w:p>
        </w:tc>
        <w:tc>
          <w:tcPr>
            <w:tcW w:w="2350" w:type="dxa"/>
            <w:gridSpan w:val="2"/>
          </w:tcPr>
          <w:p w14:paraId="12D7A48C" w14:textId="77777777"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CO₂ emission rate of fuels</w:t>
            </w:r>
          </w:p>
        </w:tc>
        <w:tc>
          <w:tcPr>
            <w:tcW w:w="2283" w:type="dxa"/>
          </w:tcPr>
          <w:p w14:paraId="75D04B06" w14:textId="7FFCA75A"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t>eFuelCO2</w:t>
            </w:r>
          </w:p>
        </w:tc>
        <w:tc>
          <w:tcPr>
            <w:tcW w:w="0" w:type="auto"/>
          </w:tcPr>
          <w:p w14:paraId="32EF9345" w14:textId="046A0F50"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FuelCO2</w:t>
            </w:r>
          </w:p>
        </w:tc>
        <w:tc>
          <w:tcPr>
            <w:tcW w:w="0" w:type="auto"/>
          </w:tcPr>
          <w:p w14:paraId="52DB1FE9" w14:textId="6A6258E5"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AA7A74">
              <w:rPr>
                <w:rFonts w:eastAsiaTheme="minorEastAsia"/>
                <w:lang w:val="en-US"/>
              </w:rPr>
              <w:t>?</w:t>
            </w:r>
          </w:p>
        </w:tc>
      </w:tr>
      <w:tr w:rsidR="00AA7A74" w:rsidRPr="006A158F" w14:paraId="4D65095A"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0A8DCE8C" w14:textId="2FD53440" w:rsidR="00AA7A74" w:rsidRPr="00AA7A74" w:rsidRDefault="00AA7A74" w:rsidP="00AA7A74">
            <w:pPr>
              <w:rPr>
                <w:rFonts w:eastAsia="Calibri"/>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om,hydro</m:t>
                    </m:r>
                  </m:sub>
                </m:sSub>
              </m:oMath>
            </m:oMathPara>
          </w:p>
        </w:tc>
        <w:tc>
          <w:tcPr>
            <w:tcW w:w="2350" w:type="dxa"/>
            <w:gridSpan w:val="2"/>
          </w:tcPr>
          <w:p w14:paraId="7D397B7D" w14:textId="2418C06C"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rFonts w:eastAsiaTheme="minorEastAsia"/>
                <w:color w:val="000000" w:themeColor="text1"/>
                <w:lang w:val="en-US"/>
              </w:rPr>
              <w:t>Operational costs of hydropower turbines</w:t>
            </w:r>
          </w:p>
        </w:tc>
        <w:tc>
          <w:tcPr>
            <w:tcW w:w="2283" w:type="dxa"/>
          </w:tcPr>
          <w:p w14:paraId="2143782D" w14:textId="75503E6A"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eHppCost</w:t>
            </w:r>
            <w:proofErr w:type="spellEnd"/>
          </w:p>
        </w:tc>
        <w:tc>
          <w:tcPr>
            <w:tcW w:w="0" w:type="auto"/>
          </w:tcPr>
          <w:p w14:paraId="6BAE6FDC" w14:textId="1AC931E4"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t>Hydropower</w:t>
            </w:r>
          </w:p>
        </w:tc>
        <w:tc>
          <w:tcPr>
            <w:tcW w:w="0" w:type="auto"/>
          </w:tcPr>
          <w:p w14:paraId="3466234D" w14:textId="3EE43A3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67F6823C"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3824AD5E" w14:textId="07CA3069" w:rsidR="00AA7A74" w:rsidRPr="00AA7A74" w:rsidRDefault="00AA7A74" w:rsidP="00AA7A74">
            <w:pPr>
              <w:rPr>
                <w:rFonts w:eastAsia="Calibri"/>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om,plant</m:t>
                    </m:r>
                  </m:sub>
                </m:sSub>
              </m:oMath>
            </m:oMathPara>
          </w:p>
        </w:tc>
        <w:tc>
          <w:tcPr>
            <w:tcW w:w="2350" w:type="dxa"/>
            <w:gridSpan w:val="2"/>
          </w:tcPr>
          <w:p w14:paraId="721BC9A9" w14:textId="1FF89CE6"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rFonts w:eastAsiaTheme="minorEastAsia"/>
                <w:color w:val="000000" w:themeColor="text1"/>
                <w:lang w:val="en-US"/>
              </w:rPr>
              <w:t>Operational costs of other power plants</w:t>
            </w:r>
          </w:p>
        </w:tc>
        <w:tc>
          <w:tcPr>
            <w:tcW w:w="2283" w:type="dxa"/>
          </w:tcPr>
          <w:p w14:paraId="2F14426B" w14:textId="0150AA29"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eOppCost</w:t>
            </w:r>
            <w:proofErr w:type="spellEnd"/>
          </w:p>
        </w:tc>
        <w:tc>
          <w:tcPr>
            <w:tcW w:w="0" w:type="auto"/>
          </w:tcPr>
          <w:p w14:paraId="708B92D1" w14:textId="04C63E29"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PowerPlants</w:t>
            </w:r>
            <w:proofErr w:type="spellEnd"/>
          </w:p>
        </w:tc>
        <w:tc>
          <w:tcPr>
            <w:tcW w:w="0" w:type="auto"/>
          </w:tcPr>
          <w:p w14:paraId="3744DD9C" w14:textId="01D4D3AA"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7C6777DE"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76EF2C75" w14:textId="62AC4B34" w:rsidR="00AA7A74" w:rsidRPr="00AA7A74" w:rsidRDefault="00AA7A74" w:rsidP="00AA7A74">
            <w:pPr>
              <w:rPr>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cap,tech</m:t>
                    </m:r>
                  </m:sub>
                </m:sSub>
              </m:oMath>
            </m:oMathPara>
          </w:p>
        </w:tc>
        <w:tc>
          <w:tcPr>
            <w:tcW w:w="2350" w:type="dxa"/>
            <w:gridSpan w:val="2"/>
          </w:tcPr>
          <w:p w14:paraId="50897D96" w14:textId="053EBC17"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rFonts w:eastAsiaTheme="minorEastAsia"/>
                <w:color w:val="000000" w:themeColor="text1"/>
                <w:lang w:val="en-US"/>
              </w:rPr>
              <w:t>Capital costs of generic technologies</w:t>
            </w:r>
          </w:p>
        </w:tc>
        <w:tc>
          <w:tcPr>
            <w:tcW w:w="2283" w:type="dxa"/>
          </w:tcPr>
          <w:p w14:paraId="45A3D1B6" w14:textId="1BF47411"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eCAPEX</w:t>
            </w:r>
            <w:proofErr w:type="spellEnd"/>
          </w:p>
        </w:tc>
        <w:tc>
          <w:tcPr>
            <w:tcW w:w="0" w:type="auto"/>
          </w:tcPr>
          <w:p w14:paraId="64585413" w14:textId="74A1192B"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PowerTechnologies</w:t>
            </w:r>
            <w:proofErr w:type="spellEnd"/>
          </w:p>
        </w:tc>
        <w:tc>
          <w:tcPr>
            <w:tcW w:w="0" w:type="auto"/>
          </w:tcPr>
          <w:p w14:paraId="38B11460" w14:textId="025C63E2"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1FF3AB77"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286E8D6A" w14:textId="27BC9F88" w:rsidR="00AA7A74" w:rsidRPr="00AA7A74" w:rsidRDefault="00AA7A74" w:rsidP="00AA7A74">
            <w:pPr>
              <w:rPr>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fix,tech</m:t>
                    </m:r>
                  </m:sub>
                </m:sSub>
              </m:oMath>
            </m:oMathPara>
          </w:p>
        </w:tc>
        <w:tc>
          <w:tcPr>
            <w:tcW w:w="2350" w:type="dxa"/>
            <w:gridSpan w:val="2"/>
          </w:tcPr>
          <w:p w14:paraId="3433E876" w14:textId="0917243C"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rFonts w:eastAsiaTheme="minorEastAsia"/>
                <w:color w:val="000000" w:themeColor="text1"/>
                <w:lang w:val="en-US"/>
              </w:rPr>
              <w:t>Fix operational costs of generic technologies</w:t>
            </w:r>
          </w:p>
        </w:tc>
        <w:tc>
          <w:tcPr>
            <w:tcW w:w="2283" w:type="dxa"/>
          </w:tcPr>
          <w:p w14:paraId="4669BF3F" w14:textId="55709983"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eFixOPEX</w:t>
            </w:r>
            <w:proofErr w:type="spellEnd"/>
          </w:p>
        </w:tc>
        <w:tc>
          <w:tcPr>
            <w:tcW w:w="0" w:type="auto"/>
          </w:tcPr>
          <w:p w14:paraId="74CE4D55" w14:textId="698D3F38"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A7A74">
              <w:rPr>
                <w:lang w:val="en-US"/>
              </w:rPr>
              <w:t>PowerTechnologies</w:t>
            </w:r>
            <w:proofErr w:type="spellEnd"/>
          </w:p>
        </w:tc>
        <w:tc>
          <w:tcPr>
            <w:tcW w:w="0" w:type="auto"/>
          </w:tcPr>
          <w:p w14:paraId="61DABF8F" w14:textId="3BBE7A4C"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4E41C42B"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6205B7E4" w14:textId="79BFD00E" w:rsidR="00AA7A74" w:rsidRPr="00AA7A74" w:rsidRDefault="00AA7A74" w:rsidP="00AA7A74">
            <w:pPr>
              <w:rPr>
                <w:i/>
                <w:lang w:val="en-US"/>
              </w:rPr>
            </w:pPr>
            <m:oMathPara>
              <m:oMath>
                <m:sSub>
                  <m:sSubPr>
                    <m:ctrlPr>
                      <w:rPr>
                        <w:rFonts w:ascii="Cambria Math" w:eastAsiaTheme="minorEastAsia" w:hAnsi="Cambria Math"/>
                        <w:color w:val="000000" w:themeColor="text1"/>
                      </w:rPr>
                    </m:ctrlPr>
                  </m:sSubPr>
                  <m:e>
                    <m:r>
                      <m:rPr>
                        <m:sty m:val="bi"/>
                      </m:rPr>
                      <w:rPr>
                        <w:rFonts w:ascii="Cambria Math" w:eastAsiaTheme="minorEastAsia" w:hAnsi="Cambria Math"/>
                        <w:color w:val="000000" w:themeColor="text1"/>
                      </w:rPr>
                      <m:t>c</m:t>
                    </m:r>
                  </m:e>
                  <m:sub>
                    <m:r>
                      <m:rPr>
                        <m:sty m:val="bi"/>
                      </m:rPr>
                      <w:rPr>
                        <w:rFonts w:ascii="Cambria Math" w:eastAsiaTheme="minorEastAsia" w:hAnsi="Cambria Math"/>
                        <w:color w:val="000000" w:themeColor="text1"/>
                      </w:rPr>
                      <m:t>om,tech</m:t>
                    </m:r>
                  </m:sub>
                </m:sSub>
              </m:oMath>
            </m:oMathPara>
          </w:p>
        </w:tc>
        <w:tc>
          <w:tcPr>
            <w:tcW w:w="2350" w:type="dxa"/>
            <w:gridSpan w:val="2"/>
          </w:tcPr>
          <w:p w14:paraId="106C807F" w14:textId="3FE0F5E3"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rFonts w:eastAsiaTheme="minorEastAsia"/>
                <w:color w:val="000000" w:themeColor="text1"/>
                <w:lang w:val="en-US"/>
              </w:rPr>
              <w:t>Variable operational costs of generic technologies</w:t>
            </w:r>
          </w:p>
        </w:tc>
        <w:tc>
          <w:tcPr>
            <w:tcW w:w="2283" w:type="dxa"/>
          </w:tcPr>
          <w:p w14:paraId="2D8A335F" w14:textId="1B729656"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eVarOPEX</w:t>
            </w:r>
            <w:proofErr w:type="spellEnd"/>
          </w:p>
        </w:tc>
        <w:tc>
          <w:tcPr>
            <w:tcW w:w="0" w:type="auto"/>
          </w:tcPr>
          <w:p w14:paraId="3B768A62" w14:textId="28962822"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A7A74">
              <w:rPr>
                <w:lang w:val="en-US"/>
              </w:rPr>
              <w:t>PowerTechnologies</w:t>
            </w:r>
            <w:proofErr w:type="spellEnd"/>
          </w:p>
        </w:tc>
        <w:tc>
          <w:tcPr>
            <w:tcW w:w="0" w:type="auto"/>
          </w:tcPr>
          <w:p w14:paraId="29E195EF" w14:textId="5EE65D96"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717036BE" w14:textId="77777777" w:rsidTr="00AA7A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4C0F975D" w14:textId="12B63F26" w:rsidR="00AA7A74" w:rsidRPr="00AA7A74" w:rsidRDefault="00AA7A74" w:rsidP="00AA7A74">
            <w:pPr>
              <w:rPr>
                <w:rFonts w:eastAsia="Calibri"/>
                <w:i/>
                <w:color w:val="000000" w:themeColor="text1"/>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fuel</m:t>
                    </m:r>
                  </m:sub>
                </m:sSub>
              </m:oMath>
            </m:oMathPara>
          </w:p>
        </w:tc>
        <w:tc>
          <w:tcPr>
            <w:tcW w:w="2350" w:type="dxa"/>
            <w:gridSpan w:val="2"/>
          </w:tcPr>
          <w:p w14:paraId="0D2E9A4A" w14:textId="74B785FC"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color w:val="000000" w:themeColor="text1"/>
                <w:lang w:val="en-US"/>
              </w:rPr>
            </w:pPr>
            <w:proofErr w:type="spellStart"/>
            <w:r w:rsidRPr="00AA7A74">
              <w:rPr>
                <w:rFonts w:eastAsiaTheme="minorEastAsia"/>
                <w:color w:val="000000" w:themeColor="text1"/>
              </w:rPr>
              <w:t>Fuel</w:t>
            </w:r>
            <w:proofErr w:type="spellEnd"/>
            <w:r w:rsidRPr="00AA7A74">
              <w:rPr>
                <w:rFonts w:eastAsiaTheme="minorEastAsia"/>
                <w:color w:val="000000" w:themeColor="text1"/>
              </w:rPr>
              <w:t xml:space="preserve"> </w:t>
            </w:r>
            <w:proofErr w:type="spellStart"/>
            <w:r w:rsidRPr="00AA7A74">
              <w:rPr>
                <w:rFonts w:eastAsiaTheme="minorEastAsia"/>
                <w:color w:val="000000" w:themeColor="text1"/>
              </w:rPr>
              <w:t>costs</w:t>
            </w:r>
            <w:proofErr w:type="spellEnd"/>
            <w:r w:rsidRPr="00AA7A74">
              <w:rPr>
                <w:rFonts w:eastAsiaTheme="minorEastAsia"/>
                <w:color w:val="000000" w:themeColor="text1"/>
              </w:rPr>
              <w:t xml:space="preserve"> </w:t>
            </w:r>
          </w:p>
        </w:tc>
        <w:tc>
          <w:tcPr>
            <w:tcW w:w="2283" w:type="dxa"/>
          </w:tcPr>
          <w:p w14:paraId="4FE1B1A5" w14:textId="73B663F6"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color w:val="000000" w:themeColor="text1"/>
                <w:lang w:val="en-US"/>
              </w:rPr>
            </w:pPr>
            <w:proofErr w:type="spellStart"/>
            <w:r w:rsidRPr="00AA7A74">
              <w:rPr>
                <w:color w:val="000000" w:themeColor="text1"/>
                <w:lang w:val="en-US"/>
              </w:rPr>
              <w:t>eFuelCost</w:t>
            </w:r>
            <w:proofErr w:type="spellEnd"/>
          </w:p>
        </w:tc>
        <w:tc>
          <w:tcPr>
            <w:tcW w:w="0" w:type="auto"/>
          </w:tcPr>
          <w:p w14:paraId="318620F6" w14:textId="1149A1BF"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AA7A74">
              <w:rPr>
                <w:color w:val="000000" w:themeColor="text1"/>
                <w:lang w:val="en-US"/>
              </w:rPr>
              <w:t>Fuels</w:t>
            </w:r>
          </w:p>
        </w:tc>
        <w:tc>
          <w:tcPr>
            <w:tcW w:w="0" w:type="auto"/>
          </w:tcPr>
          <w:p w14:paraId="2068D997" w14:textId="64DE5E2B" w:rsidR="00AA7A74" w:rsidRPr="00AA7A74" w:rsidRDefault="00AA7A74" w:rsidP="00AA7A74">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r w:rsidR="00AA7A74" w:rsidRPr="006A158F" w14:paraId="7E66270A" w14:textId="77777777" w:rsidTr="00AA7A74">
        <w:trPr>
          <w:trHeight w:val="340"/>
        </w:trPr>
        <w:tc>
          <w:tcPr>
            <w:cnfStyle w:val="001000000000" w:firstRow="0" w:lastRow="0" w:firstColumn="1" w:lastColumn="0" w:oddVBand="0" w:evenVBand="0" w:oddHBand="0" w:evenHBand="0" w:firstRowFirstColumn="0" w:firstRowLastColumn="0" w:lastRowFirstColumn="0" w:lastRowLastColumn="0"/>
            <w:tcW w:w="1134" w:type="dxa"/>
          </w:tcPr>
          <w:p w14:paraId="78F0FC66" w14:textId="6B2ADAA5" w:rsidR="00AA7A74" w:rsidRPr="00AA7A74" w:rsidRDefault="00AA7A74" w:rsidP="00AA7A74">
            <w:pPr>
              <w:rPr>
                <w:i/>
                <w:color w:val="000000" w:themeColor="text1"/>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C02</m:t>
                    </m:r>
                  </m:sub>
                </m:sSub>
              </m:oMath>
            </m:oMathPara>
          </w:p>
        </w:tc>
        <w:tc>
          <w:tcPr>
            <w:tcW w:w="2350" w:type="dxa"/>
            <w:gridSpan w:val="2"/>
          </w:tcPr>
          <w:p w14:paraId="500FCC1D" w14:textId="5E45A491"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val="en-US"/>
              </w:rPr>
            </w:pPr>
            <w:r w:rsidRPr="00AA7A74">
              <w:rPr>
                <w:rFonts w:eastAsiaTheme="minorEastAsia"/>
                <w:color w:val="000000" w:themeColor="text1"/>
              </w:rPr>
              <w:t xml:space="preserve">CO₂ emission </w:t>
            </w:r>
            <w:proofErr w:type="spellStart"/>
            <w:r w:rsidRPr="00AA7A74">
              <w:rPr>
                <w:rFonts w:eastAsiaTheme="minorEastAsia"/>
                <w:color w:val="000000" w:themeColor="text1"/>
              </w:rPr>
              <w:t>costs</w:t>
            </w:r>
            <w:proofErr w:type="spellEnd"/>
          </w:p>
        </w:tc>
        <w:tc>
          <w:tcPr>
            <w:tcW w:w="2283" w:type="dxa"/>
          </w:tcPr>
          <w:p w14:paraId="09166681" w14:textId="2CDF8058"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A7A74">
              <w:rPr>
                <w:color w:val="000000" w:themeColor="text1"/>
                <w:lang w:val="en-US"/>
              </w:rPr>
              <w:t>eFuelCO2</w:t>
            </w:r>
          </w:p>
        </w:tc>
        <w:tc>
          <w:tcPr>
            <w:tcW w:w="0" w:type="auto"/>
          </w:tcPr>
          <w:p w14:paraId="22EA58B3" w14:textId="777C4D24"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A7A74">
              <w:rPr>
                <w:color w:val="000000" w:themeColor="text1"/>
                <w:lang w:val="en-US"/>
              </w:rPr>
              <w:t>FuelCO2</w:t>
            </w:r>
          </w:p>
        </w:tc>
        <w:tc>
          <w:tcPr>
            <w:tcW w:w="0" w:type="auto"/>
          </w:tcPr>
          <w:p w14:paraId="3B6720E8" w14:textId="29BC0882" w:rsidR="00AA7A74" w:rsidRPr="00AA7A74" w:rsidRDefault="00AA7A74" w:rsidP="00AA7A7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A7A74">
              <w:rPr>
                <w:lang w:val="en-US"/>
              </w:rPr>
              <w:fldChar w:fldCharType="begin" w:fldLock="1"/>
            </w:r>
            <w:r w:rsidRPr="00AA7A74">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AA7A74">
              <w:rPr>
                <w:lang w:val="en-US"/>
              </w:rPr>
              <w:fldChar w:fldCharType="separate"/>
            </w:r>
            <w:r w:rsidRPr="00AA7A74">
              <w:rPr>
                <w:noProof/>
                <w:lang w:val="en-US"/>
              </w:rPr>
              <w:t>(IRENA, 2013)</w:t>
            </w:r>
            <w:r w:rsidRPr="00AA7A74">
              <w:rPr>
                <w:lang w:val="en-US"/>
              </w:rPr>
              <w:fldChar w:fldCharType="end"/>
            </w:r>
          </w:p>
        </w:tc>
      </w:tr>
    </w:tbl>
    <w:p w14:paraId="40D19380" w14:textId="08A6A5A5" w:rsidR="006F62E5" w:rsidRPr="006A158F" w:rsidRDefault="006F62E5" w:rsidP="006F62E5">
      <w:pPr>
        <w:rPr>
          <w:lang w:val="en-US"/>
        </w:rPr>
      </w:pPr>
    </w:p>
    <w:p w14:paraId="20B3A555" w14:textId="77777777" w:rsidR="003353BC" w:rsidRDefault="003353BC" w:rsidP="003353BC">
      <w:pPr>
        <w:pStyle w:val="Heading1"/>
        <w:rPr>
          <w:lang w:val="en-US"/>
        </w:rPr>
      </w:pPr>
    </w:p>
    <w:p w14:paraId="23656B44" w14:textId="77777777" w:rsidR="003353BC" w:rsidRDefault="003353BC" w:rsidP="003353BC">
      <w:pPr>
        <w:rPr>
          <w:rFonts w:asciiTheme="majorHAnsi" w:eastAsiaTheme="majorEastAsia" w:hAnsiTheme="majorHAnsi" w:cstheme="majorBidi"/>
          <w:color w:val="2F5496" w:themeColor="accent1" w:themeShade="BF"/>
          <w:sz w:val="32"/>
          <w:szCs w:val="32"/>
          <w:lang w:val="en-US"/>
        </w:rPr>
      </w:pPr>
      <w:r>
        <w:rPr>
          <w:lang w:val="en-US"/>
        </w:rPr>
        <w:br w:type="page"/>
      </w:r>
    </w:p>
    <w:p w14:paraId="28CB2B63" w14:textId="26DA651A" w:rsidR="001630EC" w:rsidRPr="006A158F" w:rsidRDefault="001630EC" w:rsidP="003353BC">
      <w:pPr>
        <w:pStyle w:val="Heading1"/>
        <w:rPr>
          <w:lang w:val="en-US"/>
        </w:rPr>
      </w:pPr>
      <w:r w:rsidRPr="006A158F">
        <w:rPr>
          <w:lang w:val="en-US"/>
        </w:rPr>
        <w:lastRenderedPageBreak/>
        <w:t>Energy market module</w:t>
      </w:r>
    </w:p>
    <w:p w14:paraId="6FCAF59C" w14:textId="75B3012B" w:rsidR="00BE15AF" w:rsidRPr="00083AAC" w:rsidRDefault="00BE15AF" w:rsidP="00BE15AF">
      <w:pPr>
        <w:pStyle w:val="Caption"/>
        <w:keepNext/>
        <w:rPr>
          <w:lang w:val="en-US"/>
        </w:rPr>
      </w:pPr>
      <w:r w:rsidRPr="00083AAC">
        <w:rPr>
          <w:lang w:val="en-US"/>
        </w:rPr>
        <w:t xml:space="preserve">Table </w:t>
      </w:r>
      <w:r>
        <w:fldChar w:fldCharType="begin"/>
      </w:r>
      <w:r w:rsidRPr="00083AAC">
        <w:rPr>
          <w:lang w:val="en-US"/>
        </w:rPr>
        <w:instrText xml:space="preserve"> SEQ Table \* ARABIC </w:instrText>
      </w:r>
      <w:r>
        <w:fldChar w:fldCharType="separate"/>
      </w:r>
      <w:r w:rsidR="00C866A3">
        <w:rPr>
          <w:noProof/>
          <w:lang w:val="en-US"/>
        </w:rPr>
        <w:t>5</w:t>
      </w:r>
      <w:r>
        <w:fldChar w:fldCharType="end"/>
      </w:r>
      <w:r w:rsidRPr="00083AAC">
        <w:rPr>
          <w:lang w:val="en-US"/>
        </w:rPr>
        <w:t xml:space="preserve">: </w:t>
      </w:r>
      <w:r w:rsidRPr="006A158F">
        <w:rPr>
          <w:lang w:val="en-US"/>
        </w:rPr>
        <w:t>Parameters of the</w:t>
      </w:r>
      <w:r>
        <w:rPr>
          <w:lang w:val="en-US"/>
        </w:rPr>
        <w:t xml:space="preserve"> Energy market </w:t>
      </w:r>
      <w:r w:rsidRPr="006A158F">
        <w:rPr>
          <w:lang w:val="en-US"/>
        </w:rPr>
        <w:t xml:space="preserve">module contained </w:t>
      </w:r>
      <w:r>
        <w:rPr>
          <w:lang w:val="en-US"/>
        </w:rPr>
        <w:t>in the EnergyModule.xlsx file. The parameters are called after their name in the HESS publication, but the name used in the python model is also indicated. The relevant pages of the sources are indicated in the excel files when available.</w:t>
      </w:r>
    </w:p>
    <w:tbl>
      <w:tblPr>
        <w:tblStyle w:val="PlainTable4"/>
        <w:tblW w:w="0" w:type="auto"/>
        <w:tblLook w:val="04A0" w:firstRow="1" w:lastRow="0" w:firstColumn="1" w:lastColumn="0" w:noHBand="0" w:noVBand="1"/>
      </w:tblPr>
      <w:tblGrid>
        <w:gridCol w:w="1272"/>
        <w:gridCol w:w="2499"/>
        <w:gridCol w:w="2122"/>
        <w:gridCol w:w="2000"/>
        <w:gridCol w:w="1745"/>
      </w:tblGrid>
      <w:tr w:rsidR="001630EC" w:rsidRPr="006A158F" w14:paraId="34DFA40A" w14:textId="77777777" w:rsidTr="00FD42C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31761C42" w14:textId="20CF236C" w:rsidR="001630EC" w:rsidRPr="00FD42CE" w:rsidRDefault="001630EC" w:rsidP="001630EC">
            <w:pPr>
              <w:jc w:val="center"/>
              <w:rPr>
                <w:b w:val="0"/>
                <w:lang w:val="en-US"/>
              </w:rPr>
            </w:pPr>
            <w:r w:rsidRPr="00FD42CE">
              <w:rPr>
                <w:b w:val="0"/>
                <w:lang w:val="en-US"/>
              </w:rPr>
              <w:t>Notation in publication</w:t>
            </w:r>
          </w:p>
        </w:tc>
        <w:tc>
          <w:tcPr>
            <w:tcW w:w="2634" w:type="dxa"/>
          </w:tcPr>
          <w:p w14:paraId="1B26DDC1" w14:textId="0E0FC5BC" w:rsidR="001630EC" w:rsidRPr="00FD42CE" w:rsidRDefault="001630EC" w:rsidP="001630EC">
            <w:pPr>
              <w:jc w:val="center"/>
              <w:cnfStyle w:val="100000000000" w:firstRow="1" w:lastRow="0" w:firstColumn="0" w:lastColumn="0" w:oddVBand="0" w:evenVBand="0" w:oddHBand="0" w:evenHBand="0" w:firstRowFirstColumn="0" w:firstRowLastColumn="0" w:lastRowFirstColumn="0" w:lastRowLastColumn="0"/>
              <w:rPr>
                <w:b w:val="0"/>
                <w:lang w:val="en-US"/>
              </w:rPr>
            </w:pPr>
            <w:r w:rsidRPr="00FD42CE">
              <w:rPr>
                <w:b w:val="0"/>
                <w:lang w:val="en-US"/>
              </w:rPr>
              <w:t>Description</w:t>
            </w:r>
          </w:p>
        </w:tc>
        <w:tc>
          <w:tcPr>
            <w:tcW w:w="2230" w:type="dxa"/>
          </w:tcPr>
          <w:p w14:paraId="3D15FD6B" w14:textId="37150964" w:rsidR="001630EC" w:rsidRPr="00FD42CE" w:rsidRDefault="001630EC" w:rsidP="001630EC">
            <w:pPr>
              <w:jc w:val="center"/>
              <w:cnfStyle w:val="100000000000" w:firstRow="1" w:lastRow="0" w:firstColumn="0" w:lastColumn="0" w:oddVBand="0" w:evenVBand="0" w:oddHBand="0" w:evenHBand="0" w:firstRowFirstColumn="0" w:firstRowLastColumn="0" w:lastRowFirstColumn="0" w:lastRowLastColumn="0"/>
              <w:rPr>
                <w:b w:val="0"/>
                <w:lang w:val="en-US"/>
              </w:rPr>
            </w:pPr>
            <w:r w:rsidRPr="00FD42CE">
              <w:rPr>
                <w:b w:val="0"/>
                <w:lang w:val="en-US"/>
              </w:rPr>
              <w:t>Parameter name in model</w:t>
            </w:r>
          </w:p>
        </w:tc>
        <w:tc>
          <w:tcPr>
            <w:tcW w:w="1838" w:type="dxa"/>
          </w:tcPr>
          <w:p w14:paraId="7B12E768" w14:textId="3D1617B9" w:rsidR="001630EC" w:rsidRPr="00FD42CE" w:rsidRDefault="001630EC" w:rsidP="001630EC">
            <w:pPr>
              <w:jc w:val="center"/>
              <w:cnfStyle w:val="100000000000" w:firstRow="1" w:lastRow="0" w:firstColumn="0" w:lastColumn="0" w:oddVBand="0" w:evenVBand="0" w:oddHBand="0" w:evenHBand="0" w:firstRowFirstColumn="0" w:firstRowLastColumn="0" w:lastRowFirstColumn="0" w:lastRowLastColumn="0"/>
              <w:rPr>
                <w:b w:val="0"/>
                <w:lang w:val="en-US"/>
              </w:rPr>
            </w:pPr>
            <w:r w:rsidRPr="00FD42CE">
              <w:rPr>
                <w:b w:val="0"/>
                <w:lang w:val="en-US"/>
              </w:rPr>
              <w:t>Excel sheet</w:t>
            </w:r>
          </w:p>
        </w:tc>
        <w:tc>
          <w:tcPr>
            <w:tcW w:w="1803" w:type="dxa"/>
          </w:tcPr>
          <w:p w14:paraId="0FA7D694" w14:textId="69AC99AA" w:rsidR="001630EC" w:rsidRPr="00FD42CE" w:rsidRDefault="001630EC" w:rsidP="001630EC">
            <w:pPr>
              <w:jc w:val="center"/>
              <w:cnfStyle w:val="100000000000" w:firstRow="1" w:lastRow="0" w:firstColumn="0" w:lastColumn="0" w:oddVBand="0" w:evenVBand="0" w:oddHBand="0" w:evenHBand="0" w:firstRowFirstColumn="0" w:firstRowLastColumn="0" w:lastRowFirstColumn="0" w:lastRowLastColumn="0"/>
              <w:rPr>
                <w:b w:val="0"/>
                <w:lang w:val="en-US"/>
              </w:rPr>
            </w:pPr>
            <w:r w:rsidRPr="00FD42CE">
              <w:rPr>
                <w:b w:val="0"/>
                <w:lang w:val="en-US"/>
              </w:rPr>
              <w:t>Source</w:t>
            </w:r>
          </w:p>
        </w:tc>
      </w:tr>
      <w:tr w:rsidR="001630EC" w:rsidRPr="006A158F" w14:paraId="08D5D38F"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shd w:val="clear" w:color="auto" w:fill="auto"/>
          </w:tcPr>
          <w:p w14:paraId="2026AB8A" w14:textId="1BBB88F9" w:rsidR="001630EC" w:rsidRPr="00FD42CE" w:rsidRDefault="00FD42CE" w:rsidP="00D20116">
            <w:pPr>
              <w:rPr>
                <w:lang w:val="en-US"/>
              </w:rPr>
            </w:pPr>
            <w:r w:rsidRPr="00FD42CE">
              <w:rPr>
                <w:lang w:val="en-US"/>
              </w:rPr>
              <w:t>Indices</w:t>
            </w:r>
          </w:p>
        </w:tc>
        <w:tc>
          <w:tcPr>
            <w:tcW w:w="8505" w:type="dxa"/>
            <w:gridSpan w:val="4"/>
            <w:shd w:val="clear" w:color="auto" w:fill="auto"/>
          </w:tcPr>
          <w:p w14:paraId="02A4D6EC" w14:textId="338BF826" w:rsidR="001630EC" w:rsidRPr="00FD42CE" w:rsidRDefault="001630EC" w:rsidP="00D20116">
            <w:pPr>
              <w:cnfStyle w:val="000000100000" w:firstRow="0" w:lastRow="0" w:firstColumn="0" w:lastColumn="0" w:oddVBand="0" w:evenVBand="0" w:oddHBand="1" w:evenHBand="0" w:firstRowFirstColumn="0" w:firstRowLastColumn="0" w:lastRowFirstColumn="0" w:lastRowLastColumn="0"/>
              <w:rPr>
                <w:b/>
                <w:iCs/>
                <w:lang w:val="en-US"/>
              </w:rPr>
            </w:pPr>
          </w:p>
        </w:tc>
      </w:tr>
      <w:tr w:rsidR="001630EC" w:rsidRPr="006A158F" w14:paraId="35399C19" w14:textId="77777777" w:rsidTr="00FD42CE">
        <w:trPr>
          <w:trHeight w:val="340"/>
        </w:trPr>
        <w:tc>
          <w:tcPr>
            <w:cnfStyle w:val="001000000000" w:firstRow="0" w:lastRow="0" w:firstColumn="1" w:lastColumn="0" w:oddVBand="0" w:evenVBand="0" w:oddHBand="0" w:evenHBand="0" w:firstRowFirstColumn="0" w:firstRowLastColumn="0" w:lastRowFirstColumn="0" w:lastRowLastColumn="0"/>
            <w:tcW w:w="1133" w:type="dxa"/>
          </w:tcPr>
          <w:p w14:paraId="0E21D4CB" w14:textId="77777777" w:rsidR="001630EC" w:rsidRPr="00FD42CE" w:rsidRDefault="001630EC" w:rsidP="001630EC">
            <w:pPr>
              <w:jc w:val="center"/>
              <w:rPr>
                <w:b w:val="0"/>
                <w:lang w:val="en-US"/>
              </w:rPr>
            </w:pPr>
            <w:r w:rsidRPr="00FD42CE">
              <w:rPr>
                <w:b w:val="0"/>
                <w:lang w:val="en-US"/>
              </w:rPr>
              <w:t>pm</w:t>
            </w:r>
          </w:p>
        </w:tc>
        <w:tc>
          <w:tcPr>
            <w:tcW w:w="2634" w:type="dxa"/>
          </w:tcPr>
          <w:p w14:paraId="42ED30ED" w14:textId="77777777" w:rsidR="001630EC" w:rsidRPr="00FD42CE" w:rsidRDefault="001630EC" w:rsidP="00D20116">
            <w:pPr>
              <w:cnfStyle w:val="000000000000" w:firstRow="0" w:lastRow="0" w:firstColumn="0" w:lastColumn="0" w:oddVBand="0" w:evenVBand="0" w:oddHBand="0" w:evenHBand="0" w:firstRowFirstColumn="0" w:firstRowLastColumn="0" w:lastRowFirstColumn="0" w:lastRowLastColumn="0"/>
              <w:rPr>
                <w:lang w:val="en-US"/>
              </w:rPr>
            </w:pPr>
            <w:r w:rsidRPr="00FD42CE">
              <w:rPr>
                <w:lang w:val="en-US"/>
              </w:rPr>
              <w:t>Power markets</w:t>
            </w:r>
          </w:p>
        </w:tc>
        <w:tc>
          <w:tcPr>
            <w:tcW w:w="2230" w:type="dxa"/>
          </w:tcPr>
          <w:p w14:paraId="207ABFBD" w14:textId="3F1C8796" w:rsidR="001630EC" w:rsidRPr="00FD42CE" w:rsidRDefault="00D20116"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lang w:val="en-US"/>
              </w:rPr>
              <w:t>npmarket</w:t>
            </w:r>
            <w:proofErr w:type="spellEnd"/>
          </w:p>
        </w:tc>
        <w:tc>
          <w:tcPr>
            <w:tcW w:w="1838" w:type="dxa"/>
          </w:tcPr>
          <w:p w14:paraId="4DFD2789" w14:textId="1841553F" w:rsidR="001630EC" w:rsidRPr="00FD42CE" w:rsidRDefault="00150344" w:rsidP="00D2011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lang w:val="en-US"/>
              </w:rPr>
              <w:t>PowerMarkets</w:t>
            </w:r>
            <w:proofErr w:type="spellEnd"/>
          </w:p>
        </w:tc>
        <w:tc>
          <w:tcPr>
            <w:tcW w:w="1803" w:type="dxa"/>
          </w:tcPr>
          <w:p w14:paraId="201A8A55" w14:textId="1D7001C5" w:rsidR="001630EC" w:rsidRPr="00FD42CE" w:rsidRDefault="00150344" w:rsidP="00D20116">
            <w:pPr>
              <w:cnfStyle w:val="000000000000" w:firstRow="0" w:lastRow="0" w:firstColumn="0" w:lastColumn="0" w:oddVBand="0" w:evenVBand="0" w:oddHBand="0" w:evenHBand="0" w:firstRowFirstColumn="0" w:firstRowLastColumn="0" w:lastRowFirstColumn="0" w:lastRowLastColumn="0"/>
              <w:rPr>
                <w:lang w:val="en-US"/>
              </w:rPr>
            </w:pPr>
            <w:r w:rsidRPr="00FD42CE">
              <w:rPr>
                <w:lang w:val="en-US"/>
              </w:rPr>
              <w:t>-</w:t>
            </w:r>
          </w:p>
        </w:tc>
      </w:tr>
      <w:tr w:rsidR="001630EC" w:rsidRPr="006A158F" w14:paraId="3231AB21"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7E262DEA" w14:textId="77777777" w:rsidR="001630EC" w:rsidRPr="00FD42CE" w:rsidRDefault="001630EC" w:rsidP="001630EC">
            <w:pPr>
              <w:jc w:val="center"/>
              <w:rPr>
                <w:b w:val="0"/>
                <w:lang w:val="en-US"/>
              </w:rPr>
            </w:pPr>
            <w:r w:rsidRPr="00FD42CE">
              <w:rPr>
                <w:b w:val="0"/>
                <w:lang w:val="en-US"/>
              </w:rPr>
              <w:t>ls</w:t>
            </w:r>
          </w:p>
        </w:tc>
        <w:tc>
          <w:tcPr>
            <w:tcW w:w="2634" w:type="dxa"/>
          </w:tcPr>
          <w:p w14:paraId="19BC6B1D" w14:textId="77777777" w:rsidR="001630EC" w:rsidRPr="00FD42CE" w:rsidRDefault="001630EC" w:rsidP="00D20116">
            <w:pPr>
              <w:cnfStyle w:val="000000100000" w:firstRow="0" w:lastRow="0" w:firstColumn="0" w:lastColumn="0" w:oddVBand="0" w:evenVBand="0" w:oddHBand="1" w:evenHBand="0" w:firstRowFirstColumn="0" w:firstRowLastColumn="0" w:lastRowFirstColumn="0" w:lastRowLastColumn="0"/>
              <w:rPr>
                <w:lang w:val="en-US"/>
              </w:rPr>
            </w:pPr>
            <w:r w:rsidRPr="00FD42CE">
              <w:rPr>
                <w:lang w:val="en-US"/>
              </w:rPr>
              <w:t>Load segments</w:t>
            </w:r>
          </w:p>
        </w:tc>
        <w:tc>
          <w:tcPr>
            <w:tcW w:w="2230" w:type="dxa"/>
          </w:tcPr>
          <w:p w14:paraId="6C65E9CF" w14:textId="5280DF2F" w:rsidR="001630EC" w:rsidRPr="00FD42CE" w:rsidRDefault="00D20116"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lang w:val="en-US"/>
              </w:rPr>
              <w:t>npload</w:t>
            </w:r>
            <w:proofErr w:type="spellEnd"/>
          </w:p>
        </w:tc>
        <w:tc>
          <w:tcPr>
            <w:tcW w:w="1838" w:type="dxa"/>
          </w:tcPr>
          <w:p w14:paraId="27B451C4" w14:textId="024F675E" w:rsidR="001630EC" w:rsidRPr="00FD42CE" w:rsidRDefault="00150344" w:rsidP="00D2011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lang w:val="en-US"/>
              </w:rPr>
              <w:t>PowerLoads</w:t>
            </w:r>
            <w:proofErr w:type="spellEnd"/>
          </w:p>
        </w:tc>
        <w:tc>
          <w:tcPr>
            <w:tcW w:w="1803" w:type="dxa"/>
          </w:tcPr>
          <w:p w14:paraId="1CC7A5D5" w14:textId="4D5A8844" w:rsidR="001630EC" w:rsidRPr="00FD42CE" w:rsidRDefault="00150344" w:rsidP="00D20116">
            <w:pPr>
              <w:cnfStyle w:val="000000100000" w:firstRow="0" w:lastRow="0" w:firstColumn="0" w:lastColumn="0" w:oddVBand="0" w:evenVBand="0" w:oddHBand="1" w:evenHBand="0" w:firstRowFirstColumn="0" w:firstRowLastColumn="0" w:lastRowFirstColumn="0" w:lastRowLastColumn="0"/>
              <w:rPr>
                <w:lang w:val="en-US"/>
              </w:rPr>
            </w:pPr>
            <w:r w:rsidRPr="00FD42CE">
              <w:rPr>
                <w:lang w:val="en-US"/>
              </w:rPr>
              <w:t>SAPP</w:t>
            </w:r>
          </w:p>
        </w:tc>
      </w:tr>
      <w:tr w:rsidR="001630EC" w:rsidRPr="006A158F" w14:paraId="7E2F6F60" w14:textId="77777777" w:rsidTr="00FD42CE">
        <w:trPr>
          <w:trHeight w:val="340"/>
        </w:trPr>
        <w:tc>
          <w:tcPr>
            <w:cnfStyle w:val="001000000000" w:firstRow="0" w:lastRow="0" w:firstColumn="1" w:lastColumn="0" w:oddVBand="0" w:evenVBand="0" w:oddHBand="0" w:evenHBand="0" w:firstRowFirstColumn="0" w:firstRowLastColumn="0" w:lastRowFirstColumn="0" w:lastRowLastColumn="0"/>
            <w:tcW w:w="1133" w:type="dxa"/>
          </w:tcPr>
          <w:p w14:paraId="03AA73C1" w14:textId="3F54FA4B" w:rsidR="001630EC" w:rsidRPr="00FD42CE" w:rsidRDefault="00FD42CE" w:rsidP="001630EC">
            <w:pPr>
              <w:jc w:val="center"/>
              <w:rPr>
                <w:lang w:val="en-US"/>
              </w:rPr>
            </w:pPr>
            <w:r w:rsidRPr="00FD42CE">
              <w:rPr>
                <w:lang w:val="en-US"/>
              </w:rPr>
              <w:t>Parameters</w:t>
            </w:r>
          </w:p>
        </w:tc>
        <w:tc>
          <w:tcPr>
            <w:tcW w:w="8505" w:type="dxa"/>
            <w:gridSpan w:val="4"/>
          </w:tcPr>
          <w:p w14:paraId="19D43CDB" w14:textId="3E00CA12" w:rsidR="001630EC" w:rsidRPr="00FD42CE" w:rsidRDefault="001630EC" w:rsidP="00D20116">
            <w:pPr>
              <w:cnfStyle w:val="000000000000" w:firstRow="0" w:lastRow="0" w:firstColumn="0" w:lastColumn="0" w:oddVBand="0" w:evenVBand="0" w:oddHBand="0" w:evenHBand="0" w:firstRowFirstColumn="0" w:firstRowLastColumn="0" w:lastRowFirstColumn="0" w:lastRowLastColumn="0"/>
              <w:rPr>
                <w:i/>
                <w:lang w:val="en-US"/>
              </w:rPr>
            </w:pPr>
          </w:p>
        </w:tc>
      </w:tr>
      <w:tr w:rsidR="00FD42CE" w:rsidRPr="006A158F" w14:paraId="47280969"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7CD0C390" w14:textId="119C4836" w:rsidR="00FD42CE" w:rsidRPr="00FD42CE" w:rsidRDefault="00FD42CE" w:rsidP="00FD42CE">
            <w:pPr>
              <w:jc w:val="cente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d</m:t>
                    </m:r>
                  </m:e>
                  <m:sub>
                    <m:r>
                      <m:rPr>
                        <m:sty m:val="bi"/>
                      </m:rPr>
                      <w:rPr>
                        <w:rFonts w:ascii="Cambria Math" w:hAnsi="Cambria Math"/>
                        <w:color w:val="000000" w:themeColor="text1"/>
                      </w:rPr>
                      <m:t>E</m:t>
                    </m:r>
                  </m:sub>
                </m:sSub>
              </m:oMath>
            </m:oMathPara>
          </w:p>
        </w:tc>
        <w:tc>
          <w:tcPr>
            <w:tcW w:w="2634" w:type="dxa"/>
          </w:tcPr>
          <w:p w14:paraId="6FEB57BB" w14:textId="2CE1EC8A"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lang w:val="en-US"/>
              </w:rPr>
            </w:pPr>
            <w:r w:rsidRPr="00FD42CE">
              <w:rPr>
                <w:rFonts w:eastAsiaTheme="minorEastAsia"/>
                <w:color w:val="000000" w:themeColor="text1"/>
              </w:rPr>
              <w:t>Power demand</w:t>
            </w:r>
          </w:p>
        </w:tc>
        <w:tc>
          <w:tcPr>
            <w:tcW w:w="2230" w:type="dxa"/>
          </w:tcPr>
          <w:p w14:paraId="32919AD8" w14:textId="4BEDC236"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color w:val="000000" w:themeColor="text1"/>
                <w:lang w:val="en-US"/>
              </w:rPr>
              <w:t>eEngyDem</w:t>
            </w:r>
            <w:proofErr w:type="spellEnd"/>
          </w:p>
        </w:tc>
        <w:tc>
          <w:tcPr>
            <w:tcW w:w="1838" w:type="dxa"/>
          </w:tcPr>
          <w:p w14:paraId="2B722236" w14:textId="4322F97C"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rFonts w:eastAsiaTheme="minorEastAsia"/>
                <w:lang w:val="en-US"/>
              </w:rPr>
            </w:pPr>
            <w:proofErr w:type="spellStart"/>
            <w:r w:rsidRPr="00FD42CE">
              <w:rPr>
                <w:rFonts w:eastAsiaTheme="minorEastAsia"/>
                <w:lang w:val="en-US"/>
              </w:rPr>
              <w:t>EnergyDemand</w:t>
            </w:r>
            <w:proofErr w:type="spellEnd"/>
          </w:p>
        </w:tc>
        <w:tc>
          <w:tcPr>
            <w:tcW w:w="1803" w:type="dxa"/>
          </w:tcPr>
          <w:p w14:paraId="16EE1854" w14:textId="5729FE06"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lang w:val="en-US"/>
              </w:rPr>
            </w:pPr>
            <w:r w:rsidRPr="00FD42CE">
              <w:rPr>
                <w:rFonts w:eastAsiaTheme="minorEastAsia"/>
                <w:lang w:val="en-US"/>
              </w:rPr>
              <w:t>SAPP</w:t>
            </w:r>
          </w:p>
        </w:tc>
      </w:tr>
      <w:tr w:rsidR="00FD42CE" w:rsidRPr="006A158F" w14:paraId="770C34E3" w14:textId="77777777" w:rsidTr="00FD42CE">
        <w:trPr>
          <w:trHeight w:val="340"/>
        </w:trPr>
        <w:tc>
          <w:tcPr>
            <w:cnfStyle w:val="001000000000" w:firstRow="0" w:lastRow="0" w:firstColumn="1" w:lastColumn="0" w:oddVBand="0" w:evenVBand="0" w:oddHBand="0" w:evenHBand="0" w:firstRowFirstColumn="0" w:firstRowLastColumn="0" w:lastRowFirstColumn="0" w:lastRowLastColumn="0"/>
            <w:tcW w:w="1133" w:type="dxa"/>
          </w:tcPr>
          <w:p w14:paraId="65FDD224" w14:textId="74747333" w:rsidR="00FD42CE" w:rsidRPr="00FD42CE" w:rsidRDefault="00FD42CE" w:rsidP="00FD42CE">
            <w:pPr>
              <w:jc w:val="cente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d</m:t>
                    </m:r>
                  </m:e>
                  <m:sub>
                    <m:r>
                      <m:rPr>
                        <m:sty m:val="bi"/>
                      </m:rPr>
                      <w:rPr>
                        <w:rFonts w:ascii="Cambria Math" w:hAnsi="Cambria Math"/>
                        <w:color w:val="000000" w:themeColor="text1"/>
                      </w:rPr>
                      <m:t>load</m:t>
                    </m:r>
                  </m:sub>
                </m:sSub>
              </m:oMath>
            </m:oMathPara>
          </w:p>
        </w:tc>
        <w:tc>
          <w:tcPr>
            <w:tcW w:w="2634" w:type="dxa"/>
          </w:tcPr>
          <w:p w14:paraId="5573967A" w14:textId="0C284338" w:rsidR="00FD42CE" w:rsidRPr="00FD42CE" w:rsidRDefault="00FD42CE" w:rsidP="00FD42CE">
            <w:pPr>
              <w:cnfStyle w:val="000000000000" w:firstRow="0" w:lastRow="0" w:firstColumn="0" w:lastColumn="0" w:oddVBand="0" w:evenVBand="0" w:oddHBand="0" w:evenHBand="0" w:firstRowFirstColumn="0" w:firstRowLastColumn="0" w:lastRowFirstColumn="0" w:lastRowLastColumn="0"/>
              <w:rPr>
                <w:lang w:val="en-US"/>
              </w:rPr>
            </w:pPr>
            <w:r w:rsidRPr="00FD42CE">
              <w:rPr>
                <w:rFonts w:eastAsiaTheme="minorEastAsia"/>
                <w:color w:val="000000" w:themeColor="text1"/>
              </w:rPr>
              <w:t>Share of the demand per load segment</w:t>
            </w:r>
          </w:p>
        </w:tc>
        <w:tc>
          <w:tcPr>
            <w:tcW w:w="2230" w:type="dxa"/>
          </w:tcPr>
          <w:p w14:paraId="4E60B9A2" w14:textId="23F625F9" w:rsidR="00FD42CE" w:rsidRPr="00FD42CE" w:rsidRDefault="00FD42CE" w:rsidP="00FD42C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lang w:val="en-US"/>
              </w:rPr>
              <w:t>eLoadDem</w:t>
            </w:r>
            <w:proofErr w:type="spellEnd"/>
          </w:p>
        </w:tc>
        <w:tc>
          <w:tcPr>
            <w:tcW w:w="1838" w:type="dxa"/>
          </w:tcPr>
          <w:p w14:paraId="47AD21EA" w14:textId="3FB1CD88" w:rsidR="00FD42CE" w:rsidRPr="00FD42CE" w:rsidRDefault="00FD42CE" w:rsidP="00FD42CE">
            <w:pP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r w:rsidRPr="00FD42CE">
              <w:rPr>
                <w:rFonts w:eastAsiaTheme="minorEastAsia"/>
                <w:lang w:val="en-US"/>
              </w:rPr>
              <w:t>PowerLoads</w:t>
            </w:r>
            <w:proofErr w:type="spellEnd"/>
          </w:p>
        </w:tc>
        <w:tc>
          <w:tcPr>
            <w:tcW w:w="1803" w:type="dxa"/>
          </w:tcPr>
          <w:p w14:paraId="6FBE6A98" w14:textId="0964ECE4" w:rsidR="00FD42CE" w:rsidRPr="00FD42CE" w:rsidRDefault="00FD42CE" w:rsidP="00FD42CE">
            <w:pPr>
              <w:cnfStyle w:val="000000000000" w:firstRow="0" w:lastRow="0" w:firstColumn="0" w:lastColumn="0" w:oddVBand="0" w:evenVBand="0" w:oddHBand="0" w:evenHBand="0" w:firstRowFirstColumn="0" w:firstRowLastColumn="0" w:lastRowFirstColumn="0" w:lastRowLastColumn="0"/>
              <w:rPr>
                <w:lang w:val="en-US"/>
              </w:rPr>
            </w:pPr>
            <w:r w:rsidRPr="00FD42CE">
              <w:rPr>
                <w:lang w:val="en-US"/>
              </w:rPr>
              <w:t>SAPP</w:t>
            </w:r>
          </w:p>
        </w:tc>
      </w:tr>
      <w:tr w:rsidR="00FD42CE" w:rsidRPr="006A158F" w14:paraId="7988C931"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2A55E96B" w14:textId="346A584E" w:rsidR="00FD42CE" w:rsidRPr="00FD42CE" w:rsidRDefault="00FD42CE" w:rsidP="00FD42CE">
            <w:pPr>
              <w:jc w:val="cente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t</m:t>
                    </m:r>
                  </m:e>
                  <m:sub>
                    <m:r>
                      <m:rPr>
                        <m:sty m:val="bi"/>
                      </m:rPr>
                      <w:rPr>
                        <w:rFonts w:ascii="Cambria Math" w:hAnsi="Cambria Math"/>
                        <w:color w:val="000000" w:themeColor="text1"/>
                      </w:rPr>
                      <m:t>load</m:t>
                    </m:r>
                  </m:sub>
                </m:sSub>
              </m:oMath>
            </m:oMathPara>
          </w:p>
        </w:tc>
        <w:tc>
          <w:tcPr>
            <w:tcW w:w="2634" w:type="dxa"/>
          </w:tcPr>
          <w:p w14:paraId="3CE87893" w14:textId="576FA7A6"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lang w:val="en-US"/>
              </w:rPr>
            </w:pPr>
            <w:r w:rsidRPr="00FD42CE">
              <w:rPr>
                <w:rFonts w:eastAsiaTheme="minorEastAsia"/>
                <w:color w:val="000000" w:themeColor="text1"/>
              </w:rPr>
              <w:t>Length of load segment</w:t>
            </w:r>
          </w:p>
        </w:tc>
        <w:tc>
          <w:tcPr>
            <w:tcW w:w="2230" w:type="dxa"/>
          </w:tcPr>
          <w:p w14:paraId="3D667CEA" w14:textId="3979810A"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lang w:val="en-US"/>
              </w:rPr>
              <w:t>eLoadTime</w:t>
            </w:r>
            <w:proofErr w:type="spellEnd"/>
          </w:p>
        </w:tc>
        <w:tc>
          <w:tcPr>
            <w:tcW w:w="1838" w:type="dxa"/>
          </w:tcPr>
          <w:p w14:paraId="4E9D6D03" w14:textId="1260E9A3"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rFonts w:eastAsiaTheme="minorEastAsia"/>
                <w:lang w:val="en-US"/>
              </w:rPr>
            </w:pPr>
            <w:proofErr w:type="spellStart"/>
            <w:r w:rsidRPr="00FD42CE">
              <w:rPr>
                <w:rFonts w:eastAsiaTheme="minorEastAsia"/>
                <w:lang w:val="en-US"/>
              </w:rPr>
              <w:t>PowerLoads</w:t>
            </w:r>
            <w:proofErr w:type="spellEnd"/>
          </w:p>
        </w:tc>
        <w:tc>
          <w:tcPr>
            <w:tcW w:w="1803" w:type="dxa"/>
          </w:tcPr>
          <w:p w14:paraId="1FD2EADC" w14:textId="5D7D1B24" w:rsidR="00FD42CE" w:rsidRPr="00FD42CE" w:rsidRDefault="00FD42CE" w:rsidP="00FD42CE">
            <w:pPr>
              <w:cnfStyle w:val="000000100000" w:firstRow="0" w:lastRow="0" w:firstColumn="0" w:lastColumn="0" w:oddVBand="0" w:evenVBand="0" w:oddHBand="1" w:evenHBand="0" w:firstRowFirstColumn="0" w:firstRowLastColumn="0" w:lastRowFirstColumn="0" w:lastRowLastColumn="0"/>
              <w:rPr>
                <w:lang w:val="en-US"/>
              </w:rPr>
            </w:pPr>
            <w:r w:rsidRPr="00FD42CE">
              <w:rPr>
                <w:rFonts w:eastAsiaTheme="minorEastAsia"/>
                <w:lang w:val="en-US"/>
              </w:rPr>
              <w:t>SAPP</w:t>
            </w:r>
          </w:p>
        </w:tc>
      </w:tr>
      <w:tr w:rsidR="00AA7A74" w:rsidRPr="006A158F" w14:paraId="710EAB00" w14:textId="77777777" w:rsidTr="00FD42CE">
        <w:trPr>
          <w:trHeight w:val="340"/>
        </w:trPr>
        <w:tc>
          <w:tcPr>
            <w:cnfStyle w:val="001000000000" w:firstRow="0" w:lastRow="0" w:firstColumn="1" w:lastColumn="0" w:oddVBand="0" w:evenVBand="0" w:oddHBand="0" w:evenHBand="0" w:firstRowFirstColumn="0" w:firstRowLastColumn="0" w:lastRowFirstColumn="0" w:lastRowLastColumn="0"/>
            <w:tcW w:w="1133" w:type="dxa"/>
          </w:tcPr>
          <w:p w14:paraId="0F9B63C0" w14:textId="6A83636C" w:rsidR="00AA7A74" w:rsidRPr="00FD42CE" w:rsidRDefault="00AA7A74" w:rsidP="00AA7A74">
            <w:pPr>
              <w:jc w:val="cente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e</m:t>
                    </m:r>
                  </m:e>
                  <m:sub>
                    <m:r>
                      <m:rPr>
                        <m:sty m:val="bi"/>
                      </m:rPr>
                      <w:rPr>
                        <w:rFonts w:ascii="Cambria Math" w:hAnsi="Cambria Math"/>
                        <w:color w:val="000000" w:themeColor="text1"/>
                      </w:rPr>
                      <m:t>C</m:t>
                    </m:r>
                    <m:r>
                      <m:rPr>
                        <m:sty m:val="bi"/>
                      </m:rPr>
                      <w:rPr>
                        <w:rFonts w:ascii="Cambria Math" w:hAnsi="Cambria Math"/>
                        <w:color w:val="000000" w:themeColor="text1"/>
                      </w:rPr>
                      <m:t>F</m:t>
                    </m:r>
                  </m:sub>
                </m:sSub>
              </m:oMath>
            </m:oMathPara>
          </w:p>
        </w:tc>
        <w:tc>
          <w:tcPr>
            <w:tcW w:w="2634" w:type="dxa"/>
          </w:tcPr>
          <w:p w14:paraId="574E7578" w14:textId="77777777"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sidRPr="00FD42CE">
              <w:rPr>
                <w:rFonts w:eastAsiaTheme="minorEastAsia"/>
                <w:lang w:val="en-US"/>
              </w:rPr>
              <w:t>Load segment capacity factor</w:t>
            </w:r>
          </w:p>
        </w:tc>
        <w:tc>
          <w:tcPr>
            <w:tcW w:w="2230" w:type="dxa"/>
          </w:tcPr>
          <w:p w14:paraId="77FD69B0" w14:textId="397C564E"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lang w:val="en-US"/>
              </w:rPr>
              <w:t>eLoadCap</w:t>
            </w:r>
            <w:proofErr w:type="spellEnd"/>
          </w:p>
        </w:tc>
        <w:tc>
          <w:tcPr>
            <w:tcW w:w="1838" w:type="dxa"/>
          </w:tcPr>
          <w:p w14:paraId="318868CB" w14:textId="460AB3BF"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r w:rsidRPr="00FD42CE">
              <w:rPr>
                <w:rFonts w:eastAsiaTheme="minorEastAsia"/>
                <w:lang w:val="en-US"/>
              </w:rPr>
              <w:t>LoadCapacity</w:t>
            </w:r>
            <w:proofErr w:type="spellEnd"/>
          </w:p>
        </w:tc>
        <w:tc>
          <w:tcPr>
            <w:tcW w:w="1803" w:type="dxa"/>
          </w:tcPr>
          <w:p w14:paraId="4FCC70C2" w14:textId="338F2EAD"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sidRPr="00FD42CE">
              <w:rPr>
                <w:rFonts w:eastAsiaTheme="minorEastAsia"/>
                <w:lang w:val="en-US"/>
              </w:rPr>
              <w:fldChar w:fldCharType="begin" w:fldLock="1"/>
            </w:r>
            <w:r w:rsidRPr="00FD42CE">
              <w:rPr>
                <w:rFonts w:eastAsiaTheme="minorEastAsia"/>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FD42CE">
              <w:rPr>
                <w:rFonts w:eastAsiaTheme="minorEastAsia"/>
                <w:lang w:val="en-US"/>
              </w:rPr>
              <w:fldChar w:fldCharType="separate"/>
            </w:r>
            <w:r w:rsidRPr="00FD42CE">
              <w:rPr>
                <w:rFonts w:eastAsiaTheme="minorEastAsia"/>
                <w:noProof/>
                <w:lang w:val="en-US"/>
              </w:rPr>
              <w:t>(IRENA, 2013)</w:t>
            </w:r>
            <w:r w:rsidRPr="00FD42CE">
              <w:rPr>
                <w:rFonts w:eastAsiaTheme="minorEastAsia"/>
                <w:lang w:val="en-US"/>
              </w:rPr>
              <w:fldChar w:fldCharType="end"/>
            </w:r>
          </w:p>
        </w:tc>
      </w:tr>
      <w:tr w:rsidR="00AA7A74" w:rsidRPr="006A158F" w14:paraId="07A00211"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5AC307C0" w14:textId="6E42D454" w:rsidR="00AA7A74" w:rsidRPr="00FD42CE" w:rsidRDefault="00AA7A74" w:rsidP="00AA7A74">
            <w:pPr>
              <w:jc w:val="center"/>
              <w:rPr>
                <w:i/>
                <w:lang w:val="en-US"/>
              </w:rPr>
            </w:pPr>
            <m:oMathPara>
              <m:oMath>
                <m:sSub>
                  <m:sSubPr>
                    <m:ctrlPr>
                      <w:rPr>
                        <w:rFonts w:ascii="Cambria Math" w:hAnsi="Cambria Math"/>
                        <w:color w:val="000000" w:themeColor="text1"/>
                      </w:rPr>
                    </m:ctrlPr>
                  </m:sSubPr>
                  <m:e>
                    <m:acc>
                      <m:accPr>
                        <m:chr m:val="̅"/>
                        <m:ctrlPr>
                          <w:rPr>
                            <w:rFonts w:ascii="Cambria Math" w:eastAsia="Times New Roman" w:hAnsi="Cambria Math" w:cstheme="majorBidi"/>
                            <w:b w:val="0"/>
                            <w:bCs w:val="0"/>
                            <w:i/>
                            <w:iCs/>
                            <w:color w:val="000000" w:themeColor="text1"/>
                            <w:lang w:val="en-GB" w:eastAsia="de-DE"/>
                          </w:rPr>
                        </m:ctrlPr>
                      </m:accPr>
                      <m:e>
                        <m:r>
                          <m:rPr>
                            <m:sty m:val="bi"/>
                          </m:rPr>
                          <w:rPr>
                            <w:rFonts w:ascii="Cambria Math" w:hAnsi="Cambria Math"/>
                            <w:color w:val="000000" w:themeColor="text1"/>
                          </w:rPr>
                          <m:t>T</m:t>
                        </m:r>
                      </m:e>
                    </m:acc>
                  </m:e>
                  <m:sub>
                    <m:r>
                      <m:rPr>
                        <m:sty m:val="bi"/>
                      </m:rPr>
                      <w:rPr>
                        <w:rFonts w:ascii="Cambria Math" w:hAnsi="Cambria Math"/>
                        <w:color w:val="000000" w:themeColor="text1"/>
                      </w:rPr>
                      <m:t>E,trans</m:t>
                    </m:r>
                  </m:sub>
                </m:sSub>
              </m:oMath>
            </m:oMathPara>
          </w:p>
        </w:tc>
        <w:tc>
          <w:tcPr>
            <w:tcW w:w="2634" w:type="dxa"/>
          </w:tcPr>
          <w:p w14:paraId="070D2832" w14:textId="5255D1CD"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FD42CE">
              <w:rPr>
                <w:rFonts w:eastAsiaTheme="minorEastAsia"/>
                <w:color w:val="000000" w:themeColor="text1"/>
              </w:rPr>
              <w:t>Capacity of the transmission line</w:t>
            </w:r>
          </w:p>
        </w:tc>
        <w:tc>
          <w:tcPr>
            <w:tcW w:w="2230" w:type="dxa"/>
          </w:tcPr>
          <w:p w14:paraId="1ECBB8AB" w14:textId="4E0C73FD"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lang w:val="en-US"/>
              </w:rPr>
              <w:t>eTransCap</w:t>
            </w:r>
            <w:proofErr w:type="spellEnd"/>
          </w:p>
        </w:tc>
        <w:tc>
          <w:tcPr>
            <w:tcW w:w="1838" w:type="dxa"/>
          </w:tcPr>
          <w:p w14:paraId="15D8B23B" w14:textId="63361D17"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proofErr w:type="spellStart"/>
            <w:r w:rsidRPr="00FD42CE">
              <w:rPr>
                <w:rFonts w:eastAsiaTheme="minorEastAsia"/>
                <w:lang w:val="en-US"/>
              </w:rPr>
              <w:t>EnergyTransmission</w:t>
            </w:r>
            <w:proofErr w:type="spellEnd"/>
          </w:p>
        </w:tc>
        <w:tc>
          <w:tcPr>
            <w:tcW w:w="1803" w:type="dxa"/>
          </w:tcPr>
          <w:p w14:paraId="08783BEF" w14:textId="4B0DE426"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FD42CE">
              <w:rPr>
                <w:lang w:val="en-US"/>
              </w:rPr>
              <w:t>SAPP</w:t>
            </w:r>
          </w:p>
        </w:tc>
      </w:tr>
      <w:tr w:rsidR="00AA7A74" w:rsidRPr="006A158F" w14:paraId="05243BDD" w14:textId="77777777" w:rsidTr="00FD42CE">
        <w:trPr>
          <w:trHeight w:val="340"/>
        </w:trPr>
        <w:tc>
          <w:tcPr>
            <w:cnfStyle w:val="001000000000" w:firstRow="0" w:lastRow="0" w:firstColumn="1" w:lastColumn="0" w:oddVBand="0" w:evenVBand="0" w:oddHBand="0" w:evenHBand="0" w:firstRowFirstColumn="0" w:firstRowLastColumn="0" w:lastRowFirstColumn="0" w:lastRowLastColumn="0"/>
            <w:tcW w:w="1133" w:type="dxa"/>
          </w:tcPr>
          <w:p w14:paraId="207BE92B" w14:textId="6509E669" w:rsidR="00AA7A74" w:rsidRPr="00FD42CE" w:rsidRDefault="00AA7A74" w:rsidP="00AA7A74">
            <w:pPr>
              <w:jc w:val="center"/>
              <w:rPr>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E,trans</m:t>
                    </m:r>
                  </m:sub>
                </m:sSub>
              </m:oMath>
            </m:oMathPara>
          </w:p>
        </w:tc>
        <w:tc>
          <w:tcPr>
            <w:tcW w:w="2634" w:type="dxa"/>
          </w:tcPr>
          <w:p w14:paraId="4CACE9CB" w14:textId="70492C16"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FD42CE">
              <w:rPr>
                <w:rFonts w:eastAsiaTheme="minorEastAsia"/>
                <w:color w:val="000000" w:themeColor="text1"/>
              </w:rPr>
              <w:t>Power transmission losses</w:t>
            </w:r>
          </w:p>
        </w:tc>
        <w:tc>
          <w:tcPr>
            <w:tcW w:w="2230" w:type="dxa"/>
          </w:tcPr>
          <w:p w14:paraId="2091DC0D" w14:textId="4B6987E9"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lang w:val="en-US"/>
              </w:rPr>
              <w:t>eTransLoss</w:t>
            </w:r>
            <w:proofErr w:type="spellEnd"/>
          </w:p>
        </w:tc>
        <w:tc>
          <w:tcPr>
            <w:tcW w:w="1838" w:type="dxa"/>
          </w:tcPr>
          <w:p w14:paraId="141E0B0E" w14:textId="2C23DB52"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rFonts w:eastAsiaTheme="minorEastAsia"/>
                <w:lang w:val="en-US"/>
              </w:rPr>
              <w:t>EnergyTransmission</w:t>
            </w:r>
            <w:proofErr w:type="spellEnd"/>
          </w:p>
        </w:tc>
        <w:tc>
          <w:tcPr>
            <w:tcW w:w="1803" w:type="dxa"/>
          </w:tcPr>
          <w:p w14:paraId="16B3A742" w14:textId="4BCDE895"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FD42CE">
              <w:rPr>
                <w:lang w:val="en-US"/>
              </w:rPr>
              <w:fldChar w:fldCharType="begin" w:fldLock="1"/>
            </w:r>
            <w:r w:rsidRPr="00FD42CE">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FD42CE">
              <w:rPr>
                <w:lang w:val="en-US"/>
              </w:rPr>
              <w:fldChar w:fldCharType="separate"/>
            </w:r>
            <w:r w:rsidRPr="00FD42CE">
              <w:rPr>
                <w:noProof/>
                <w:lang w:val="en-US"/>
              </w:rPr>
              <w:t>(IRENA, 2013)</w:t>
            </w:r>
            <w:r w:rsidRPr="00FD42CE">
              <w:rPr>
                <w:lang w:val="en-US"/>
              </w:rPr>
              <w:fldChar w:fldCharType="end"/>
            </w:r>
          </w:p>
        </w:tc>
      </w:tr>
      <w:tr w:rsidR="00AA7A74" w:rsidRPr="006A158F" w14:paraId="67177E58"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1E7F5606" w14:textId="422D43A0" w:rsidR="00AA7A74" w:rsidRPr="00FD42CE" w:rsidRDefault="00AA7A74" w:rsidP="00AA7A74">
            <w:pPr>
              <w:jc w:val="center"/>
              <w:rPr>
                <w:rFonts w:eastAsia="Calibri" w:cs="Times New Roman"/>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E,supply</m:t>
                    </m:r>
                  </m:sub>
                </m:sSub>
              </m:oMath>
            </m:oMathPara>
          </w:p>
        </w:tc>
        <w:tc>
          <w:tcPr>
            <w:tcW w:w="2634" w:type="dxa"/>
          </w:tcPr>
          <w:p w14:paraId="1613EF7C" w14:textId="5D881FE0"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FD42CE">
              <w:rPr>
                <w:color w:val="000000" w:themeColor="text1"/>
              </w:rPr>
              <w:t>Local power supply losses</w:t>
            </w:r>
          </w:p>
        </w:tc>
        <w:tc>
          <w:tcPr>
            <w:tcW w:w="2230" w:type="dxa"/>
          </w:tcPr>
          <w:p w14:paraId="15D73095" w14:textId="7D199ECA"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lang w:val="en-US"/>
              </w:rPr>
              <w:t>eSupLoss</w:t>
            </w:r>
            <w:proofErr w:type="spellEnd"/>
          </w:p>
        </w:tc>
        <w:tc>
          <w:tcPr>
            <w:tcW w:w="1838" w:type="dxa"/>
          </w:tcPr>
          <w:p w14:paraId="7B6F7102" w14:textId="19861082" w:rsidR="00AA7A74" w:rsidRPr="00FD42CE" w:rsidRDefault="00FD42CE" w:rsidP="00AA7A74">
            <w:pPr>
              <w:cnfStyle w:val="000000100000" w:firstRow="0" w:lastRow="0" w:firstColumn="0" w:lastColumn="0" w:oddVBand="0" w:evenVBand="0" w:oddHBand="1" w:evenHBand="0" w:firstRowFirstColumn="0" w:firstRowLastColumn="0" w:lastRowFirstColumn="0" w:lastRowLastColumn="0"/>
              <w:rPr>
                <w:rFonts w:eastAsiaTheme="minorEastAsia"/>
                <w:lang w:val="en-US"/>
              </w:rPr>
            </w:pPr>
            <w:proofErr w:type="spellStart"/>
            <w:r w:rsidRPr="00FD42CE">
              <w:rPr>
                <w:rFonts w:eastAsiaTheme="minorEastAsia"/>
                <w:lang w:val="en-US"/>
              </w:rPr>
              <w:t>PowerMarkets</w:t>
            </w:r>
            <w:proofErr w:type="spellEnd"/>
          </w:p>
        </w:tc>
        <w:tc>
          <w:tcPr>
            <w:tcW w:w="1803" w:type="dxa"/>
          </w:tcPr>
          <w:p w14:paraId="7D4F525C" w14:textId="6BA88221"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FD42CE">
              <w:rPr>
                <w:lang w:val="en-US"/>
              </w:rPr>
              <w:fldChar w:fldCharType="begin" w:fldLock="1"/>
            </w:r>
            <w:r w:rsidRPr="00FD42CE">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FD42CE">
              <w:rPr>
                <w:lang w:val="en-US"/>
              </w:rPr>
              <w:fldChar w:fldCharType="separate"/>
            </w:r>
            <w:r w:rsidRPr="00FD42CE">
              <w:rPr>
                <w:noProof/>
                <w:lang w:val="en-US"/>
              </w:rPr>
              <w:t>(IRENA, 2013)</w:t>
            </w:r>
            <w:r w:rsidRPr="00FD42CE">
              <w:rPr>
                <w:lang w:val="en-US"/>
              </w:rPr>
              <w:fldChar w:fldCharType="end"/>
            </w:r>
          </w:p>
        </w:tc>
      </w:tr>
      <w:tr w:rsidR="00AA7A74" w:rsidRPr="006A158F" w14:paraId="7C6BAAA0" w14:textId="77777777" w:rsidTr="00FD42CE">
        <w:trPr>
          <w:trHeight w:val="340"/>
        </w:trPr>
        <w:tc>
          <w:tcPr>
            <w:cnfStyle w:val="001000000000" w:firstRow="0" w:lastRow="0" w:firstColumn="1" w:lastColumn="0" w:oddVBand="0" w:evenVBand="0" w:oddHBand="0" w:evenHBand="0" w:firstRowFirstColumn="0" w:firstRowLastColumn="0" w:lastRowFirstColumn="0" w:lastRowLastColumn="0"/>
            <w:tcW w:w="1133" w:type="dxa"/>
          </w:tcPr>
          <w:p w14:paraId="5A193931" w14:textId="6E0A6BFD" w:rsidR="00AA7A74" w:rsidRPr="00FD42CE" w:rsidRDefault="00AA7A74" w:rsidP="00AA7A74">
            <w:pPr>
              <w:jc w:val="cente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b</m:t>
                    </m:r>
                  </m:e>
                  <m:sub>
                    <m:r>
                      <m:rPr>
                        <m:sty m:val="bi"/>
                      </m:rPr>
                      <w:rPr>
                        <w:rFonts w:ascii="Cambria Math" w:hAnsi="Cambria Math"/>
                        <w:color w:val="000000" w:themeColor="text1"/>
                      </w:rPr>
                      <m:t>E</m:t>
                    </m:r>
                  </m:sub>
                </m:sSub>
              </m:oMath>
            </m:oMathPara>
          </w:p>
        </w:tc>
        <w:tc>
          <w:tcPr>
            <w:tcW w:w="2634" w:type="dxa"/>
          </w:tcPr>
          <w:p w14:paraId="14B3F794" w14:textId="732C40BC"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FD42CE">
              <w:rPr>
                <w:color w:val="000000" w:themeColor="text1"/>
              </w:rPr>
              <w:t>Marginal value of energy</w:t>
            </w:r>
          </w:p>
        </w:tc>
        <w:tc>
          <w:tcPr>
            <w:tcW w:w="2230" w:type="dxa"/>
          </w:tcPr>
          <w:p w14:paraId="572D9605" w14:textId="59667907"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color w:val="000000" w:themeColor="text1"/>
                <w:lang w:val="en-US"/>
              </w:rPr>
              <w:t>eEngyVal</w:t>
            </w:r>
            <w:proofErr w:type="spellEnd"/>
          </w:p>
        </w:tc>
        <w:tc>
          <w:tcPr>
            <w:tcW w:w="1838" w:type="dxa"/>
          </w:tcPr>
          <w:p w14:paraId="4FF34B52" w14:textId="3ABDE90A"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D42CE">
              <w:rPr>
                <w:lang w:val="en-US"/>
              </w:rPr>
              <w:t>EnergyValue</w:t>
            </w:r>
            <w:proofErr w:type="spellEnd"/>
          </w:p>
        </w:tc>
        <w:tc>
          <w:tcPr>
            <w:tcW w:w="1803" w:type="dxa"/>
          </w:tcPr>
          <w:p w14:paraId="0AE132EF" w14:textId="056F971C" w:rsidR="00AA7A74" w:rsidRPr="00FD42CE" w:rsidRDefault="00AA7A74" w:rsidP="00AA7A74">
            <w:pPr>
              <w:cnfStyle w:val="000000000000" w:firstRow="0" w:lastRow="0" w:firstColumn="0" w:lastColumn="0" w:oddVBand="0" w:evenVBand="0" w:oddHBand="0" w:evenHBand="0" w:firstRowFirstColumn="0" w:firstRowLastColumn="0" w:lastRowFirstColumn="0" w:lastRowLastColumn="0"/>
              <w:rPr>
                <w:lang w:val="en-US"/>
              </w:rPr>
            </w:pPr>
            <w:r w:rsidRPr="00FD42CE">
              <w:rPr>
                <w:lang w:val="en-US"/>
              </w:rPr>
              <w:t>Expert assumption</w:t>
            </w:r>
          </w:p>
        </w:tc>
      </w:tr>
      <w:tr w:rsidR="00AA7A74" w:rsidRPr="006A158F" w14:paraId="4E1C6014" w14:textId="77777777" w:rsidTr="00FD42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3" w:type="dxa"/>
          </w:tcPr>
          <w:p w14:paraId="497DB7FB" w14:textId="6F5BD3A8" w:rsidR="00AA7A74" w:rsidRPr="00FD42CE" w:rsidRDefault="00AA7A74" w:rsidP="00AA7A74">
            <w:pPr>
              <w:jc w:val="center"/>
              <w:rPr>
                <w:rFonts w:eastAsia="Calibri"/>
                <w:i/>
                <w:lang w:val="en-US"/>
              </w:rPr>
            </w:pPr>
            <m:oMathPara>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E,trans</m:t>
                    </m:r>
                  </m:sub>
                </m:sSub>
              </m:oMath>
            </m:oMathPara>
          </w:p>
        </w:tc>
        <w:tc>
          <w:tcPr>
            <w:tcW w:w="2634" w:type="dxa"/>
          </w:tcPr>
          <w:p w14:paraId="7707FBC3" w14:textId="44A52B9E"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FD42CE">
              <w:rPr>
                <w:rFonts w:eastAsiaTheme="minorEastAsia"/>
                <w:color w:val="000000" w:themeColor="text1"/>
              </w:rPr>
              <w:t xml:space="preserve">Energy transmission costs </w:t>
            </w:r>
          </w:p>
        </w:tc>
        <w:tc>
          <w:tcPr>
            <w:tcW w:w="2230" w:type="dxa"/>
          </w:tcPr>
          <w:p w14:paraId="0852510B" w14:textId="7B81ECD0"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lang w:val="en-US"/>
              </w:rPr>
              <w:t>eTransCost</w:t>
            </w:r>
            <w:proofErr w:type="spellEnd"/>
          </w:p>
        </w:tc>
        <w:tc>
          <w:tcPr>
            <w:tcW w:w="1838" w:type="dxa"/>
          </w:tcPr>
          <w:p w14:paraId="09505B7B" w14:textId="7FBC689F"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D42CE">
              <w:rPr>
                <w:rFonts w:eastAsiaTheme="minorEastAsia"/>
                <w:lang w:val="en-US"/>
              </w:rPr>
              <w:t>EnergyTransmission</w:t>
            </w:r>
            <w:proofErr w:type="spellEnd"/>
          </w:p>
        </w:tc>
        <w:tc>
          <w:tcPr>
            <w:tcW w:w="1803" w:type="dxa"/>
          </w:tcPr>
          <w:p w14:paraId="58FBC75F" w14:textId="58F5E842" w:rsidR="00AA7A74" w:rsidRPr="00FD42CE" w:rsidRDefault="00AA7A74" w:rsidP="00AA7A74">
            <w:pPr>
              <w:cnfStyle w:val="000000100000" w:firstRow="0" w:lastRow="0" w:firstColumn="0" w:lastColumn="0" w:oddVBand="0" w:evenVBand="0" w:oddHBand="1" w:evenHBand="0" w:firstRowFirstColumn="0" w:firstRowLastColumn="0" w:lastRowFirstColumn="0" w:lastRowLastColumn="0"/>
              <w:rPr>
                <w:lang w:val="en-US"/>
              </w:rPr>
            </w:pPr>
            <w:r w:rsidRPr="00FD42CE">
              <w:rPr>
                <w:lang w:val="en-US"/>
              </w:rPr>
              <w:fldChar w:fldCharType="begin" w:fldLock="1"/>
            </w:r>
            <w:r w:rsidRPr="00FD42CE">
              <w:rPr>
                <w:lang w:val="en-US"/>
              </w:rPr>
              <w:instrText>ADDIN CSL_CITATION {"citationItems":[{"id":"ITEM-1","itemData":{"abstract":"The International Renewable Energy Agency (IRENA) is an intergovernmental organisation that supports countries in their transition to a sustainable energy future, and serves as the principal platform for international cooperation,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prosperity.","author":[{"dropping-particle":"","family":"IRENA","given":"","non-dropping-particle":"","parse-names":false,"suffix":""}],"id":"ITEM-1","issued":{"date-parts":[["2013"]]},"page":"1-91","title":"Southern African Power Pool: Planning and Prospects for Renewable Energy","type":"article-journal"},"uris":["http://www.mendeley.com/documents/?uuid=8f5d3a87-4be4-47bd-961d-63204e463d52"]}],"mendeley":{"formattedCitation":"(IRENA, 2013)","plainTextFormattedCitation":"(IRENA, 2013)","previouslyFormattedCitation":"(IRENA, 2013)"},"properties":{"noteIndex":0},"schema":"https://github.com/citation-style-language/schema/raw/master/csl-citation.json"}</w:instrText>
            </w:r>
            <w:r w:rsidRPr="00FD42CE">
              <w:rPr>
                <w:lang w:val="en-US"/>
              </w:rPr>
              <w:fldChar w:fldCharType="separate"/>
            </w:r>
            <w:r w:rsidRPr="00FD42CE">
              <w:rPr>
                <w:noProof/>
                <w:lang w:val="en-US"/>
              </w:rPr>
              <w:t>(IRENA, 2013)</w:t>
            </w:r>
            <w:r w:rsidRPr="00FD42CE">
              <w:rPr>
                <w:lang w:val="en-US"/>
              </w:rPr>
              <w:fldChar w:fldCharType="end"/>
            </w:r>
          </w:p>
        </w:tc>
      </w:tr>
    </w:tbl>
    <w:p w14:paraId="28E8A3FF" w14:textId="77777777" w:rsidR="001630EC" w:rsidRPr="006A158F" w:rsidRDefault="001630EC" w:rsidP="001630EC">
      <w:pPr>
        <w:rPr>
          <w:lang w:val="en-US"/>
        </w:rPr>
      </w:pPr>
    </w:p>
    <w:sectPr w:rsidR="001630EC" w:rsidRPr="006A15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B5270"/>
    <w:multiLevelType w:val="hybridMultilevel"/>
    <w:tmpl w:val="91DC10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B7"/>
    <w:rsid w:val="0006741A"/>
    <w:rsid w:val="00083AAC"/>
    <w:rsid w:val="000A0DA5"/>
    <w:rsid w:val="000C1A7D"/>
    <w:rsid w:val="00134F1F"/>
    <w:rsid w:val="00150344"/>
    <w:rsid w:val="001630EC"/>
    <w:rsid w:val="0018709E"/>
    <w:rsid w:val="001D6B5F"/>
    <w:rsid w:val="00207A2E"/>
    <w:rsid w:val="002845C3"/>
    <w:rsid w:val="0028668F"/>
    <w:rsid w:val="003353BC"/>
    <w:rsid w:val="00396091"/>
    <w:rsid w:val="00442C6E"/>
    <w:rsid w:val="00501E3B"/>
    <w:rsid w:val="00693319"/>
    <w:rsid w:val="006A158F"/>
    <w:rsid w:val="006B2662"/>
    <w:rsid w:val="006F4DB7"/>
    <w:rsid w:val="006F62E5"/>
    <w:rsid w:val="00747132"/>
    <w:rsid w:val="007A5D91"/>
    <w:rsid w:val="007F4113"/>
    <w:rsid w:val="008830A5"/>
    <w:rsid w:val="00923395"/>
    <w:rsid w:val="009404A5"/>
    <w:rsid w:val="00A139BA"/>
    <w:rsid w:val="00AA7A74"/>
    <w:rsid w:val="00AD2C9F"/>
    <w:rsid w:val="00B025FF"/>
    <w:rsid w:val="00BE15AF"/>
    <w:rsid w:val="00C866A3"/>
    <w:rsid w:val="00C916B2"/>
    <w:rsid w:val="00D20116"/>
    <w:rsid w:val="00DF4AEB"/>
    <w:rsid w:val="00E87715"/>
    <w:rsid w:val="00F047D9"/>
    <w:rsid w:val="00FB1F07"/>
    <w:rsid w:val="00FD42C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237A"/>
  <w15:chartTrackingRefBased/>
  <w15:docId w15:val="{2D733D18-FC9A-44E6-A7F9-653408DC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D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4DB7"/>
    <w:pPr>
      <w:ind w:left="720"/>
      <w:contextualSpacing/>
    </w:pPr>
  </w:style>
  <w:style w:type="table" w:styleId="PlainTable5">
    <w:name w:val="Plain Table 5"/>
    <w:basedOn w:val="TableNormal"/>
    <w:uiPriority w:val="45"/>
    <w:rsid w:val="00396091"/>
    <w:pPr>
      <w:spacing w:after="0" w:line="240" w:lineRule="auto"/>
    </w:pPr>
    <w:rPr>
      <w:rFonts w:ascii="Calibri" w:eastAsia="SimSun" w:hAnsi="Calibri" w:cs="Times New Roman"/>
      <w:sz w:val="20"/>
      <w:szCs w:val="20"/>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28668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A158F"/>
    <w:pPr>
      <w:spacing w:after="200" w:line="240" w:lineRule="auto"/>
    </w:pPr>
    <w:rPr>
      <w:i/>
      <w:iCs/>
      <w:color w:val="44546A" w:themeColor="text2"/>
      <w:sz w:val="18"/>
      <w:szCs w:val="18"/>
    </w:rPr>
  </w:style>
  <w:style w:type="table" w:styleId="PlainTable1">
    <w:name w:val="Plain Table 1"/>
    <w:basedOn w:val="TableNormal"/>
    <w:uiPriority w:val="41"/>
    <w:rsid w:val="003353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35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404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49286-46AE-4D6C-B6EC-0AB112DE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7182</Words>
  <Characters>43745</Characters>
  <Application>Microsoft Office Word</Application>
  <DocSecurity>0</DocSecurity>
  <Lines>754</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21</cp:revision>
  <cp:lastPrinted>2019-03-14T16:05:00Z</cp:lastPrinted>
  <dcterms:created xsi:type="dcterms:W3CDTF">2018-11-22T14:18:00Z</dcterms:created>
  <dcterms:modified xsi:type="dcterms:W3CDTF">2019-03-14T16:05:00Z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c41e82a6-2122-3844-9674-3327a640e945</vt:lpwstr>
  </property>
  <property fmtid="{D5CDD505-2E9C-101B-9397-08002B2CF9AE}" pid="4" name="Mendeley Citation Style_1">
    <vt:lpwstr>http://www.zotero.org/styles/copernicus-publications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http://www.zotero.org/styles/copernicus-publications</vt:lpwstr>
  </property>
  <property fmtid="{D5CDD505-2E9C-101B-9397-08002B2CF9AE}" pid="14" name="Mendeley Recent Style Name 4_1">
    <vt:lpwstr>Copernicus Publications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