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For the past several years Soil Survey Offices in the East Central Glaciated Region (11) have focused their work on the Soil Data Join and Recorrelation (SDJR) National Initiative. The goal of this Initiative has been to increase the consistency of the Soil SURvey GeOgraphic database (SSURGO) across political boundaries. A summary of the affected areas in Wisconsin are presented below. Fiscal year (FY) 2016 will be the last official year of the SDJR Initiative. After FY2016, MLRA projects will become the main focus of Soil Survey Offices in Region 11.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Fiscal Year</w:t>
            </w:r>
          </w:p>
        </w:tc>
        <w:tc>
          <w:tcPr>
            <w:tcBorders>
              <w:bottom w:val="single"/>
            </w:tcBorders>
            <w:vAlign w:val="bottom"/>
          </w:tcPr>
          <w:p>
            <w:pPr>
              <w:pStyle w:val="Compact"/>
              <w:jc w:val="left"/>
            </w:pPr>
            <w:r>
              <w:t xml:space="preserve">Updated Acres</w:t>
            </w:r>
          </w:p>
        </w:tc>
        <w:tc>
          <w:tcPr>
            <w:tcBorders>
              <w:bottom w:val="single"/>
            </w:tcBorders>
            <w:vAlign w:val="bottom"/>
          </w:tcPr>
          <w:p>
            <w:pPr>
              <w:pStyle w:val="Compact"/>
              <w:jc w:val="left"/>
            </w:pPr>
            <w:r>
              <w:t xml:space="preserve">Top 5 Soil Series Updated in Region 11</w:t>
            </w:r>
          </w:p>
        </w:tc>
      </w:tr>
      <w:tr>
        <w:tc>
          <w:p>
            <w:pPr>
              <w:pStyle w:val="Compact"/>
              <w:jc w:val="left"/>
            </w:pPr>
            <w:r>
              <w:t xml:space="preserve">2012</w:t>
            </w:r>
          </w:p>
        </w:tc>
        <w:tc>
          <w:p>
            <w:pPr>
              <w:pStyle w:val="Compact"/>
              <w:jc w:val="left"/>
            </w:pPr>
            <w:r>
              <w:t xml:space="preserve">254,404</w:t>
            </w:r>
          </w:p>
        </w:tc>
        <w:tc>
          <w:p>
            <w:pPr>
              <w:pStyle w:val="Compact"/>
              <w:jc w:val="left"/>
            </w:pPr>
            <w:r>
              <w:t xml:space="preserve">Emmet, Council, Water, Boone, Tarr</w:t>
            </w:r>
          </w:p>
        </w:tc>
      </w:tr>
      <w:tr>
        <w:tc>
          <w:p>
            <w:pPr>
              <w:pStyle w:val="Compact"/>
              <w:jc w:val="left"/>
            </w:pPr>
            <w:r>
              <w:t xml:space="preserve">2013</w:t>
            </w:r>
          </w:p>
        </w:tc>
        <w:tc>
          <w:p>
            <w:pPr>
              <w:pStyle w:val="Compact"/>
              <w:jc w:val="left"/>
            </w:pPr>
            <w:r>
              <w:t xml:space="preserve">879,593</w:t>
            </w:r>
          </w:p>
        </w:tc>
        <w:tc>
          <w:p>
            <w:pPr>
              <w:pStyle w:val="Compact"/>
              <w:jc w:val="left"/>
            </w:pPr>
            <w:r>
              <w:t xml:space="preserve">Kewaunee, Manawa, Hochheim, Poygan, Ashkum</w:t>
            </w:r>
          </w:p>
        </w:tc>
      </w:tr>
      <w:tr>
        <w:tc>
          <w:p>
            <w:pPr>
              <w:pStyle w:val="Compact"/>
              <w:jc w:val="left"/>
            </w:pPr>
            <w:r>
              <w:t xml:space="preserve">2014</w:t>
            </w:r>
          </w:p>
        </w:tc>
        <w:tc>
          <w:p>
            <w:pPr>
              <w:pStyle w:val="Compact"/>
              <w:jc w:val="left"/>
            </w:pPr>
            <w:r>
              <w:t xml:space="preserve">4,439,728</w:t>
            </w:r>
          </w:p>
        </w:tc>
        <w:tc>
          <w:p>
            <w:pPr>
              <w:pStyle w:val="Compact"/>
              <w:jc w:val="left"/>
            </w:pPr>
            <w:r>
              <w:t xml:space="preserve">Lupton, Plainfield, Newglarus, Withee, Loyal</w:t>
            </w:r>
          </w:p>
        </w:tc>
      </w:tr>
      <w:tr>
        <w:tc>
          <w:p>
            <w:pPr>
              <w:pStyle w:val="Compact"/>
              <w:jc w:val="left"/>
            </w:pPr>
            <w:r>
              <w:t xml:space="preserve">2015</w:t>
            </w:r>
          </w:p>
        </w:tc>
        <w:tc>
          <w:p>
            <w:pPr>
              <w:pStyle w:val="Compact"/>
              <w:jc w:val="left"/>
            </w:pPr>
            <w:r>
              <w:t xml:space="preserve">3,866,950</w:t>
            </w:r>
          </w:p>
        </w:tc>
        <w:tc>
          <w:p>
            <w:pPr>
              <w:pStyle w:val="Compact"/>
              <w:jc w:val="left"/>
            </w:pPr>
            <w:r>
              <w:t xml:space="preserve">Magnor, Dorerton, Houghton, Newglarus, Palsgrove</w:t>
            </w:r>
          </w:p>
        </w:tc>
      </w:tr>
      <w:tr>
        <w:tc>
          <w:p>
            <w:pPr>
              <w:pStyle w:val="Compact"/>
              <w:jc w:val="left"/>
            </w:pPr>
            <w:r>
              <w:t xml:space="preserve">2016</w:t>
            </w:r>
          </w:p>
        </w:tc>
        <w:tc>
          <w:p>
            <w:pPr>
              <w:pStyle w:val="Compact"/>
              <w:jc w:val="left"/>
            </w:pPr>
            <w:r>
              <w:t xml:space="preserve">5,074,506</w:t>
            </w:r>
          </w:p>
        </w:tc>
        <w:tc>
          <w:p>
            <w:pPr>
              <w:pStyle w:val="Compact"/>
              <w:jc w:val="left"/>
            </w:pPr>
            <w:r>
              <w:t xml:space="preserve">Freeon, Seaton, Rosholt, Pence, Padus</w:t>
            </w:r>
          </w:p>
        </w:tc>
      </w:tr>
      <w:tr>
        <w:tc>
          <w:p>
            <w:pPr>
              <w:pStyle w:val="Compact"/>
              <w:jc w:val="left"/>
            </w:pPr>
            <w:r>
              <w:t xml:space="preserve">2017</w:t>
            </w:r>
          </w:p>
        </w:tc>
        <w:tc>
          <w:p>
            <w:pPr>
              <w:pStyle w:val="Compact"/>
              <w:jc w:val="left"/>
            </w:pPr>
            <w:r>
              <w:t xml:space="preserve">1,878,454</w:t>
            </w:r>
          </w:p>
        </w:tc>
        <w:tc>
          <w:p>
            <w:pPr>
              <w:pStyle w:val="Compact"/>
              <w:jc w:val="left"/>
            </w:pPr>
            <w:r>
              <w:t xml:space="preserve">Kennan, Valton, Friendship, Keweenaw, Meehan</w:t>
            </w:r>
          </w:p>
        </w:tc>
      </w:tr>
    </w:tbl>
    <w:p>
      <w:pPr>
        <w:pStyle w:val="BodyText"/>
      </w:pPr>
      <w:r>
        <w:drawing>
          <wp:inline>
            <wp:extent cx="5334000" cy="4667250"/>
            <wp:effectExtent b="0" l="0" r="0" t="0"/>
            <wp:docPr descr="" id="1" name="Picture"/>
            <a:graphic>
              <a:graphicData uri="http://schemas.openxmlformats.org/drawingml/2006/picture">
                <pic:pic>
                  <pic:nvPicPr>
                    <pic:cNvPr descr="sdjr_progress_files/figure-docx/unnamed-chunk-2-1.png" id="0" name="Picture"/>
                    <pic:cNvPicPr>
                      <a:picLocks noChangeArrowheads="1" noChangeAspect="1"/>
                    </pic:cNvPicPr>
                  </pic:nvPicPr>
                  <pic:blipFill>
                    <a:blip r:embed="rId21"/>
                    <a:stretch>
                      <a:fillRect/>
                    </a:stretch>
                  </pic:blipFill>
                  <pic:spPr bwMode="auto">
                    <a:xfrm>
                      <a:off x="0" y="0"/>
                      <a:ext cx="5334000" cy="466725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d8fe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2018-02-21T22:06:01Z</dcterms:created>
  <dcterms:modified xsi:type="dcterms:W3CDTF">2018-02-21T22:06:01Z</dcterms:modified>
</cp:coreProperties>
</file>