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For the past several years Soil Survey Offices in the East Central Glaciated Region (11) have focused their work on the Soil Data Join and Recorrelation (SDJR) National Initiative. The goal of this Initiative has been to increase the consistency of the Soil SURvey GeOgraphic database (SSURGO) across political boundaries. A summary of the affected areas in Wisconsin are presented below. Fiscal year (FY) 2016 will be the last official year of the SDJR Initiative. After FY2016, MLRA projects will become the main focus of Soil Survey Offices in Region 11.</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Fiscal Year</w:t>
            </w:r>
          </w:p>
        </w:tc>
        <w:tc>
          <w:tcPr>
            <w:tcBorders>
              <w:bottom w:val="single"/>
            </w:tcBorders>
            <w:vAlign w:val="bottom"/>
          </w:tcPr>
          <w:p>
            <w:pPr>
              <w:pStyle w:val="Compact"/>
              <w:jc w:val="center"/>
            </w:pPr>
            <w:r>
              <w:t xml:space="preserve">Updated Acres</w:t>
            </w:r>
          </w:p>
        </w:tc>
        <w:tc>
          <w:tcPr>
            <w:tcBorders>
              <w:bottom w:val="single"/>
            </w:tcBorders>
            <w:vAlign w:val="bottom"/>
          </w:tcPr>
          <w:p>
            <w:pPr>
              <w:pStyle w:val="Compact"/>
              <w:jc w:val="center"/>
            </w:pPr>
            <w:r>
              <w:t xml:space="preserve">Top 5 Soil Series Updated in Region 11</w:t>
            </w:r>
          </w:p>
        </w:tc>
      </w:tr>
      <w:tr>
        <w:tc>
          <w:p>
            <w:pPr>
              <w:pStyle w:val="Compact"/>
              <w:jc w:val="center"/>
            </w:pPr>
            <w:r>
              <w:t xml:space="preserve">2012</w:t>
            </w:r>
          </w:p>
        </w:tc>
        <w:tc>
          <w:p>
            <w:pPr>
              <w:pStyle w:val="Compact"/>
              <w:jc w:val="center"/>
            </w:pPr>
            <w:r>
              <w:t xml:space="preserve">81,583</w:t>
            </w:r>
          </w:p>
        </w:tc>
        <w:tc>
          <w:p>
            <w:pPr>
              <w:pStyle w:val="Compact"/>
              <w:jc w:val="center"/>
            </w:pPr>
            <w:r>
              <w:t xml:space="preserve">Miami, NA, NA, NA, NA</w:t>
            </w:r>
          </w:p>
        </w:tc>
      </w:tr>
      <w:tr>
        <w:tc>
          <w:p>
            <w:pPr>
              <w:pStyle w:val="Compact"/>
              <w:jc w:val="center"/>
            </w:pPr>
            <w:r>
              <w:t xml:space="preserve">2013</w:t>
            </w:r>
          </w:p>
        </w:tc>
        <w:tc>
          <w:p>
            <w:pPr>
              <w:pStyle w:val="Compact"/>
              <w:jc w:val="center"/>
            </w:pPr>
            <w:r>
              <w:t xml:space="preserve">1,259,499</w:t>
            </w:r>
          </w:p>
        </w:tc>
        <w:tc>
          <w:p>
            <w:pPr>
              <w:pStyle w:val="Compact"/>
              <w:jc w:val="center"/>
            </w:pPr>
            <w:r>
              <w:t xml:space="preserve">Blount, Miami, Fincastle, Ockley, Milford</w:t>
            </w:r>
          </w:p>
        </w:tc>
      </w:tr>
      <w:tr>
        <w:tc>
          <w:p>
            <w:pPr>
              <w:pStyle w:val="Compact"/>
              <w:jc w:val="center"/>
            </w:pPr>
            <w:r>
              <w:t xml:space="preserve">2014</w:t>
            </w:r>
          </w:p>
        </w:tc>
        <w:tc>
          <w:p>
            <w:pPr>
              <w:pStyle w:val="Compact"/>
              <w:jc w:val="center"/>
            </w:pPr>
            <w:r>
              <w:t xml:space="preserve">2,189,848</w:t>
            </w:r>
          </w:p>
        </w:tc>
        <w:tc>
          <w:p>
            <w:pPr>
              <w:pStyle w:val="Compact"/>
              <w:jc w:val="center"/>
            </w:pPr>
            <w:r>
              <w:t xml:space="preserve">Crosby, Glynwood, Brookston, Avonburg, Reesville</w:t>
            </w:r>
          </w:p>
        </w:tc>
      </w:tr>
      <w:tr>
        <w:tc>
          <w:p>
            <w:pPr>
              <w:pStyle w:val="Compact"/>
              <w:jc w:val="center"/>
            </w:pPr>
            <w:r>
              <w:t xml:space="preserve">2015</w:t>
            </w:r>
          </w:p>
        </w:tc>
        <w:tc>
          <w:p>
            <w:pPr>
              <w:pStyle w:val="Compact"/>
              <w:jc w:val="center"/>
            </w:pPr>
            <w:r>
              <w:t xml:space="preserve">3,202,501</w:t>
            </w:r>
          </w:p>
        </w:tc>
        <w:tc>
          <w:p>
            <w:pPr>
              <w:pStyle w:val="Compact"/>
              <w:jc w:val="center"/>
            </w:pPr>
            <w:r>
              <w:t xml:space="preserve">Pewamo, Cobbsfork, Cyclone, Cincinnati, Treaty</w:t>
            </w:r>
          </w:p>
        </w:tc>
      </w:tr>
      <w:tr>
        <w:tc>
          <w:p>
            <w:pPr>
              <w:pStyle w:val="Compact"/>
              <w:jc w:val="center"/>
            </w:pPr>
            <w:r>
              <w:t xml:space="preserve">2016</w:t>
            </w:r>
          </w:p>
        </w:tc>
        <w:tc>
          <w:p>
            <w:pPr>
              <w:pStyle w:val="Compact"/>
              <w:jc w:val="center"/>
            </w:pPr>
            <w:r>
              <w:t xml:space="preserve">1,023,029</w:t>
            </w:r>
          </w:p>
        </w:tc>
        <w:tc>
          <w:p>
            <w:pPr>
              <w:pStyle w:val="Compact"/>
              <w:jc w:val="center"/>
            </w:pPr>
            <w:r>
              <w:t xml:space="preserve">Alford, Hosmer, Wakeland, Ozaukee, Fox</w:t>
            </w:r>
          </w:p>
        </w:tc>
      </w:tr>
    </w:tbl>
    <w:p>
      <w:pPr>
        <w:pStyle w:val="BodyText"/>
      </w:pPr>
      <w:r>
        <w:drawing>
          <wp:inline>
            <wp:extent cx="5334000" cy="2667000"/>
            <wp:effectExtent b="0" l="0" r="0" t="0"/>
            <wp:docPr descr="" id="1" name="Picture"/>
            <a:graphic>
              <a:graphicData uri="http://schemas.openxmlformats.org/drawingml/2006/picture">
                <pic:pic>
                  <pic:nvPicPr>
                    <pic:cNvPr descr="sdjr_progress_files/figure-docx/unnamed-chunk-1-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efb5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2017-07-18T18:03:43Z</dcterms:created>
  <dcterms:modified xsi:type="dcterms:W3CDTF">2017-07-18T18:03:43Z</dcterms:modified>
</cp:coreProperties>
</file>