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Missing forwarding evidence can reflect packet loss, contention or an unobserved transmission, making feedback design a joint problem of inference and airtime. We benchmark ACK-gated censored passive feedback against active proofs in 750 IEEE 802.15.4 runs on 30 new fixtures, with naive-passive, frozen-prior and capacity-matched policy controls. Under blackholes, delivery increases from 71.28% to 75.94%, a paired gain of 4.67 percentage points (95% interval 2.36–6.97; Holm-adjusted p=0.0161). Energy per delivered byte falls while total modeled radio energy rises slightly. The controls do not establish a unique censoring or attention advantage. A separate 180-run experiment tests frozen policies over authenticated messages and node-local records. Attention delivers 81.61% in benign conditions and 61.11% under selective dropping, without an established advantage over greedy or multilayer-perceptron routing. Serial-interface testing identifies and corrects a receive-time freshness error. Earlier UART-to-radio firmware runs on four emulated Cortex-M3 boards; neural inference and cryptography execute on the host PC. Each host-policy control delivers ten of ten packets. A further 240-run factorial study separates proof traffic from evidence handling; adding proofs reduces delivery by 6.11 percentage points with always-on listening. A four-node MCU emulation pilot executes live routing and authentication but misses the two tighter receipt deadlines. An exploratory 60–300 s extension exposes routing-energy exhaustion and increasing service debt. The contribution is a traceable comparison of feedback mechanisms and transport boundaries; the evidence does not establish sustained operation, physical-board performance, measured energy consumption or absolute deadline compliance.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A subsequent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We benchmark ACK-gated censored passive feedback against active proofs while retaining controls for missing-evidence penalties, evidence updating and policy capacity.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prespecified decision combines a blackhole delivery comparison against active proofs with delivery, critical-service and energy-efficiency margins against frozen-prior attention. Naive-passive and capacity-matched controls assess whether the outcome can be attributed specifically to censoring or policy architecture. An improvement over active proofs alone cannot establish either attribution.</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A separate four-node CC2538 pilot moves observation construction, frozen attention inference, hop HMAC, replay checks and signed-receipt processing into the compiled MCU image. The host triggers traffic and authenticated beacon exchange and records UART output; it does not choose ordinary next hops or seal ordinary data and receipts. Node-local cache, link estimates and service debts reconstruct the 93-element observation. The original three-hop chain and a geometry with two feasible source choices each offer ten packets. Table 10 separates these public-fixture runs from two longer, separately provisioned runs. These functional fixtures are not independent statistical replicates of the original benchmark.</w:t>
      </w:r>
    </w:p>
    <w:p>
      <w:pPr>
        <w:keepNext w:val="0"/>
        <w:pageBreakBefore w:val="0"/>
        <w:widowControl/>
        <w:spacing w:line="276" w:lineRule="auto" w:after="120"/>
      </w:pPr>
      <w:r>
        <w:t>Every MCU decision matches the frozen Python actor, and an independent feature reconstruction differs by less than 1e-4. Captured ordinary hop tags, source authenticators and sink signatures are checked independently. Exact replay, a corrupt hop tag, a corrupt source tag inside a valid hop envelope, and a forged sink signature inside a valid hop envelope are rejected. The longer version additionally rejects an authenticated stale boot session and repeated provisioning. It receives fresh random pairwise keys and a sink signing seed over the trusted emulator-control UART; a locked, persisted host allocator reserves new 64-bit boot sessions before startup. Private audit fixtures remain outside the public repository. These are emulator provisioning controls, not protected MCU storage or persistent device firmware.</w:t>
      </w:r>
    </w:p>
    <w:p>
      <w:pPr>
        <w:keepNext/>
        <w:pageBreakBefore w:val="0"/>
        <w:widowControl/>
        <w:spacing w:line="276" w:lineRule="auto" w:after="120"/>
      </w:pPr>
      <w:r>
        <w:t>Table 10. Live MCU pilot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531"/>
          </w:tcPr>
          <w:p>
            <w:pPr>
              <w:spacing w:before="60" w:after="60" w:line="240" w:lineRule="auto"/>
            </w:pPr>
            <w:r>
              <w:rPr>
                <w:rFonts w:ascii="Times New Roman" w:hAnsi="Times New Roman"/>
                <w:b/>
                <w:sz w:val="17"/>
              </w:rPr>
              <w:t>Topology</w:t>
            </w:r>
          </w:p>
        </w:tc>
        <w:tc>
          <w:tcPr>
            <w:tcW w:type="dxa" w:w="794"/>
          </w:tcPr>
          <w:p>
            <w:pPr>
              <w:spacing w:before="60" w:after="60" w:line="240" w:lineRule="auto"/>
            </w:pPr>
            <w:r>
              <w:rPr>
                <w:rFonts w:ascii="Times New Roman" w:hAnsi="Times New Roman"/>
                <w:b/>
                <w:sz w:val="17"/>
              </w:rPr>
              <w:t>Offered</w:t>
            </w:r>
          </w:p>
        </w:tc>
        <w:tc>
          <w:tcPr>
            <w:tcW w:type="dxa" w:w="1417"/>
          </w:tcPr>
          <w:p>
            <w:pPr>
              <w:spacing w:before="60" w:after="60" w:line="240" w:lineRule="auto"/>
            </w:pPr>
            <w:r>
              <w:rPr>
                <w:rFonts w:ascii="Times New Roman" w:hAnsi="Times New Roman"/>
                <w:b/>
                <w:sz w:val="17"/>
              </w:rPr>
              <w:t>Delivered / receipts</w:t>
            </w:r>
          </w:p>
        </w:tc>
        <w:tc>
          <w:tcPr>
            <w:tcW w:type="dxa" w:w="1247"/>
          </w:tcPr>
          <w:p>
            <w:pPr>
              <w:spacing w:before="60" w:after="60" w:line="240" w:lineRule="auto"/>
            </w:pPr>
            <w:r>
              <w:rPr>
                <w:rFonts w:ascii="Times New Roman" w:hAnsi="Times New Roman"/>
                <w:b/>
                <w:sz w:val="17"/>
              </w:rPr>
              <w:t>MCU decisions</w:t>
            </w:r>
          </w:p>
        </w:tc>
        <w:tc>
          <w:tcPr>
            <w:tcW w:type="dxa" w:w="1701"/>
          </w:tcPr>
          <w:p>
            <w:pPr>
              <w:spacing w:before="60" w:after="60" w:line="240" w:lineRule="auto"/>
            </w:pPr>
            <w:r>
              <w:rPr>
                <w:rFonts w:ascii="Times New Roman" w:hAnsi="Times New Roman"/>
                <w:b/>
                <w:sz w:val="17"/>
              </w:rPr>
              <w:t>Receipt delay (ms)</w:t>
            </w:r>
          </w:p>
        </w:tc>
        <w:tc>
          <w:tcPr>
            <w:tcW w:type="dxa" w:w="1191"/>
          </w:tcPr>
          <w:p>
            <w:pPr>
              <w:spacing w:before="60" w:after="60" w:line="240" w:lineRule="auto"/>
            </w:pPr>
            <w:r>
              <w:rPr>
                <w:rFonts w:ascii="Times New Roman" w:hAnsi="Times New Roman"/>
                <w:b/>
                <w:sz w:val="17"/>
              </w:rPr>
              <w:t>Deadline misses</w:t>
            </w:r>
          </w:p>
        </w:tc>
      </w:tr>
      <w:tr>
        <w:trPr>
          <w:cantSplit/>
        </w:trPr>
        <w:tc>
          <w:tcPr>
            <w:tcW w:type="dxa" w:w="1531"/>
          </w:tcPr>
          <w:p>
            <w:pPr>
              <w:spacing w:before="60" w:after="60" w:line="240" w:lineRule="auto"/>
            </w:pPr>
            <w:r>
              <w:rPr>
                <w:rFonts w:ascii="Times New Roman" w:hAnsi="Times New Roman"/>
                <w:b w:val="0"/>
                <w:sz w:val="17"/>
              </w:rPr>
              <w:t>Chain public</w:t>
            </w:r>
          </w:p>
        </w:tc>
        <w:tc>
          <w:tcPr>
            <w:tcW w:type="dxa" w:w="794"/>
          </w:tcPr>
          <w:p>
            <w:pPr>
              <w:spacing w:before="60" w:after="60" w:line="240" w:lineRule="auto"/>
            </w:pPr>
            <w:r>
              <w:rPr>
                <w:rFonts w:ascii="Times New Roman" w:hAnsi="Times New Roman"/>
                <w:b w:val="0"/>
                <w:sz w:val="17"/>
              </w:rPr>
              <w:t>10</w:t>
            </w:r>
          </w:p>
        </w:tc>
        <w:tc>
          <w:tcPr>
            <w:tcW w:type="dxa" w:w="1417"/>
          </w:tcPr>
          <w:p>
            <w:pPr>
              <w:spacing w:before="60" w:after="60" w:line="240" w:lineRule="auto"/>
            </w:pPr>
            <w:r>
              <w:rPr>
                <w:rFonts w:ascii="Times New Roman" w:hAnsi="Times New Roman"/>
                <w:b w:val="0"/>
                <w:sz w:val="17"/>
              </w:rPr>
              <w:t>10 / 10</w:t>
            </w:r>
          </w:p>
        </w:tc>
        <w:tc>
          <w:tcPr>
            <w:tcW w:type="dxa" w:w="1247"/>
          </w:tcPr>
          <w:p>
            <w:pPr>
              <w:spacing w:before="60" w:after="60" w:line="240" w:lineRule="auto"/>
            </w:pPr>
            <w:r>
              <w:rPr>
                <w:rFonts w:ascii="Times New Roman" w:hAnsi="Times New Roman"/>
                <w:b w:val="0"/>
                <w:sz w:val="17"/>
              </w:rPr>
              <w:t>30</w:t>
            </w:r>
          </w:p>
        </w:tc>
        <w:tc>
          <w:tcPr>
            <w:tcW w:type="dxa" w:w="1701"/>
          </w:tcPr>
          <w:p>
            <w:pPr>
              <w:spacing w:before="60" w:after="60" w:line="240" w:lineRule="auto"/>
            </w:pPr>
            <w:r>
              <w:rPr>
                <w:rFonts w:ascii="Times New Roman" w:hAnsi="Times New Roman"/>
                <w:b w:val="0"/>
                <w:sz w:val="17"/>
              </w:rPr>
              <w:t>1119–1128</w:t>
            </w:r>
          </w:p>
        </w:tc>
        <w:tc>
          <w:tcPr>
            <w:tcW w:type="dxa" w:w="1191"/>
          </w:tcPr>
          <w:p>
            <w:pPr>
              <w:spacing w:before="60" w:after="60" w:line="240" w:lineRule="auto"/>
            </w:pPr>
            <w:r>
              <w:rPr>
                <w:rFonts w:ascii="Times New Roman" w:hAnsi="Times New Roman"/>
                <w:b w:val="0"/>
                <w:sz w:val="17"/>
              </w:rPr>
              <w:t>7</w:t>
            </w:r>
          </w:p>
        </w:tc>
      </w:tr>
      <w:tr>
        <w:trPr>
          <w:cantSplit/>
        </w:trPr>
        <w:tc>
          <w:tcPr>
            <w:tcW w:type="dxa" w:w="1531"/>
          </w:tcPr>
          <w:p>
            <w:pPr>
              <w:spacing w:before="60" w:after="60" w:line="240" w:lineRule="auto"/>
            </w:pPr>
            <w:r>
              <w:rPr>
                <w:rFonts w:ascii="Times New Roman" w:hAnsi="Times New Roman"/>
                <w:b w:val="0"/>
                <w:sz w:val="17"/>
              </w:rPr>
              <w:t>Choice public</w:t>
            </w:r>
          </w:p>
        </w:tc>
        <w:tc>
          <w:tcPr>
            <w:tcW w:type="dxa" w:w="794"/>
          </w:tcPr>
          <w:p>
            <w:pPr>
              <w:spacing w:before="60" w:after="60" w:line="240" w:lineRule="auto"/>
            </w:pPr>
            <w:r>
              <w:rPr>
                <w:rFonts w:ascii="Times New Roman" w:hAnsi="Times New Roman"/>
                <w:b w:val="0"/>
                <w:sz w:val="17"/>
              </w:rPr>
              <w:t>10</w:t>
            </w:r>
          </w:p>
        </w:tc>
        <w:tc>
          <w:tcPr>
            <w:tcW w:type="dxa" w:w="1417"/>
          </w:tcPr>
          <w:p>
            <w:pPr>
              <w:spacing w:before="60" w:after="60" w:line="240" w:lineRule="auto"/>
            </w:pPr>
            <w:r>
              <w:rPr>
                <w:rFonts w:ascii="Times New Roman" w:hAnsi="Times New Roman"/>
                <w:b w:val="0"/>
                <w:sz w:val="17"/>
              </w:rPr>
              <w:t>10 / 10</w:t>
            </w:r>
          </w:p>
        </w:tc>
        <w:tc>
          <w:tcPr>
            <w:tcW w:type="dxa" w:w="1247"/>
          </w:tcPr>
          <w:p>
            <w:pPr>
              <w:spacing w:before="60" w:after="60" w:line="240" w:lineRule="auto"/>
            </w:pPr>
            <w:r>
              <w:rPr>
                <w:rFonts w:ascii="Times New Roman" w:hAnsi="Times New Roman"/>
                <w:b w:val="0"/>
                <w:sz w:val="17"/>
              </w:rPr>
              <w:t>20</w:t>
            </w:r>
          </w:p>
        </w:tc>
        <w:tc>
          <w:tcPr>
            <w:tcW w:type="dxa" w:w="1701"/>
          </w:tcPr>
          <w:p>
            <w:pPr>
              <w:spacing w:before="60" w:after="60" w:line="240" w:lineRule="auto"/>
            </w:pPr>
            <w:r>
              <w:rPr>
                <w:rFonts w:ascii="Times New Roman" w:hAnsi="Times New Roman"/>
                <w:b w:val="0"/>
                <w:sz w:val="17"/>
              </w:rPr>
              <w:t>915–922</w:t>
            </w:r>
          </w:p>
        </w:tc>
        <w:tc>
          <w:tcPr>
            <w:tcW w:type="dxa" w:w="1191"/>
          </w:tcPr>
          <w:p>
            <w:pPr>
              <w:spacing w:before="60" w:after="60" w:line="240" w:lineRule="auto"/>
            </w:pPr>
            <w:r>
              <w:rPr>
                <w:rFonts w:ascii="Times New Roman" w:hAnsi="Times New Roman"/>
                <w:b w:val="0"/>
                <w:sz w:val="17"/>
              </w:rPr>
              <w:t>7</w:t>
            </w:r>
          </w:p>
        </w:tc>
      </w:tr>
      <w:tr>
        <w:trPr>
          <w:cantSplit/>
        </w:trPr>
        <w:tc>
          <w:tcPr>
            <w:tcW w:type="dxa" w:w="1531"/>
          </w:tcPr>
          <w:p>
            <w:pPr>
              <w:spacing w:before="60" w:after="60" w:line="240" w:lineRule="auto"/>
            </w:pPr>
            <w:r>
              <w:rPr>
                <w:rFonts w:ascii="Times New Roman" w:hAnsi="Times New Roman"/>
                <w:b w:val="0"/>
                <w:sz w:val="17"/>
              </w:rPr>
              <w:t>Chain private</w:t>
            </w:r>
          </w:p>
        </w:tc>
        <w:tc>
          <w:tcPr>
            <w:tcW w:type="dxa" w:w="794"/>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247"/>
          </w:tcPr>
          <w:p>
            <w:pPr>
              <w:spacing w:before="60" w:after="60" w:line="240" w:lineRule="auto"/>
            </w:pPr>
            <w:r>
              <w:rPr>
                <w:rFonts w:ascii="Times New Roman" w:hAnsi="Times New Roman"/>
                <w:b w:val="0"/>
                <w:sz w:val="17"/>
              </w:rPr>
              <w:t>300</w:t>
            </w:r>
          </w:p>
        </w:tc>
        <w:tc>
          <w:tcPr>
            <w:tcW w:type="dxa" w:w="1701"/>
          </w:tcPr>
          <w:p>
            <w:pPr>
              <w:spacing w:before="60" w:after="60" w:line="240" w:lineRule="auto"/>
            </w:pPr>
            <w:r>
              <w:rPr>
                <w:rFonts w:ascii="Times New Roman" w:hAnsi="Times New Roman"/>
                <w:b w:val="0"/>
                <w:sz w:val="17"/>
              </w:rPr>
              <w:t>1134–1142</w:t>
            </w:r>
          </w:p>
        </w:tc>
        <w:tc>
          <w:tcPr>
            <w:tcW w:type="dxa" w:w="1191"/>
          </w:tcPr>
          <w:p>
            <w:pPr>
              <w:spacing w:before="60" w:after="60" w:line="240" w:lineRule="auto"/>
            </w:pPr>
            <w:r>
              <w:rPr>
                <w:rFonts w:ascii="Times New Roman" w:hAnsi="Times New Roman"/>
                <w:b w:val="0"/>
                <w:sz w:val="17"/>
              </w:rPr>
              <w:t>67</w:t>
            </w:r>
          </w:p>
        </w:tc>
      </w:tr>
      <w:tr>
        <w:trPr>
          <w:cantSplit/>
        </w:trPr>
        <w:tc>
          <w:tcPr>
            <w:tcW w:type="dxa" w:w="1531"/>
          </w:tcPr>
          <w:p>
            <w:pPr>
              <w:spacing w:before="60" w:after="60" w:line="240" w:lineRule="auto"/>
            </w:pPr>
            <w:r>
              <w:rPr>
                <w:rFonts w:ascii="Times New Roman" w:hAnsi="Times New Roman"/>
                <w:b w:val="0"/>
                <w:sz w:val="17"/>
              </w:rPr>
              <w:t>Choice private</w:t>
            </w:r>
          </w:p>
        </w:tc>
        <w:tc>
          <w:tcPr>
            <w:tcW w:type="dxa" w:w="794"/>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247"/>
          </w:tcPr>
          <w:p>
            <w:pPr>
              <w:spacing w:before="60" w:after="60" w:line="240" w:lineRule="auto"/>
            </w:pPr>
            <w:r>
              <w:rPr>
                <w:rFonts w:ascii="Times New Roman" w:hAnsi="Times New Roman"/>
                <w:b w:val="0"/>
                <w:sz w:val="17"/>
              </w:rPr>
              <w:t>200</w:t>
            </w:r>
          </w:p>
        </w:tc>
        <w:tc>
          <w:tcPr>
            <w:tcW w:type="dxa" w:w="1701"/>
          </w:tcPr>
          <w:p>
            <w:pPr>
              <w:spacing w:before="60" w:after="60" w:line="240" w:lineRule="auto"/>
            </w:pPr>
            <w:r>
              <w:rPr>
                <w:rFonts w:ascii="Times New Roman" w:hAnsi="Times New Roman"/>
                <w:b w:val="0"/>
                <w:sz w:val="17"/>
              </w:rPr>
              <w:t>925–931</w:t>
            </w:r>
          </w:p>
        </w:tc>
        <w:tc>
          <w:tcPr>
            <w:tcW w:type="dxa" w:w="1191"/>
          </w:tcPr>
          <w:p>
            <w:pPr>
              <w:spacing w:before="60" w:after="60" w:line="240" w:lineRule="auto"/>
            </w:pPr>
            <w:r>
              <w:rPr>
                <w:rFonts w:ascii="Times New Roman" w:hAnsi="Times New Roman"/>
                <w:b w:val="0"/>
                <w:sz w:val="17"/>
              </w:rPr>
              <w:t>67</w:t>
            </w:r>
          </w:p>
        </w:tc>
      </w:tr>
    </w:tbl>
    <w:p>
      <w:pPr>
        <w:keepNext w:val="0"/>
        <w:pageBreakBefore w:val="0"/>
        <w:widowControl/>
        <w:spacing w:line="276" w:lineRule="auto" w:after="120"/>
      </w:pPr>
      <w:r>
        <w:t>The first kernel evaluated masked candidates unnecessarily and allowed relay cache expiry; its failed development capture is retained. Skipping only masked computations restores the declared freshness behavior without changing weights or extending timing windows. The O2-compiled version uses a rolling source-identity replay window to support longer sequential streams; it does not establish deadline compliance. The original runs take 1119–1128 ms in the chain and 915–922 ms in the choice geometry; seven of ten receipts in each miss their 90 or 350 ms class budget. Table 10 reports the longer-run delays without treating delivery as real-time success. All times come from the Renode SysTick model, not a physical board measurement.</w:t>
      </w:r>
    </w:p>
    <w:p>
      <w:pPr>
        <w:keepNext w:val="0"/>
        <w:pageBreakBefore w:val="0"/>
        <w:widowControl/>
        <w:spacing w:line="276" w:lineRule="auto" w:after="120"/>
      </w:pPr>
      <w:r>
        <w:t>The pilot fixes source 0, sink 3 and four provisioned nodes, with sixteen pending records. Beacon energy and queue inputs are nominal, not measured telemetry; beacon scheduling is test-triggered. Longer streams test state reuse and replay-window progression rather than network-size scaling. Worst-case stack, overload, interference, autonomous rendezvous, real board startup, reboot-safe MCU storage and measured RF/energy remain outside this validation. The private-key version requires locally retained private fixtures for retrospective hop-tag audit; public-fixture captures remain fully inspectable. None of these runs supports a neural-superiority or deployment-readiness claim.</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benchmark supports replacing the tested active-proof mechanism within its prespecified margins. Because eligibility and expiry rules change together with control traffic, the observed difference cannot be assigned to proof airtime alone. Comparisons with naive passive and frozen prior do not establish a unique censoring effect after correction. Retaining the earlier unsuccessful architecture comparisons prevents the feedback result from being recast as evidence for neural-policy superiority.</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ACK-gated censored passive feedback passed the prespecified replacement test on 30 new fixtures, improving blackhole delivery over active proofs by 4.67 percentage points. The matched controls establish neither a unique censoring effect nor an attention advantage. In the separate 180-run authenticated transport study, frozen policies operate on received wire state and local service records without an established attention benefit. Serial-interface testing corrected a receive-time error, and four emulated Cortex-M3 boards execute the compiled UART-to-radio bridge while inference and cryptography run on the host in that earlier fixture. The 60–300 s extension exposes routing-energy exhaustion and increasing source debt. Together, these results define the benchmark’s supported feedback comparison and deployment boundary: absolute service compliance, physical-board operation, physical on-board policy/crypto execution and measured energy remain unvalidated. The 240-run factorial extension identifies a proof-traffic delivery penalty with always-on listening, while severe loss under periodic sleeping limits transfer of that finding. Isolated Cortex-M3 execution verifies actor outputs and cryptographic primitives, not a complete embedded radio system. A four-node emulated live-path pilot now performs routing and authentication inside the MCU, including longer private-key runs. Successful delivery does not establish real-time service: receipt delays exceed the two tighter class budgets.</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