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Controlled Feedback Comparisons and Adaptation Limits in Authenticated Wireless Sensor Routing</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Forwarding silence can reflect loss rather than misconduct, but censoring it also prevents missing observations from reversing earlier positive evidence. We examine this trade-off in a separately frozen 1,440-run Cooja factorial study and retain the earlier 750-, 180-, 240- and 600-run experiments. Twelve perturbed geometry blocks combine three retained checkpoints, two radio seeds per block, relay-identity permutations, both attacker positions, benign controls and two timing settings. Four matched arms vary missing-evidence penalties and proof generation while sharing ACK eligibility, expiry and positive-credit handling; an active-proof reference retains its legacy evidence semantics. With scheduled processing, enabling negative updates changes post-onset delivery by +21.170 percentage points (95% pointwise interval +14.410 to +27.834; Holm-adjusted p=0.005859). Enabling proof generation changes it by +1.017 percentage points (95% pointwise interval -0.826 to +2.906; Holm-adjusted p=0.668). Archive diagnostics find 7,023 risk-coordinate differences across 11,927 matched censored–frozen decisions without a relay-choice change; 1,010 of 4,800 offline risk interventions change actions. The O3 and LTO compiler profiles each miss 68 of 200 original signed-receipt deadlines. The contribution is auditable attribution of feedback and traffic interventions within a declared fixture family, rather than a new learning algorithm or a universal switching threshold. Public fixture keys, narrow geometry coverage and illustrative scheduled delays restrict security and deployment inference. Physical RF, measured energy and production protections are outside this simulation/emulation evaluation and remain unvalidated.</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The earlier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Feedback performance and failure boundaries</w:t>
      </w:r>
    </w:p>
    <w:p>
      <w:pPr>
        <w:keepNext w:val="0"/>
        <w:pageBreakBefore w:val="0"/>
        <w:widowControl/>
        <w:spacing w:line="276" w:lineRule="auto" w:after="120"/>
      </w:pPr>
      <w:r>
        <w:t>The benchmark examines when suppressing negative updates from missing evidence helps delivery and when it leaves a routing policy unable to revise earlier favorable evidence. ACK-gated censored passive feedback is compared with active proofs, naive passive feedback, frozen priors and capacity-matched policies.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original prespecified decision combines a blackhole delivery comparison against active proofs with delivery, critical-service and energy-efficiency margins against frozen-prior attention. Sections 5.10–5.11 add exploratory diagnostics and a separately frozen matched-factorial experiment. The latter isolates missing-evidence penalties and proof generation under common ACK, expiry and late-positive rules, while counterbalancing relay identity and attacker position. These are controlled comparisons and implementation checks; they do not establish a new learning algorithm, a universal operating boundary or production security.</w:t>
      </w:r>
    </w:p>
    <w:p>
      <w:pPr>
        <w:keepNext w:val="0"/>
        <w:pageBreakBefore w:val="0"/>
        <w:widowControl/>
        <w:spacing w:line="276" w:lineRule="auto" w:after="120"/>
      </w:pPr>
      <w:r>
        <w:t>A separate implementation stage evaluates frozen policies using authenticated messages and node-local transit records in 180 radio runs, followed by serial-interface, firmware-emulation and Cooja checks. Sections 2–4 retain the original feedback benchmark; Section 5 evaluates the changed transport and execution conditions. Section 6 connects the conditional gain and transfer failure without pooling their outcomes or treating their different observation models as an isolated causal contrast.</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A separately frozen compiler-only O3 pilot repeats one hundred packets in each topology with the same Q22 actor, signature-verification order and original deadlines. Both runs deliver all offered packets and source-verified Ed25519 receipts, and all five hundred decisions match the frozen reference. Signed delays are 331–344 ms in the chain and 239–247 ms in the choice geometry; each run still misses thirty-four deadlines. Seven authenticated negative controls pass per run. The Linux Renode run and historical Mac O2 run are descriptive diagnostics, not paired statistical replicates.</w:t>
      </w:r>
    </w:p>
    <w:p>
      <w:pPr>
        <w:keepNext w:val="0"/>
        <w:pageBreakBefore w:val="0"/>
        <w:widowControl/>
        <w:spacing w:line="276" w:lineRule="auto" w:after="120"/>
      </w:pPr>
      <w:r>
        <w:t>All sixty-eight misses are in the 90 ms critical class; neither of the other classes misses its deadline. UART stage records show median sink signing of 30 ms and median signature verification of 82 ms at the source and forwarding relays; per-call HMAC medians are 1 ms. These cryptographic stages dominate the emulated receipt path. The stage records include control operations and are descriptive emulator timings, not independent packet replicates or physical measurements. Compiler optimization therefore does not resolve the original deadline requirement. Public rechecking verifies all two hundred sink-generated signatures; private hop-tag rechecking requires the intentionally unexported ephemeral fixture keys.</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2"/>
        <w:keepNext/>
      </w:pPr>
      <w:r>
        <w:t>5.9 Cooja transfer and relay behavior change</w:t>
      </w:r>
    </w:p>
    <w:p>
      <w:pPr>
        <w:keepNext w:val="0"/>
        <w:pageBreakBefore w:val="0"/>
        <w:widowControl/>
        <w:spacing w:line="276" w:lineRule="auto" w:after="120"/>
      </w:pPr>
      <w:r>
        <w:t>A separate Cooja evaluation [25] runs the frozen Q22 actor and weighted feedback ledger inside four native Contiki-NG motes. Thirty new simulation seeds cross five arms, benign or post-warm-up blackhole behavior, and native or scheduled processing time: 600 runs and 36,000 offered packets. The source offers sixty packets at 300 ms intervals; two feasible relays connect it to the sink. All arms share geometry, traffic, authenticated beacons, nominal energy/queue inputs and the same checkpoint. Censored-plus-proof retains the censored evidence rule while enabling the active arm’s proof-generation rule; realized traffic can still differ as routes change. This is a four-node policy-transfer experiment, not a repetition of the original network-scale benchmark.</w:t>
      </w:r>
    </w:p>
    <w:p>
      <w:pPr>
        <w:keepNext w:val="0"/>
        <w:pageBreakBefore w:val="0"/>
        <w:widowControl/>
        <w:spacing w:line="276" w:lineRule="auto" w:after="120"/>
      </w:pPr>
      <w:r>
        <w:t>Actual CSMA callbacks supply first-hop MAC outcomes. A radio-driver hook observes successfully received forwarding frames before destination filtering, rather than reading simulator-held forwarding histories. Passive evidence has strength 0.5 and a signed sink receipt strength 1; the Python ledger independently replays ACK gating, 150 ms expiry, maximum-strength deduplication and late upgrades. Active proofs are authenticated hop messages emitted after successful downstream MAC outcomes. Public fixture keys support trace verification, not deployment secrecy. Sixteen local pending routes expire after two seconds; closed feedback records can remain eligible for late upgrades until their slots are reused.</w:t>
      </w:r>
    </w:p>
    <w:p>
      <w:pPr>
        <w:keepNext w:val="0"/>
        <w:pageBreakBefore w:val="0"/>
        <w:widowControl/>
        <w:spacing w:line="276" w:lineRule="auto" w:after="120"/>
      </w:pPr>
      <w:r>
        <w:t>Native execution does not account for Cortex-M3 instruction time. The delayed setting schedules outbound data after 14 ms, other outbound messages after 1 ms, received public receipts after 81 ms, sink data processing after 31 ms and other received frames after 1 ms. These per-packet assumptions do not model serial CPU service, overload or measured compute energy. Table 11 reports means over thirty seeds; Fig. 12 shows paired delivery contrasts, with a shared horizontal scale within each attack setting. Pointwise bootstrap intervals use 20,000 seed resamples. Two-sided paired sign-flip tests use 100,000 draws, with Holm adjustment across sixteen contrasts within each endpoint family. Delivery is primary; critical sink-deadline failures and total transmit-state duration form separate secondary families. Four direct matched-proof contrasts per endpoint were added after the protocol freeze as exploratory checks, with a separate Holm family; they do not alter primary inference.</w:t>
      </w:r>
    </w:p>
    <w:p>
      <w:pPr>
        <w:keepNext/>
        <w:pageBreakBefore w:val="0"/>
        <w:widowControl/>
        <w:spacing w:line="276" w:lineRule="auto" w:after="120"/>
      </w:pPr>
      <w:r>
        <w:t>Table 11. Cooja transfer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134"/>
          </w:tcPr>
          <w:p>
            <w:pPr>
              <w:spacing w:before="60" w:after="60" w:line="240" w:lineRule="auto"/>
            </w:pPr>
            <w:r>
              <w:rPr>
                <w:rFonts w:ascii="Times New Roman" w:hAnsi="Times New Roman"/>
                <w:b/>
                <w:sz w:val="17"/>
              </w:rPr>
              <w:t>Setting</w:t>
            </w:r>
          </w:p>
        </w:tc>
        <w:tc>
          <w:tcPr>
            <w:tcW w:type="dxa" w:w="1814"/>
          </w:tcPr>
          <w:p>
            <w:pPr>
              <w:spacing w:before="60" w:after="60" w:line="240" w:lineRule="auto"/>
            </w:pPr>
            <w:r>
              <w:rPr>
                <w:rFonts w:ascii="Times New Roman" w:hAnsi="Times New Roman"/>
                <w:b/>
                <w:sz w:val="17"/>
              </w:rPr>
              <w:t>Feedback arm</w:t>
            </w:r>
          </w:p>
        </w:tc>
        <w:tc>
          <w:tcPr>
            <w:tcW w:type="dxa" w:w="1474"/>
          </w:tcPr>
          <w:p>
            <w:pPr>
              <w:spacing w:before="60" w:after="60" w:line="240" w:lineRule="auto"/>
            </w:pPr>
            <w:r>
              <w:rPr>
                <w:rFonts w:ascii="Times New Roman" w:hAnsi="Times New Roman"/>
                <w:b/>
                <w:sz w:val="17"/>
              </w:rPr>
              <w:t>Delivery base (%)</w:t>
            </w:r>
          </w:p>
        </w:tc>
        <w:tc>
          <w:tcPr>
            <w:tcW w:type="dxa" w:w="1474"/>
          </w:tcPr>
          <w:p>
            <w:pPr>
              <w:spacing w:before="60" w:after="60" w:line="240" w:lineRule="auto"/>
            </w:pPr>
            <w:r>
              <w:rPr>
                <w:rFonts w:ascii="Times New Roman" w:hAnsi="Times New Roman"/>
                <w:b/>
                <w:sz w:val="17"/>
              </w:rPr>
              <w:t>Delivery delayed (%)</w:t>
            </w:r>
          </w:p>
        </w:tc>
        <w:tc>
          <w:tcPr>
            <w:tcW w:type="dxa" w:w="1701"/>
          </w:tcPr>
          <w:p>
            <w:pPr>
              <w:spacing w:before="60" w:after="60" w:line="240" w:lineRule="auto"/>
            </w:pPr>
            <w:r>
              <w:rPr>
                <w:rFonts w:ascii="Times New Roman" w:hAnsi="Times New Roman"/>
                <w:b/>
                <w:sz w:val="17"/>
              </w:rPr>
              <w:t>Critical failure delayed (%)</w:t>
            </w:r>
          </w:p>
        </w:tc>
        <w:tc>
          <w:tcPr>
            <w:tcW w:type="dxa" w:w="1134"/>
          </w:tcPr>
          <w:p>
            <w:pPr>
              <w:spacing w:before="60" w:after="60" w:line="240" w:lineRule="auto"/>
            </w:pPr>
            <w:r>
              <w:rPr>
                <w:rFonts w:ascii="Times New Roman" w:hAnsi="Times New Roman"/>
                <w:b/>
                <w:sz w:val="17"/>
              </w:rPr>
              <w:t>TX delayed (s)</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98.78</w:t>
            </w:r>
          </w:p>
        </w:tc>
        <w:tc>
          <w:tcPr>
            <w:tcW w:type="dxa" w:w="1474"/>
          </w:tcPr>
          <w:p>
            <w:pPr>
              <w:spacing w:before="60" w:after="60" w:line="240" w:lineRule="auto"/>
            </w:pPr>
            <w:r>
              <w:rPr>
                <w:rFonts w:ascii="Times New Roman" w:hAnsi="Times New Roman"/>
                <w:b w:val="0"/>
                <w:sz w:val="17"/>
              </w:rPr>
              <w:t>99.17</w:t>
            </w:r>
          </w:p>
        </w:tc>
        <w:tc>
          <w:tcPr>
            <w:tcW w:type="dxa" w:w="1701"/>
          </w:tcPr>
          <w:p>
            <w:pPr>
              <w:spacing w:before="60" w:after="60" w:line="240" w:lineRule="auto"/>
            </w:pPr>
            <w:r>
              <w:rPr>
                <w:rFonts w:ascii="Times New Roman" w:hAnsi="Times New Roman"/>
                <w:b w:val="0"/>
                <w:sz w:val="17"/>
              </w:rPr>
              <w:t>94.17</w:t>
            </w:r>
          </w:p>
        </w:tc>
        <w:tc>
          <w:tcPr>
            <w:tcW w:type="dxa" w:w="1134"/>
          </w:tcPr>
          <w:p>
            <w:pPr>
              <w:spacing w:before="60" w:after="60" w:line="240" w:lineRule="auto"/>
            </w:pPr>
            <w:r>
              <w:rPr>
                <w:rFonts w:ascii="Times New Roman" w:hAnsi="Times New Roman"/>
                <w:b w:val="0"/>
                <w:sz w:val="17"/>
              </w:rPr>
              <w:t>8.282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98.67</w:t>
            </w:r>
          </w:p>
        </w:tc>
        <w:tc>
          <w:tcPr>
            <w:tcW w:type="dxa" w:w="1474"/>
          </w:tcPr>
          <w:p>
            <w:pPr>
              <w:spacing w:before="60" w:after="60" w:line="240" w:lineRule="auto"/>
            </w:pPr>
            <w:r>
              <w:rPr>
                <w:rFonts w:ascii="Times New Roman" w:hAnsi="Times New Roman"/>
                <w:b w:val="0"/>
                <w:sz w:val="17"/>
              </w:rPr>
              <w:t>98.39</w:t>
            </w:r>
          </w:p>
        </w:tc>
        <w:tc>
          <w:tcPr>
            <w:tcW w:type="dxa" w:w="1701"/>
          </w:tcPr>
          <w:p>
            <w:pPr>
              <w:spacing w:before="60" w:after="60" w:line="240" w:lineRule="auto"/>
            </w:pPr>
            <w:r>
              <w:rPr>
                <w:rFonts w:ascii="Times New Roman" w:hAnsi="Times New Roman"/>
                <w:b w:val="0"/>
                <w:sz w:val="17"/>
              </w:rPr>
              <w:t>95.17</w:t>
            </w:r>
          </w:p>
        </w:tc>
        <w:tc>
          <w:tcPr>
            <w:tcW w:type="dxa" w:w="1134"/>
          </w:tcPr>
          <w:p>
            <w:pPr>
              <w:spacing w:before="60" w:after="60" w:line="240" w:lineRule="auto"/>
            </w:pPr>
            <w:r>
              <w:rPr>
                <w:rFonts w:ascii="Times New Roman" w:hAnsi="Times New Roman"/>
                <w:b w:val="0"/>
                <w:sz w:val="17"/>
              </w:rPr>
              <w:t>7.933</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98.50</w:t>
            </w:r>
          </w:p>
        </w:tc>
        <w:tc>
          <w:tcPr>
            <w:tcW w:type="dxa" w:w="1474"/>
          </w:tcPr>
          <w:p>
            <w:pPr>
              <w:spacing w:before="60" w:after="60" w:line="240" w:lineRule="auto"/>
            </w:pPr>
            <w:r>
              <w:rPr>
                <w:rFonts w:ascii="Times New Roman" w:hAnsi="Times New Roman"/>
                <w:b w:val="0"/>
                <w:sz w:val="17"/>
              </w:rPr>
              <w:t>98.72</w:t>
            </w:r>
          </w:p>
        </w:tc>
        <w:tc>
          <w:tcPr>
            <w:tcW w:type="dxa" w:w="1701"/>
          </w:tcPr>
          <w:p>
            <w:pPr>
              <w:spacing w:before="60" w:after="60" w:line="240" w:lineRule="auto"/>
            </w:pPr>
            <w:r>
              <w:rPr>
                <w:rFonts w:ascii="Times New Roman" w:hAnsi="Times New Roman"/>
                <w:b w:val="0"/>
                <w:sz w:val="17"/>
              </w:rPr>
              <w:t>94.50</w:t>
            </w:r>
          </w:p>
        </w:tc>
        <w:tc>
          <w:tcPr>
            <w:tcW w:type="dxa" w:w="1134"/>
          </w:tcPr>
          <w:p>
            <w:pPr>
              <w:spacing w:before="60" w:after="60" w:line="240" w:lineRule="auto"/>
            </w:pPr>
            <w:r>
              <w:rPr>
                <w:rFonts w:ascii="Times New Roman" w:hAnsi="Times New Roman"/>
                <w:b w:val="0"/>
                <w:sz w:val="17"/>
              </w:rPr>
              <w:t>8.277</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71.39</w:t>
            </w:r>
          </w:p>
        </w:tc>
        <w:tc>
          <w:tcPr>
            <w:tcW w:type="dxa" w:w="1474"/>
          </w:tcPr>
          <w:p>
            <w:pPr>
              <w:spacing w:before="60" w:after="60" w:line="240" w:lineRule="auto"/>
            </w:pPr>
            <w:r>
              <w:rPr>
                <w:rFonts w:ascii="Times New Roman" w:hAnsi="Times New Roman"/>
                <w:b w:val="0"/>
                <w:sz w:val="17"/>
              </w:rPr>
              <w:t>79.11</w:t>
            </w:r>
          </w:p>
        </w:tc>
        <w:tc>
          <w:tcPr>
            <w:tcW w:type="dxa" w:w="1701"/>
          </w:tcPr>
          <w:p>
            <w:pPr>
              <w:spacing w:before="60" w:after="60" w:line="240" w:lineRule="auto"/>
            </w:pPr>
            <w:r>
              <w:rPr>
                <w:rFonts w:ascii="Times New Roman" w:hAnsi="Times New Roman"/>
                <w:b w:val="0"/>
                <w:sz w:val="17"/>
              </w:rPr>
              <w:t>96.00</w:t>
            </w:r>
          </w:p>
        </w:tc>
        <w:tc>
          <w:tcPr>
            <w:tcW w:type="dxa" w:w="1134"/>
          </w:tcPr>
          <w:p>
            <w:pPr>
              <w:spacing w:before="60" w:after="60" w:line="240" w:lineRule="auto"/>
            </w:pPr>
            <w:r>
              <w:rPr>
                <w:rFonts w:ascii="Times New Roman" w:hAnsi="Times New Roman"/>
                <w:b w:val="0"/>
                <w:sz w:val="17"/>
              </w:rPr>
              <w:t>7.931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47.00</w:t>
            </w:r>
          </w:p>
        </w:tc>
        <w:tc>
          <w:tcPr>
            <w:tcW w:type="dxa" w:w="1474"/>
          </w:tcPr>
          <w:p>
            <w:pPr>
              <w:spacing w:before="60" w:after="60" w:line="240" w:lineRule="auto"/>
            </w:pPr>
            <w:r>
              <w:rPr>
                <w:rFonts w:ascii="Times New Roman" w:hAnsi="Times New Roman"/>
                <w:b w:val="0"/>
                <w:sz w:val="17"/>
              </w:rPr>
              <w:t>54.89</w:t>
            </w:r>
          </w:p>
        </w:tc>
        <w:tc>
          <w:tcPr>
            <w:tcW w:type="dxa" w:w="1701"/>
          </w:tcPr>
          <w:p>
            <w:pPr>
              <w:spacing w:before="60" w:after="60" w:line="240" w:lineRule="auto"/>
            </w:pPr>
            <w:r>
              <w:rPr>
                <w:rFonts w:ascii="Times New Roman" w:hAnsi="Times New Roman"/>
                <w:b w:val="0"/>
                <w:sz w:val="17"/>
              </w:rPr>
              <w:t>96.67</w:t>
            </w:r>
          </w:p>
        </w:tc>
        <w:tc>
          <w:tcPr>
            <w:tcW w:type="dxa" w:w="1134"/>
          </w:tcPr>
          <w:p>
            <w:pPr>
              <w:spacing w:before="60" w:after="60" w:line="240" w:lineRule="auto"/>
            </w:pPr>
            <w:r>
              <w:rPr>
                <w:rFonts w:ascii="Times New Roman" w:hAnsi="Times New Roman"/>
                <w:b w:val="0"/>
                <w:sz w:val="17"/>
              </w:rPr>
              <w:t>7.341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33.17</w:t>
            </w:r>
          </w:p>
        </w:tc>
        <w:tc>
          <w:tcPr>
            <w:tcW w:type="dxa" w:w="1474"/>
          </w:tcPr>
          <w:p>
            <w:pPr>
              <w:spacing w:before="60" w:after="60" w:line="240" w:lineRule="auto"/>
            </w:pPr>
            <w:r>
              <w:rPr>
                <w:rFonts w:ascii="Times New Roman" w:hAnsi="Times New Roman"/>
                <w:b w:val="0"/>
                <w:sz w:val="17"/>
              </w:rPr>
              <w:t>32.83</w:t>
            </w:r>
          </w:p>
        </w:tc>
        <w:tc>
          <w:tcPr>
            <w:tcW w:type="dxa" w:w="1701"/>
          </w:tcPr>
          <w:p>
            <w:pPr>
              <w:spacing w:before="60" w:after="60" w:line="240" w:lineRule="auto"/>
            </w:pPr>
            <w:r>
              <w:rPr>
                <w:rFonts w:ascii="Times New Roman" w:hAnsi="Times New Roman"/>
                <w:b w:val="0"/>
                <w:sz w:val="17"/>
              </w:rPr>
              <w:t>97.50</w:t>
            </w:r>
          </w:p>
        </w:tc>
        <w:tc>
          <w:tcPr>
            <w:tcW w:type="dxa" w:w="1134"/>
          </w:tcPr>
          <w:p>
            <w:pPr>
              <w:spacing w:before="60" w:after="60" w:line="240" w:lineRule="auto"/>
            </w:pPr>
            <w:r>
              <w:rPr>
                <w:rFonts w:ascii="Times New Roman" w:hAnsi="Times New Roman"/>
                <w:b w:val="0"/>
                <w:sz w:val="17"/>
              </w:rPr>
              <w:t>7.169</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bl>
    <w:p>
      <w:pPr>
        <w:keepNext w:val="0"/>
        <w:pageBreakBefore w:val="0"/>
        <w:widowControl/>
        <w:spacing w:line="276" w:lineRule="auto" w:after="120"/>
      </w:pPr>
      <w:r>
        <w:t>Delivery counts unique sink packets; critical failure includes missing critical packets or the sink application delivery event later than 90 ms. TX is the sum of modeled transmit-state seconds over all four motes, not energy. Base uses no added instruction-cost delay; the delayed column uses the declared processing assumptions. Full per-arm intervals, proof counts and adjusted contrasts are retained with the raw traces.</w:t>
      </w:r>
    </w:p>
    <w:p>
      <w:pPr>
        <w:keepNext w:val="0"/>
        <w:pageBreakBefore w:val="0"/>
        <w:widowControl/>
        <w:spacing w:line="276" w:lineRule="auto" w:after="120"/>
      </w:pPr>
      <w:r>
        <w:t>With scheduled processing and a blackhole relay, active proofs change delivery relative to censored feedback by +46.17 percentage points (95% paired interval +36.89 to +54.50; Holm-adjusted p=0.00016). Enabling proofs while retaining censored evidence changes delivery by -0.11 percentage points (95% paired interval -0.50 to +0.39; Holm-adjusted p=1). These are conditional transfer results; they neither replace the original Holm family nor establish a new neural-policy advantage. Across all captures, independent reconstruction differs by at most 1.19e-07 per feature, with maximum logit discrepancy 2.21e-06.</w:t>
      </w:r>
    </w:p>
    <w:p>
      <w:pPr>
        <w:keepNext w:val="0"/>
        <w:pageBreakBefore w:val="0"/>
        <w:widowControl/>
        <w:spacing w:line="276" w:lineRule="auto" w:after="120"/>
      </w:pPr>
      <w:r>
        <w:t>The four-node geometry, one source, fixed nominal energy/queue/LQI telemetry, public test keys and unicast beacon roster limit generalization. The fixed-point port quantizes float timestamps to integer milliseconds; a beacon can be excluded about 1 ms earlier than its ideal acquisition timestamp. The corrected auditor reproduces that representation without changing captures or outcomes. Energest state durations do not establish current or battery consumption, and MAC ACKs are not newly cryptographically authenticated. Censoring preserves earlier positive evidence when later observations are absent; recovery from a previously cooperative relay that becomes silent therefore depends on other routing inputs or additional evidence.</w:t>
      </w:r>
    </w:p>
    <w:p>
      <w:pPr>
        <w:keepNext/>
        <w:pageBreakBefore w:val="0"/>
        <w:widowControl/>
        <w:spacing w:line="276" w:lineRule="auto" w:after="120"/>
      </w:pPr>
      <w:r>
        <w:drawing>
          <wp:inline xmlns:a="http://schemas.openxmlformats.org/drawingml/2006/main" xmlns:pic="http://schemas.openxmlformats.org/drawingml/2006/picture">
            <wp:extent cx="5760000" cy="4514198"/>
            <wp:docPr id="12" name="Picture 12"/>
            <wp:cNvGraphicFramePr>
              <a:graphicFrameLocks noChangeAspect="1"/>
            </wp:cNvGraphicFramePr>
            <a:graphic>
              <a:graphicData uri="http://schemas.openxmlformats.org/drawingml/2006/picture">
                <pic:pic>
                  <pic:nvPicPr>
                    <pic:cNvPr id="0" name="fig12_cooja_paired_delivery.png"/>
                    <pic:cNvPicPr/>
                  </pic:nvPicPr>
                  <pic:blipFill>
                    <a:blip r:embed="rId21"/>
                    <a:stretch>
                      <a:fillRect/>
                    </a:stretch>
                  </pic:blipFill>
                  <pic:spPr>
                    <a:xfrm>
                      <a:off x="0" y="0"/>
                      <a:ext cx="5760000" cy="4514198"/>
                    </a:xfrm>
                    <a:prstGeom prst="rect"/>
                  </pic:spPr>
                </pic:pic>
              </a:graphicData>
            </a:graphic>
          </wp:inline>
        </w:drawing>
      </w:r>
    </w:p>
    <w:p>
      <w:pPr>
        <w:keepNext w:val="0"/>
        <w:pageBreakBefore w:val="0"/>
        <w:widowControl/>
        <w:spacing w:line="276" w:lineRule="auto" w:after="120"/>
      </w:pPr>
      <w:r>
        <w:t>Fig. 12. Paired Cooja delivery effects.</w:t>
      </w:r>
    </w:p>
    <w:p>
      <w:pPr>
        <w:pStyle w:val="Heading2"/>
        <w:keepNext/>
      </w:pPr>
      <w:r>
        <w:t>5.10 Archive diagnostics</w:t>
      </w:r>
    </w:p>
    <w:p>
      <w:pPr>
        <w:keepNext w:val="0"/>
        <w:pageBreakBefore w:val="0"/>
        <w:widowControl/>
        <w:spacing w:line="276" w:lineRule="auto" w:after="120"/>
      </w:pPr>
      <w:r>
        <w:t>The archived censored and frozen-prior captures are compared post hoc by simulation seed, attack/timing stratum, observer and packet identity. All 11,927 decisions across 120 paired runs match; no decision is unmatched. Risk coordinates and recorded valid logits differ in 7,023 decisions, while non-risk coordinates, candidate ordering and selected relays remain identical. The maximum paired valid-logit difference is 0.15597. Of 7,107 multi-choice decisions, 120 have exact top-logit ties in each arm; action equality is therefore not merely a consequence of single-candidate masks. Effective-count trajectories preserve all 143,928 archived feedback events. Figure 13 separates these descriptive counts from deadline outcomes. Equality of delivery is therefore accompanied by equality of recorded actions in this archive, rather than being used to infer it.</w:t>
      </w:r>
    </w:p>
    <w:p>
      <w:pPr>
        <w:keepNext w:val="0"/>
        <w:pageBreakBefore w:val="0"/>
        <w:widowControl/>
        <w:spacing w:line="276" w:lineRule="auto" w:after="120"/>
      </w:pPr>
      <w:r>
        <w:t>A deterministic grid intervenes on one candidate’s two risk coordinates at a time in 120 evenly spaced multi-choice source observations per attack/timing stratum. The five effective-count pairs are (1,1), (5,1), (20,1), (1,5) and (1,20); the retained candidate set and other coordinates are held fixed. The compiled Q22 actor changes its action in 1,010 of 4,800 interventions, with maximum logit change 0.18371. These are offline actor-sensitivity checks, not closed-loop delivery results, independent replicates or a test of candidate preselection. They show that the observed positive-count changes were insufficient to change choices, not that every risk input is ignored.</w:t>
      </w:r>
    </w:p>
    <w:p>
      <w:pPr>
        <w:keepNext w:val="0"/>
        <w:pageBreakBefore w:val="0"/>
        <w:widowControl/>
        <w:spacing w:line="276" w:lineRule="auto" w:after="120"/>
      </w:pPr>
      <w:r>
        <w:t>For benign censored runs with scheduled delays, 600 critical packets include thirty timely deliveries, 563 delivered-but-late packets and seven undelivered packets. The median sink application delay is 131 ms and source signed-receipt delay 382 ms over their respective received packets across all classes. Thus, most critical failures are lateness rather than loss. Sink arrival, application processing and reverse receipt timing remain distinct endpoints; high delivery does not establish the original 90 ms service target. Antecedent-event checks pass on all 600 archived runs, binding emitted feedback to prior received frames, processing readiness, own MAC outcomes and packet identities. They complement wire/ledger/policy audits rather than proving an independent RF model.</w:t>
      </w:r>
    </w:p>
    <w:p>
      <w:pPr>
        <w:keepNext/>
        <w:pageBreakBefore w:val="0"/>
        <w:widowControl/>
        <w:spacing w:line="276" w:lineRule="auto" w:after="120"/>
      </w:pPr>
      <w:r>
        <w:drawing>
          <wp:inline xmlns:a="http://schemas.openxmlformats.org/drawingml/2006/main" xmlns:pic="http://schemas.openxmlformats.org/drawingml/2006/picture">
            <wp:extent cx="5760000" cy="5393268"/>
            <wp:docPr id="13" name="Picture 13"/>
            <wp:cNvGraphicFramePr>
              <a:graphicFrameLocks noChangeAspect="1"/>
            </wp:cNvGraphicFramePr>
            <a:graphic>
              <a:graphicData uri="http://schemas.openxmlformats.org/drawingml/2006/picture">
                <pic:pic>
                  <pic:nvPicPr>
                    <pic:cNvPr id="0" name="fig13_feedback_diagnostics.png"/>
                    <pic:cNvPicPr/>
                  </pic:nvPicPr>
                  <pic:blipFill>
                    <a:blip r:embed="rId22"/>
                    <a:stretch>
                      <a:fillRect/>
                    </a:stretch>
                  </pic:blipFill>
                  <pic:spPr>
                    <a:xfrm>
                      <a:off x="0" y="0"/>
                      <a:ext cx="5760000" cy="5393268"/>
                    </a:xfrm>
                    <a:prstGeom prst="rect"/>
                  </pic:spPr>
                </pic:pic>
              </a:graphicData>
            </a:graphic>
          </wp:inline>
        </w:drawing>
      </w:r>
    </w:p>
    <w:p>
      <w:pPr>
        <w:keepNext w:val="0"/>
        <w:pageBreakBefore w:val="0"/>
        <w:widowControl/>
        <w:spacing w:line="276" w:lineRule="auto" w:after="120"/>
      </w:pPr>
      <w:r>
        <w:t>Fig. 13. Feedback and deadline diagnostics.</w:t>
      </w:r>
    </w:p>
    <w:p>
      <w:pPr>
        <w:pStyle w:val="Heading2"/>
        <w:keepNext/>
      </w:pPr>
      <w:r>
        <w:t>5.11 Matched feedback and counterbalanced transfer</w:t>
      </w:r>
    </w:p>
    <w:p>
      <w:pPr>
        <w:keepNext w:val="0"/>
        <w:pageBreakBefore w:val="0"/>
        <w:widowControl/>
        <w:spacing w:line="276" w:lineRule="auto" w:after="120"/>
      </w:pPr>
      <w:r>
        <w:t>The new protocol was committed before new radio outcomes as b24418008b318aa4a082e0a666c4a2196b5c994c; pre-primary-outcome amendment 40a933ee06b0dd1521f7de36d4b215f9f8d8b9d4 records GCC portability corrections after an excluded compile-only preflight failure. Twelve independently perturbed four-node geometries use three retained checkpoints. Each checkpoint covers onset packet 10 or 30 crossed with UDGM RX probability 0.9 or 1. Two radio seeds per block cross both relay-ID permutations, benign behavior or either physical attacker position, both timing settings and five arms: 1,440 runs. Perturbations are uniform within ±1 m around each original relay position. Source and sink remain fixed; the geometry family is narrow and the block factors are not fully crossed within each geometry. Relay-ID permutations also exchange the inherited 50 ms beacon-phase offsets and identity tie-breaking order. Both permutations are paired across arms rather than treated as interchangeable radio histories.</w:t>
      </w:r>
    </w:p>
    <w:p>
      <w:pPr>
        <w:keepNext w:val="0"/>
        <w:pageBreakBefore w:val="0"/>
        <w:widowControl/>
        <w:spacing w:line="276" w:lineRule="auto" w:after="120"/>
      </w:pPr>
      <w:r>
        <w:t>Four arms cross a missing-evidence failure increment with proof generation. Algorithm 1 and Fig. 2 retain the censored lifecycle; the negative-update arms add the declared failure increment at expiry. Figures 1 and 7 continue to describe their original simulation and host-transport stages, not a production deployment. All four require the observer’s own ACK, expire 150 ms after it, apply the same incremental clipped positive weight and admit late positive evidence until slot reuse. Missing-evidence penalties use the cached expected-link weight once at expiry. A late positive observation adds positive evidence without retracting that earlier penalty. Application offers and processing rules are fixed. Enabling proofs intentionally changes control airtime and the associated scheduled processing; these costs are part of that intervention. Proofs do not enter these four ledgers, and route-dependent realized proof counts can differ. The fifth arm retains legacy active-proof eligibility and expiry as a separate reference, with the shared stricter proof source/session/pending-route check. Public fixture keys exercise serialization and validation, not deployment secrecy. Native execution and overlapping per-packet scheduled delays retain the scope of Section 5.9.</w:t>
      </w:r>
    </w:p>
    <w:p>
      <w:pPr>
        <w:keepNext w:val="0"/>
        <w:pageBreakBefore w:val="0"/>
        <w:widowControl/>
        <w:spacing w:line="276" w:lineRule="auto" w:after="120"/>
      </w:pPr>
      <w:r>
        <w:t>The Cooja port uses 38 m to normalize sinkward progress in preselection and candidate features, whereas Eq. (1) describes the original 50 m benchmark normalization. Candidate progress is clipped to [−1, 1]; both source relay coordinates saturate at 1 throughout this narrow fixture family. Preselection still uses unclipped progress, and a geometry perturbation can admit an additional positive-progress relay-to-relay choice. Only sinkward candidates are retained. These inherited transfer rules, nominal telemetry and fixed sources are common across the matched arms; the experiment does not restore the original observation distribution or establish wide network-scale generalization.</w:t>
      </w:r>
    </w:p>
    <w:p>
      <w:pPr>
        <w:keepNext w:val="0"/>
        <w:pageBreakBefore w:val="0"/>
        <w:widowControl/>
        <w:spacing w:line="276" w:lineRule="auto" w:after="120"/>
      </w:pPr>
      <w:r>
        <w:t>The remediation questions were motivated by the archived failure; they are exploratory relative to the original study, with their own analysis prespecified before the new runs. Primary inference within this new family uses post-onset unique sink delivery in attacked runs. Each geometry block averages the two radio seeds, two identity permutations and two physical attacker positions within timing and arm. Negative-update and proof-generation main effects average their two corresponding simple effects; the interaction is the difference in differences. Pointwise 95% intervals use 20,000 paired geometry-block bootstrap resamples. Two-sided exhaustive sign-flip tests enumerate 4,096 sign assignments over twelve block differences, conditional on symmetric block effects; this is not a claim of randomized treatment allocation. Holm adjustment covers six primary contrasts, three per timing setting. Whole-run critical failures and total transmit-state seconds have separate six-contrast secondary families. No equivalence or noninferiority claim is made. Table 12 and Fig. 14 report the primary effects.</w:t>
      </w:r>
    </w:p>
    <w:p>
      <w:pPr>
        <w:keepNext/>
        <w:pageBreakBefore w:val="0"/>
        <w:widowControl/>
        <w:spacing w:line="276" w:lineRule="auto" w:after="120"/>
      </w:pPr>
      <w:r>
        <w:t>Table 12. Matched delivery effects.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814"/>
        <w:gridCol w:w="1814"/>
        <w:gridCol w:w="1814"/>
        <w:gridCol w:w="1814"/>
        <w:gridCol w:w="1814"/>
      </w:tblGrid>
      <w:tr>
        <w:trPr>
          <w:cantSplit/>
          <w:tblHeader/>
        </w:trPr>
        <w:tc>
          <w:tcPr>
            <w:tcW w:type="dxa" w:w="1361"/>
          </w:tcPr>
          <w:p>
            <w:pPr>
              <w:keepNext/>
              <w:spacing w:before="40" w:after="40" w:line="240" w:lineRule="auto"/>
            </w:pPr>
            <w:r>
              <w:rPr>
                <w:rFonts w:ascii="Times New Roman" w:hAnsi="Times New Roman"/>
                <w:b/>
                <w:sz w:val="18"/>
              </w:rPr>
              <w:t>Timing</w:t>
            </w:r>
          </w:p>
        </w:tc>
        <w:tc>
          <w:tcPr>
            <w:tcW w:type="dxa" w:w="1984"/>
          </w:tcPr>
          <w:p>
            <w:pPr>
              <w:keepNext/>
              <w:spacing w:before="40" w:after="40" w:line="240" w:lineRule="auto"/>
            </w:pPr>
            <w:r>
              <w:rPr>
                <w:rFonts w:ascii="Times New Roman" w:hAnsi="Times New Roman"/>
                <w:b/>
                <w:sz w:val="18"/>
              </w:rPr>
              <w:t>Contrast</w:t>
            </w:r>
          </w:p>
        </w:tc>
        <w:tc>
          <w:tcPr>
            <w:tcW w:type="dxa" w:w="1304"/>
          </w:tcPr>
          <w:p>
            <w:pPr>
              <w:keepNext/>
              <w:spacing w:before="40" w:after="40" w:line="240" w:lineRule="auto"/>
            </w:pPr>
            <w:r>
              <w:rPr>
                <w:rFonts w:ascii="Times New Roman" w:hAnsi="Times New Roman"/>
                <w:b/>
                <w:sz w:val="18"/>
              </w:rPr>
              <w:t>Effect (pp)</w:t>
            </w:r>
          </w:p>
        </w:tc>
        <w:tc>
          <w:tcPr>
            <w:tcW w:type="dxa" w:w="2381"/>
          </w:tcPr>
          <w:p>
            <w:pPr>
              <w:keepNext/>
              <w:spacing w:before="40" w:after="40" w:line="240" w:lineRule="auto"/>
            </w:pPr>
            <w:r>
              <w:rPr>
                <w:rFonts w:ascii="Times New Roman" w:hAnsi="Times New Roman"/>
                <w:b/>
                <w:sz w:val="18"/>
              </w:rPr>
              <w:t>95% interval (pp)</w:t>
            </w:r>
          </w:p>
        </w:tc>
        <w:tc>
          <w:tcPr>
            <w:tcW w:type="dxa" w:w="1134"/>
          </w:tcPr>
          <w:p>
            <w:pPr>
              <w:keepNext/>
              <w:spacing w:before="40" w:after="40" w:line="240" w:lineRule="auto"/>
            </w:pPr>
            <w:r>
              <w:rPr>
                <w:rFonts w:ascii="Times New Roman" w:hAnsi="Times New Roman"/>
                <w:b/>
                <w:sz w:val="18"/>
              </w:rPr>
              <w:t>Holm p</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+19.000</w:t>
            </w:r>
          </w:p>
        </w:tc>
        <w:tc>
          <w:tcPr>
            <w:tcW w:type="dxa" w:w="2381"/>
          </w:tcPr>
          <w:p>
            <w:pPr>
              <w:keepNext/>
              <w:spacing w:before="40" w:after="40" w:line="240" w:lineRule="auto"/>
            </w:pPr>
            <w:r>
              <w:rPr>
                <w:rFonts w:ascii="Times New Roman" w:hAnsi="Times New Roman"/>
                <w:b w:val="0"/>
                <w:sz w:val="18"/>
              </w:rPr>
              <w:t>[+11.073, +27.198]</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+0.597</w:t>
            </w:r>
          </w:p>
        </w:tc>
        <w:tc>
          <w:tcPr>
            <w:tcW w:type="dxa" w:w="2381"/>
          </w:tcPr>
          <w:p>
            <w:pPr>
              <w:keepNext/>
              <w:spacing w:before="40" w:after="40" w:line="240" w:lineRule="auto"/>
            </w:pPr>
            <w:r>
              <w:rPr>
                <w:rFonts w:ascii="Times New Roman" w:hAnsi="Times New Roman"/>
                <w:b w:val="0"/>
                <w:sz w:val="18"/>
              </w:rPr>
              <w:t>[-0.642, +1.865]</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Interaction</w:t>
            </w:r>
          </w:p>
        </w:tc>
        <w:tc>
          <w:tcPr>
            <w:tcW w:type="dxa" w:w="1304"/>
          </w:tcPr>
          <w:p>
            <w:pPr>
              <w:keepNext/>
              <w:spacing w:before="40" w:after="40" w:line="240" w:lineRule="auto"/>
            </w:pPr>
            <w:r>
              <w:rPr>
                <w:rFonts w:ascii="Times New Roman" w:hAnsi="Times New Roman"/>
                <w:b w:val="0"/>
                <w:sz w:val="18"/>
              </w:rPr>
              <w:t>+2.569</w:t>
            </w:r>
          </w:p>
        </w:tc>
        <w:tc>
          <w:tcPr>
            <w:tcW w:type="dxa" w:w="2381"/>
          </w:tcPr>
          <w:p>
            <w:pPr>
              <w:keepNext/>
              <w:spacing w:before="40" w:after="40" w:line="240" w:lineRule="auto"/>
            </w:pPr>
            <w:r>
              <w:rPr>
                <w:rFonts w:ascii="Times New Roman" w:hAnsi="Times New Roman"/>
                <w:b w:val="0"/>
                <w:sz w:val="18"/>
              </w:rPr>
              <w:t>[-0.028, +5.167]</w:t>
            </w:r>
          </w:p>
        </w:tc>
        <w:tc>
          <w:tcPr>
            <w:tcW w:type="dxa" w:w="1134"/>
          </w:tcPr>
          <w:p>
            <w:pPr>
              <w:keepNext/>
              <w:spacing w:before="40" w:after="40" w:line="240" w:lineRule="auto"/>
            </w:pPr>
            <w:r>
              <w:rPr>
                <w:rFonts w:ascii="Times New Roman" w:hAnsi="Times New Roman"/>
                <w:b w:val="0"/>
                <w:sz w:val="18"/>
              </w:rPr>
              <w:t>0.3555</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+21.170</w:t>
            </w:r>
          </w:p>
        </w:tc>
        <w:tc>
          <w:tcPr>
            <w:tcW w:type="dxa" w:w="2381"/>
          </w:tcPr>
          <w:p>
            <w:pPr>
              <w:keepNext/>
              <w:spacing w:before="40" w:after="40" w:line="240" w:lineRule="auto"/>
            </w:pPr>
            <w:r>
              <w:rPr>
                <w:rFonts w:ascii="Times New Roman" w:hAnsi="Times New Roman"/>
                <w:b w:val="0"/>
                <w:sz w:val="18"/>
              </w:rPr>
              <w:t>[+14.410, +27.834]</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+1.017</w:t>
            </w:r>
          </w:p>
        </w:tc>
        <w:tc>
          <w:tcPr>
            <w:tcW w:type="dxa" w:w="2381"/>
          </w:tcPr>
          <w:p>
            <w:pPr>
              <w:keepNext/>
              <w:spacing w:before="40" w:after="40" w:line="240" w:lineRule="auto"/>
            </w:pPr>
            <w:r>
              <w:rPr>
                <w:rFonts w:ascii="Times New Roman" w:hAnsi="Times New Roman"/>
                <w:b w:val="0"/>
                <w:sz w:val="18"/>
              </w:rPr>
              <w:t>[-0.826, +2.906]</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val="0"/>
              <w:spacing w:before="40" w:after="40" w:line="240" w:lineRule="auto"/>
            </w:pPr>
            <w:r>
              <w:rPr>
                <w:rFonts w:ascii="Times New Roman" w:hAnsi="Times New Roman"/>
                <w:b w:val="0"/>
                <w:sz w:val="18"/>
              </w:rPr>
              <w:t>Scheduled</w:t>
            </w:r>
          </w:p>
        </w:tc>
        <w:tc>
          <w:tcPr>
            <w:tcW w:type="dxa" w:w="1984"/>
          </w:tcPr>
          <w:p>
            <w:pPr>
              <w:keepNext w:val="0"/>
              <w:spacing w:before="40" w:after="40" w:line="240" w:lineRule="auto"/>
            </w:pPr>
            <w:r>
              <w:rPr>
                <w:rFonts w:ascii="Times New Roman" w:hAnsi="Times New Roman"/>
                <w:b w:val="0"/>
                <w:sz w:val="18"/>
              </w:rPr>
              <w:t>Interaction</w:t>
            </w:r>
          </w:p>
        </w:tc>
        <w:tc>
          <w:tcPr>
            <w:tcW w:type="dxa" w:w="1304"/>
          </w:tcPr>
          <w:p>
            <w:pPr>
              <w:keepNext w:val="0"/>
              <w:spacing w:before="40" w:after="40" w:line="240" w:lineRule="auto"/>
            </w:pPr>
            <w:r>
              <w:rPr>
                <w:rFonts w:ascii="Times New Roman" w:hAnsi="Times New Roman"/>
                <w:b w:val="0"/>
                <w:sz w:val="18"/>
              </w:rPr>
              <w:t>+2.563</w:t>
            </w:r>
          </w:p>
        </w:tc>
        <w:tc>
          <w:tcPr>
            <w:tcW w:type="dxa" w:w="2381"/>
          </w:tcPr>
          <w:p>
            <w:pPr>
              <w:keepNext w:val="0"/>
              <w:spacing w:before="40" w:after="40" w:line="240" w:lineRule="auto"/>
            </w:pPr>
            <w:r>
              <w:rPr>
                <w:rFonts w:ascii="Times New Roman" w:hAnsi="Times New Roman"/>
                <w:b w:val="0"/>
                <w:sz w:val="18"/>
              </w:rPr>
              <w:t>[-0.806, +6.271]</w:t>
            </w:r>
          </w:p>
        </w:tc>
        <w:tc>
          <w:tcPr>
            <w:tcW w:type="dxa" w:w="1134"/>
          </w:tcPr>
          <w:p>
            <w:pPr>
              <w:keepNext w:val="0"/>
              <w:spacing w:before="40" w:after="40" w:line="240" w:lineRule="auto"/>
            </w:pPr>
            <w:r>
              <w:rPr>
                <w:rFonts w:ascii="Times New Roman" w:hAnsi="Times New Roman"/>
                <w:b w:val="0"/>
                <w:sz w:val="18"/>
              </w:rPr>
              <w:t>0.6548</w:t>
            </w:r>
          </w:p>
        </w:tc>
      </w:tr>
    </w:tbl>
    <w:p>
      <w:pPr>
        <w:keepNext w:val="0"/>
        <w:pageBreakBefore w:val="0"/>
        <w:widowControl/>
        <w:spacing w:line="276" w:lineRule="auto" w:after="120"/>
      </w:pPr>
      <w:r>
        <w:t>2 of the six primary contrasts survive Holm correction: native negative update, scheduled negative update. The remaining contrasts do not establish equivalence or the absence of a practically relevant effect.</w:t>
      </w:r>
    </w:p>
    <w:p>
      <w:pPr>
        <w:keepNext w:val="0"/>
        <w:pageBreakBefore w:val="0"/>
        <w:widowControl/>
        <w:spacing w:line="276" w:lineRule="auto" w:after="120"/>
      </w:pPr>
      <w:r>
        <w:t>Effects use percentage points and equal geometry-block weight; packets are not independent replicates. Native means no added compute delay, not calibrated zero MCU processing cost. The intervention estimates include downstream routing and traffic consequences. The active reference is not part of the matched factorial family, and its additional comparisons remain exploratory. All source captures, compressed native images, case settings and checkpoint identities are rebound by hash before this manuscript integration; historical statistical families remain unchanged. Per-case audit acceptance denotes complete and consistent reconstruction, not perfect delivery or satisfaction of a service deadline; loss and lateness remain measured outcomes.</w:t>
      </w:r>
    </w:p>
    <w:p>
      <w:pPr>
        <w:keepNext/>
        <w:pageBreakBefore w:val="0"/>
        <w:widowControl/>
        <w:spacing w:line="276" w:lineRule="auto" w:after="120"/>
      </w:pPr>
      <w:r>
        <w:drawing>
          <wp:inline xmlns:a="http://schemas.openxmlformats.org/drawingml/2006/main" xmlns:pic="http://schemas.openxmlformats.org/drawingml/2006/picture">
            <wp:extent cx="5760000" cy="3473441"/>
            <wp:docPr id="14" name="Picture 14"/>
            <wp:cNvGraphicFramePr>
              <a:graphicFrameLocks noChangeAspect="1"/>
            </wp:cNvGraphicFramePr>
            <a:graphic>
              <a:graphicData uri="http://schemas.openxmlformats.org/drawingml/2006/picture">
                <pic:pic>
                  <pic:nvPicPr>
                    <pic:cNvPr id="0" name="fig14_matched_feedback_effects.png"/>
                    <pic:cNvPicPr/>
                  </pic:nvPicPr>
                  <pic:blipFill>
                    <a:blip r:embed="rId23"/>
                    <a:stretch>
                      <a:fillRect/>
                    </a:stretch>
                  </pic:blipFill>
                  <pic:spPr>
                    <a:xfrm>
                      <a:off x="0" y="0"/>
                      <a:ext cx="5760000" cy="3473441"/>
                    </a:xfrm>
                    <a:prstGeom prst="rect"/>
                  </pic:spPr>
                </pic:pic>
              </a:graphicData>
            </a:graphic>
          </wp:inline>
        </w:drawing>
      </w:r>
    </w:p>
    <w:p>
      <w:pPr>
        <w:keepNext w:val="0"/>
        <w:pageBreakBefore w:val="0"/>
        <w:widowControl/>
        <w:spacing w:line="276" w:lineRule="auto" w:after="120"/>
      </w:pPr>
      <w:r>
        <w:t>Fig. 14. Matched feedback effects.</w:t>
      </w:r>
    </w:p>
    <w:p>
      <w:pPr>
        <w:keepNext w:val="0"/>
        <w:pageBreakBefore w:val="0"/>
        <w:widowControl/>
        <w:spacing w:line="276" w:lineRule="auto" w:after="120"/>
      </w:pPr>
      <w:r>
        <w:t>Under scheduled processing, the numbers of attacked run settings meeting the fixed twenty-opportunity recovery criterion are censored 48/96; censored with proofs 48/96; negative update 68/96; negative update with proofs 72/96; active reference 69/96. Right-censored settings over the full available window are censored 48/96; censored with proofs 48/96; negative update 15/96; negative update with proofs 13/96; active reference 19/96. These are descriptive tallies over correlated seed, permutation and attacker settings, not additional independent experimental units. The retained secondary summary reports conditional confirmation latencies alongside censoring, cumulative post-onset losses, relay switches and proof frames/bytes. Feedback trajectories preserve effective counts and their heuristic risk coordinates; no observed recovery fraction is used to tune the policy or select an onset threshold.</w:t>
      </w:r>
    </w:p>
    <w:p>
      <w:pPr>
        <w:keepNext w:val="0"/>
        <w:pageBreakBefore w:val="0"/>
        <w:widowControl/>
        <w:spacing w:line="276" w:lineRule="auto" w:after="120"/>
      </w:pPr>
      <w:r>
        <w:t>An additional post-outcome exploratory aggregation conditions on selecting the attacker in the final pre-onset source decision. Within twenty opportunities, the counts are censored 0/48; censored with proofs 1/48; negative update 20/48; negative update with proofs 25/48; active reference 22/48. All forty-eight censored settings in this subgroup remain right-censored over the full remaining window. Among observed subgroup recoveries, median confirmation times are 4.8 s for negative updates, 4.5 s for negative updates with proofs and 4.5 s for the active reference; these conditional medians exclude fifteen, twelve and eighteen right-censored settings, respectively. They are descriptive, do not alter the primary family and do not establish safe downstream paths. Proof-enabled matched arms average 38.90 or 48.89 proof frames per attacked scheduled run under censored or negative updates, respectively; realized counts depend on routing.</w:t>
      </w:r>
    </w:p>
    <w:p>
      <w:pPr>
        <w:keepNext w:val="0"/>
        <w:pageBreakBefore w:val="0"/>
        <w:widowControl/>
        <w:spacing w:line="276" w:lineRule="auto" w:after="120"/>
      </w:pPr>
      <w:r>
        <w:t>Adaptation is assessed as the first three consecutive source choices avoiding the declared attacker, with right censoring when no such sequence occurs. Recovery within twenty packet opportunities uses the same fixed observation window for both onset settings; a single safe choice is not sustained recovery. The criterion includes source choices already avoiding the attacker at onset; meeting it does not by itself establish adaptation. Additional exploratory summaries stratify by the last pre-onset source choice and count post-onset switches. This is a routing-choice diagnostic rather than proof of subsequent delivery. The budget fixes twelve geometry blocks; it is not a power justification for declaring small effects absent. The small balanced fixture family, shared four-node graph, fixed source/sink, three checkpoints, public keys and nominal energy/queue telemetry limit transfer. Hop-authenticated relay claims also do not establish truthful forwarding by a malicious key holder, and the runtime router cannot access the independent auditor’s global trace.</w:t>
      </w:r>
    </w:p>
    <w:p>
      <w:pPr>
        <w:pStyle w:val="Heading2"/>
      </w:pPr>
      <w:r>
        <w:t>5.12 Compiler optimization and radio current sensitivity</w:t>
      </w:r>
    </w:p>
    <w:p>
      <w:pPr>
        <w:spacing w:line="276" w:lineRule="auto" w:after="120" w:before="0"/>
      </w:pPr>
      <w:r>
        <w:t>A further compiler diagnostic was frozen at commit b52842496dc625ad30ff95bdefad4c107366080e before execution in workflow 39179074994. Link-time optimization (LTO) and default loop optimization supplement O3; the Q22 actor, Ed25519 endpoint, clock model, traffic and 90/350/1500 ms deadlines remain unchanged. All 200 offered packets produce source-verified signed receipts, all 500 routing decisions match the frozen reference, and seven authenticated negative-control categories pass in each topology. Table 13 compares the retained diagnostics. These sequential runs use fresh private keys and are not independent statistical replicates of a compiler speedup.</w:t>
      </w:r>
    </w:p>
    <w:p>
      <w:pPr>
        <w:keepNext/>
        <w:spacing w:line="276" w:lineRule="auto" w:after="120" w:before="0"/>
      </w:pPr>
      <w:r>
        <w:t>Table 13. Signed receipt compiler diagnostics.</w:t>
      </w:r>
    </w:p>
    <w:tbl>
      <w:tblPr>
        <w:tblW w:type="auto" w:w="0"/>
        <w:tblLook w:firstColumn="1" w:firstRow="1" w:lastColumn="0" w:lastRow="0" w:noHBand="0" w:noVBand="1" w:val="04A0"/>
        <w:tblBorders>
          <w:top w:val="single" w:sz="4"/>
          <w:bottom w:val="single" w:sz="4"/>
          <w:insideH w:val="single" w:sz="4"/>
        </w:tblBorders>
      </w:tblPr>
      <w:tblGrid>
        <w:gridCol w:w="1814"/>
        <w:gridCol w:w="1814"/>
        <w:gridCol w:w="1814"/>
        <w:gridCol w:w="1814"/>
        <w:gridCol w:w="1814"/>
      </w:tblGrid>
      <w:tr>
        <w:trPr>
          <w:cantSplit/>
        </w:trPr>
        <w:tc>
          <w:tcPr>
            <w:tcW w:type="dxa" w:w="1814"/>
          </w:tcPr>
          <w:p>
            <w:pPr>
              <w:keepNext/>
            </w:pPr>
            <w:r>
              <w:rPr>
                <w:b/>
                <w:sz w:val="18"/>
              </w:rPr>
              <w:t>Profile</w:t>
            </w:r>
          </w:p>
        </w:tc>
        <w:tc>
          <w:tcPr>
            <w:tcW w:type="dxa" w:w="1814"/>
          </w:tcPr>
          <w:p>
            <w:pPr>
              <w:keepNext/>
            </w:pPr>
            <w:r>
              <w:rPr>
                <w:b/>
                <w:sz w:val="18"/>
              </w:rPr>
              <w:t>Topology</w:t>
            </w:r>
          </w:p>
        </w:tc>
        <w:tc>
          <w:tcPr>
            <w:tcW w:type="dxa" w:w="1814"/>
          </w:tcPr>
          <w:p>
            <w:pPr>
              <w:keepNext/>
            </w:pPr>
            <w:r>
              <w:rPr>
                <w:b/>
                <w:sz w:val="18"/>
              </w:rPr>
              <w:t>Signed delay (ms)</w:t>
            </w:r>
          </w:p>
        </w:tc>
        <w:tc>
          <w:tcPr>
            <w:tcW w:type="dxa" w:w="1814"/>
          </w:tcPr>
          <w:p>
            <w:pPr>
              <w:keepNext/>
            </w:pPr>
            <w:r>
              <w:rPr>
                <w:b/>
                <w:sz w:val="18"/>
              </w:rPr>
              <w:t>Misses / offered</w:t>
            </w:r>
          </w:p>
        </w:tc>
        <w:tc>
          <w:tcPr>
            <w:tcW w:type="dxa" w:w="1814"/>
          </w:tcPr>
          <w:p>
            <w:pPr>
              <w:keepNext/>
            </w:pPr>
            <w:r>
              <w:rPr>
                <w:b/>
                <w:sz w:val="18"/>
              </w:rPr>
              <w:t>Decisions</w:t>
            </w:r>
          </w:p>
        </w:tc>
      </w:tr>
      <w:tr>
        <w:trPr>
          <w:cantSplit/>
        </w:trPr>
        <w:tc>
          <w:tcPr>
            <w:tcW w:type="dxa" w:w="1814"/>
          </w:tcPr>
          <w:p>
            <w:pPr>
              <w:keepNext/>
            </w:pPr>
            <w:r>
              <w:rPr>
                <w:sz w:val="18"/>
              </w:rPr>
              <w:t>O3</w:t>
            </w:r>
          </w:p>
        </w:tc>
        <w:tc>
          <w:tcPr>
            <w:tcW w:type="dxa" w:w="1814"/>
          </w:tcPr>
          <w:p>
            <w:pPr>
              <w:keepNext/>
            </w:pPr>
            <w:r>
              <w:rPr>
                <w:sz w:val="18"/>
              </w:rPr>
              <w:t>Chain</w:t>
            </w:r>
          </w:p>
        </w:tc>
        <w:tc>
          <w:tcPr>
            <w:tcW w:type="dxa" w:w="1814"/>
          </w:tcPr>
          <w:p>
            <w:pPr>
              <w:keepNext/>
            </w:pPr>
            <w:r>
              <w:rPr>
                <w:sz w:val="18"/>
              </w:rPr>
              <w:t>331–344</w:t>
            </w:r>
          </w:p>
        </w:tc>
        <w:tc>
          <w:tcPr>
            <w:tcW w:type="dxa" w:w="1814"/>
          </w:tcPr>
          <w:p>
            <w:pPr>
              <w:keepNext/>
            </w:pPr>
            <w:r>
              <w:rPr>
                <w:sz w:val="18"/>
              </w:rPr>
              <w:t>34 / 100</w:t>
            </w:r>
          </w:p>
        </w:tc>
        <w:tc>
          <w:tcPr>
            <w:tcW w:type="dxa" w:w="1814"/>
          </w:tcPr>
          <w:p>
            <w:pPr>
              <w:keepNext/>
            </w:pPr>
            <w:r>
              <w:rPr>
                <w:sz w:val="18"/>
              </w:rPr>
              <w:t>300</w:t>
            </w:r>
          </w:p>
        </w:tc>
      </w:tr>
      <w:tr>
        <w:trPr>
          <w:cantSplit/>
        </w:trPr>
        <w:tc>
          <w:tcPr>
            <w:tcW w:type="dxa" w:w="1814"/>
          </w:tcPr>
          <w:p>
            <w:pPr>
              <w:keepNext/>
            </w:pPr>
            <w:r>
              <w:rPr>
                <w:sz w:val="18"/>
              </w:rPr>
              <w:t>O3</w:t>
            </w:r>
          </w:p>
        </w:tc>
        <w:tc>
          <w:tcPr>
            <w:tcW w:type="dxa" w:w="1814"/>
          </w:tcPr>
          <w:p>
            <w:pPr>
              <w:keepNext/>
            </w:pPr>
            <w:r>
              <w:rPr>
                <w:sz w:val="18"/>
              </w:rPr>
              <w:t>Choice</w:t>
            </w:r>
          </w:p>
        </w:tc>
        <w:tc>
          <w:tcPr>
            <w:tcW w:type="dxa" w:w="1814"/>
          </w:tcPr>
          <w:p>
            <w:pPr>
              <w:keepNext/>
            </w:pPr>
            <w:r>
              <w:rPr>
                <w:sz w:val="18"/>
              </w:rPr>
              <w:t>239–247</w:t>
            </w:r>
          </w:p>
        </w:tc>
        <w:tc>
          <w:tcPr>
            <w:tcW w:type="dxa" w:w="1814"/>
          </w:tcPr>
          <w:p>
            <w:pPr>
              <w:keepNext/>
            </w:pPr>
            <w:r>
              <w:rPr>
                <w:sz w:val="18"/>
              </w:rPr>
              <w:t>34 / 100</w:t>
            </w:r>
          </w:p>
        </w:tc>
        <w:tc>
          <w:tcPr>
            <w:tcW w:type="dxa" w:w="1814"/>
          </w:tcPr>
          <w:p>
            <w:pPr>
              <w:keepNext/>
            </w:pPr>
            <w:r>
              <w:rPr>
                <w:sz w:val="18"/>
              </w:rPr>
              <w:t>200</w:t>
            </w:r>
          </w:p>
        </w:tc>
      </w:tr>
      <w:tr>
        <w:trPr>
          <w:cantSplit/>
        </w:trPr>
        <w:tc>
          <w:tcPr>
            <w:tcW w:type="dxa" w:w="1814"/>
          </w:tcPr>
          <w:p>
            <w:pPr>
              <w:keepNext/>
            </w:pPr>
            <w:r>
              <w:rPr>
                <w:sz w:val="18"/>
              </w:rPr>
              <w:t>O3 + LTO</w:t>
            </w:r>
          </w:p>
        </w:tc>
        <w:tc>
          <w:tcPr>
            <w:tcW w:type="dxa" w:w="1814"/>
          </w:tcPr>
          <w:p>
            <w:pPr>
              <w:keepNext/>
            </w:pPr>
            <w:r>
              <w:rPr>
                <w:sz w:val="18"/>
              </w:rPr>
              <w:t>Chain</w:t>
            </w:r>
          </w:p>
        </w:tc>
        <w:tc>
          <w:tcPr>
            <w:tcW w:type="dxa" w:w="1814"/>
          </w:tcPr>
          <w:p>
            <w:pPr>
              <w:keepNext/>
            </w:pPr>
            <w:r>
              <w:rPr>
                <w:sz w:val="18"/>
              </w:rPr>
              <w:t>299–308</w:t>
            </w:r>
          </w:p>
        </w:tc>
        <w:tc>
          <w:tcPr>
            <w:tcW w:type="dxa" w:w="1814"/>
          </w:tcPr>
          <w:p>
            <w:pPr>
              <w:keepNext/>
            </w:pPr>
            <w:r>
              <w:rPr>
                <w:sz w:val="18"/>
              </w:rPr>
              <w:t>34 / 100</w:t>
            </w:r>
          </w:p>
        </w:tc>
        <w:tc>
          <w:tcPr>
            <w:tcW w:type="dxa" w:w="1814"/>
          </w:tcPr>
          <w:p>
            <w:pPr>
              <w:keepNext/>
            </w:pPr>
            <w:r>
              <w:rPr>
                <w:sz w:val="18"/>
              </w:rPr>
              <w:t>300</w:t>
            </w:r>
          </w:p>
        </w:tc>
      </w:tr>
      <w:tr>
        <w:trPr>
          <w:cantSplit/>
        </w:trPr>
        <w:tc>
          <w:tcPr>
            <w:tcW w:type="dxa" w:w="1814"/>
          </w:tcPr>
          <w:p>
            <w:pPr>
              <w:keepNext/>
            </w:pPr>
            <w:r>
              <w:rPr>
                <w:sz w:val="18"/>
              </w:rPr>
              <w:t>O3 + LTO</w:t>
            </w:r>
          </w:p>
        </w:tc>
        <w:tc>
          <w:tcPr>
            <w:tcW w:type="dxa" w:w="1814"/>
          </w:tcPr>
          <w:p>
            <w:pPr>
              <w:keepNext/>
            </w:pPr>
            <w:r>
              <w:rPr>
                <w:sz w:val="18"/>
              </w:rPr>
              <w:t>Choice</w:t>
            </w:r>
          </w:p>
        </w:tc>
        <w:tc>
          <w:tcPr>
            <w:tcW w:type="dxa" w:w="1814"/>
          </w:tcPr>
          <w:p>
            <w:pPr>
              <w:keepNext/>
            </w:pPr>
            <w:r>
              <w:rPr>
                <w:sz w:val="18"/>
              </w:rPr>
              <w:t>213–220</w:t>
            </w:r>
          </w:p>
        </w:tc>
        <w:tc>
          <w:tcPr>
            <w:tcW w:type="dxa" w:w="1814"/>
          </w:tcPr>
          <w:p>
            <w:pPr>
              <w:keepNext/>
            </w:pPr>
            <w:r>
              <w:rPr>
                <w:sz w:val="18"/>
              </w:rPr>
              <w:t>34 / 100</w:t>
            </w:r>
          </w:p>
        </w:tc>
        <w:tc>
          <w:tcPr>
            <w:tcW w:type="dxa" w:w="1814"/>
          </w:tcPr>
          <w:p>
            <w:pPr>
              <w:keepNext/>
            </w:pPr>
            <w:r>
              <w:rPr>
                <w:sz w:val="18"/>
              </w:rPr>
              <w:t>200</w:t>
            </w:r>
          </w:p>
        </w:tc>
      </w:tr>
    </w:tbl>
    <w:p>
      <w:pPr>
        <w:spacing w:line="276" w:lineRule="auto" w:after="120" w:before="0"/>
      </w:pPr>
      <w:r>
        <w:t>The LTO profile still misses every critical-class deadline: 34/100 packets in each topology. Packet-matched sink signing plus source signature verification occupies at least 104 ms in the chain and 105 ms in the choice geometry; both medians are 106 ms. These two serial dependencies alone exceed 90 ms before relay verification, routing and radio overhead are added. The observations describe this emulator and implementation; they are not universal lower bounds on Ed25519 or physical-device timing. Independent public-key checks verify all 200 sink signatures, match all 200 accepted source receipts to received signed frames, and reject 200 one-bit signature mutations. Private hop tags cannot be retrospectively reverified without the intentionally unexported per-run secrets.</w:t>
      </w:r>
    </w:p>
    <w:p>
      <w:pPr>
        <w:spacing w:line="276" w:lineRule="auto" w:after="120" w:before="0"/>
      </w:pPr>
      <w:r>
        <w:t>A separate exploratory reanalysis checks all 600 retained historical Cooja runs: thirty seeds per attack, timing and feedback-arm stratum, 2,400 final node records and 36,000 offered packets. Every decompressed capture matches its archived hash; transmit/listen state accounting and source/sink endpoint counts match the retained audits. No new simulations are represented by this reanalysis. Fig. 15 relates descriptive delivery means to summed node transmit time. The original active and censored arms retain their historical semantic differences; this plot is not a substitute for the matched-factorial inference in Section 5.11.</w:t>
      </w:r>
    </w:p>
    <w:p>
      <w:pPr>
        <w:keepNext/>
        <w:spacing w:line="276" w:lineRule="auto" w:after="120" w:before="0"/>
      </w:pPr>
      <w:r>
        <w:drawing>
          <wp:inline xmlns:a="http://schemas.openxmlformats.org/drawingml/2006/main" xmlns:pic="http://schemas.openxmlformats.org/drawingml/2006/picture">
            <wp:extent cx="5669280" cy="3779520"/>
            <wp:docPr id="15" name="Picture 15"/>
            <wp:cNvGraphicFramePr>
              <a:graphicFrameLocks noChangeAspect="1"/>
            </wp:cNvGraphicFramePr>
            <a:graphic>
              <a:graphicData uri="http://schemas.openxmlformats.org/drawingml/2006/picture">
                <pic:pic>
                  <pic:nvPicPr>
                    <pic:cNvPr id="0" name="fig15_radio_delivery.png"/>
                    <pic:cNvPicPr/>
                  </pic:nvPicPr>
                  <pic:blipFill>
                    <a:blip r:embed="rId24"/>
                    <a:stretch>
                      <a:fillRect/>
                    </a:stretch>
                  </pic:blipFill>
                  <pic:spPr>
                    <a:xfrm>
                      <a:off x="0" y="0"/>
                      <a:ext cx="5669280" cy="3779520"/>
                    </a:xfrm>
                    <a:prstGeom prst="rect"/>
                  </pic:spPr>
                </pic:pic>
              </a:graphicData>
            </a:graphic>
          </wp:inline>
        </w:drawing>
      </w:r>
    </w:p>
    <w:p>
      <w:pPr>
        <w:spacing w:line="276" w:lineRule="auto" w:after="120" w:before="0"/>
      </w:pPr>
      <w:r>
        <w:t>Fig. 15. Delivery and transmit airtime.</w:t>
      </w:r>
    </w:p>
    <w:p>
      <w:pPr>
        <w:spacing w:line="276" w:lineRule="auto" w:after="120" w:before="0"/>
      </w:pPr>
      <w:r>
        <w:t xml:space="preserve">For a common supply voltage V (volts) and constant listen current </w:t>
      </w:r>
      <w:r>
        <w:t>I</w:t>
      </w:r>
      <w:r>
        <w:rPr>
          <w:vertAlign w:val="subscript"/>
        </w:rPr>
        <w:t>L</w:t>
      </w:r>
      <w:r>
        <w:t xml:space="preserve"> (amperes) across nodes, the radio-only model is </w:t>
      </w:r>
      <w:r>
        <w:t>E</w:t>
      </w:r>
      <w:r>
        <w:rPr>
          <w:vertAlign w:val="subscript"/>
        </w:rPr>
        <w:t>radio</w:t>
      </w:r>
      <w:r>
        <w:t xml:space="preserve"> = V </w:t>
      </w:r>
      <w:r>
        <w:t>I</w:t>
      </w:r>
      <w:r>
        <w:rPr>
          <w:vertAlign w:val="subscript"/>
        </w:rPr>
        <w:t>L</w:t>
      </w:r>
      <w:r>
        <w:t xml:space="preserve"> (</w:t>
      </w:r>
      <w:r>
        <w:t>T</w:t>
      </w:r>
      <w:r>
        <w:rPr>
          <w:vertAlign w:val="subscript"/>
        </w:rPr>
        <w:t>L</w:t>
      </w:r>
      <w:r>
        <w:t xml:space="preserve"> + r </w:t>
      </w:r>
      <w:r>
        <w:t>T</w:t>
      </w:r>
      <w:r>
        <w:rPr>
          <w:vertAlign w:val="subscript"/>
        </w:rPr>
        <w:t>TX</w:t>
      </w:r>
      <w:r>
        <w:t xml:space="preserve">), where </w:t>
      </w:r>
      <w:r>
        <w:t>T</w:t>
      </w:r>
      <w:r>
        <w:rPr>
          <w:vertAlign w:val="subscript"/>
        </w:rPr>
        <w:t>L</w:t>
      </w:r>
      <w:r>
        <w:t xml:space="preserve"> and </w:t>
      </w:r>
      <w:r>
        <w:t>T</w:t>
      </w:r>
      <w:r>
        <w:rPr>
          <w:vertAlign w:val="subscript"/>
        </w:rPr>
        <w:t>TX</w:t>
      </w:r>
      <w:r>
        <w:t xml:space="preserve"> are summed node state durations in seconds and r = </w:t>
      </w:r>
      <w:r>
        <w:t>I</w:t>
      </w:r>
      <w:r>
        <w:rPr>
          <w:vertAlign w:val="subscript"/>
        </w:rPr>
        <w:t>TX</w:t>
      </w:r>
      <w:r>
        <w:t>/</w:t>
      </w:r>
      <w:r>
        <w:t>I</w:t>
      </w:r>
      <w:r>
        <w:rPr>
          <w:vertAlign w:val="subscript"/>
        </w:rPr>
        <w:t>L</w:t>
      </w:r>
      <w:r>
        <w:t xml:space="preserve"> is dimensionless. Fig. 16 varies the assumed ratio over 0.5, 1, 2 and 3. The plotted relative values require no assumed absolute current or voltage. At r = 1, every arm has equal radio energy over the always-on accounting window; rankings can reverse across this point. CPU, cryptography, sensing, regulator and host consumption are excluded. These are conditional model calculations, not measured currents, joules or battery lifetimes. Coincident plot markers indicate equal means.</w:t>
      </w:r>
    </w:p>
    <w:p>
      <w:pPr>
        <w:keepNext/>
        <w:spacing w:line="276" w:lineRule="auto" w:after="120" w:before="0"/>
      </w:pPr>
      <w:r>
        <w:drawing>
          <wp:inline xmlns:a="http://schemas.openxmlformats.org/drawingml/2006/main" xmlns:pic="http://schemas.openxmlformats.org/drawingml/2006/picture">
            <wp:extent cx="5669280" cy="2204720"/>
            <wp:docPr id="16" name="Picture 16"/>
            <wp:cNvGraphicFramePr>
              <a:graphicFrameLocks noChangeAspect="1"/>
            </wp:cNvGraphicFramePr>
            <a:graphic>
              <a:graphicData uri="http://schemas.openxmlformats.org/drawingml/2006/picture">
                <pic:pic>
                  <pic:nvPicPr>
                    <pic:cNvPr id="0" name="fig16_assumed_current_sensitivity.png"/>
                    <pic:cNvPicPr/>
                  </pic:nvPicPr>
                  <pic:blipFill>
                    <a:blip r:embed="rId25"/>
                    <a:stretch>
                      <a:fillRect/>
                    </a:stretch>
                  </pic:blipFill>
                  <pic:spPr>
                    <a:xfrm>
                      <a:off x="0" y="0"/>
                      <a:ext cx="5669280" cy="2204720"/>
                    </a:xfrm>
                    <a:prstGeom prst="rect"/>
                  </pic:spPr>
                </pic:pic>
              </a:graphicData>
            </a:graphic>
          </wp:inline>
        </w:drawing>
      </w:r>
    </w:p>
    <w:p>
      <w:pPr>
        <w:spacing w:line="276" w:lineRule="auto" w:after="120" w:before="0"/>
      </w:pPr>
      <w:r>
        <w:t>Fig. 16. Assumed radio current sensitivity.</w:t>
      </w:r>
    </w:p>
    <w:p>
      <w:pPr>
        <w:spacing w:line="276" w:lineRule="auto" w:after="120" w:before="0"/>
      </w:pPr>
      <w:r>
        <w:t>The evaluated scope ends at radio simulation and compiled-MCU emulation. Physical RF/current acquisition, protected device keys, authenticated physical provisioning, firmware authenticity and reset-safe MCU persistence are outside that scope and have not been validated. The benchmark records virtual endpoint behavior, including deadline failures; it does not certify deployment readiness. Native Cooja scheduling assumptions provide neither a serial CPU model nor physical calibration.</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evidence supports a conditional feedback comparison. Censored feedback meets the original 750-run decision rule, yet loses substantially to active proofs in the separate delayed Cooja blackhole setting. These studies differ in topology, traffic, state construction and execution, so their contrast does not identify behavior change as the sole cause. Within Cooja, the censored-plus-proof control tests whether enabling proof generation under the retained censored rule restores delivery; it does not. Eligibility and expiry semantics still differ between active and censored arms, preventing attribution of the full gap to one update rule. Section 5.11 removes the stated ACK/expiry/late-positive differences within four new matched arms. Its factorial effects apply to that intervention and fixture family; they do not retroactively identify the complete cause of the original 750-run gain.</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pPr>
      <w:r>
        <w:t>6.2 Interpretation of the exposed failure boundary</w:t>
      </w:r>
    </w:p>
    <w:p>
      <w:pPr>
        <w:keepNext w:val="0"/>
        <w:pageBreakBefore w:val="0"/>
        <w:widowControl/>
        <w:spacing w:line="276" w:lineRule="auto" w:after="120"/>
      </w:pPr>
      <w:r>
        <w:t>With the rate-anomaly term disabled, censored feedback keeps the effective failure count β at 1 and never decreases the effective success count α. If no new accepted evidence arrives, these counts and their derived risk coordinates remain unchanged. Positive observations can increase α, but subsequent silence supplies no corrective count. This follows from Eqs. (3)–(5); it is a property of the declared estimator, not evidence that every learned routing action must remain fixed. Cache freshness, link estimates, geometry and service debt can still change the selected relay.</w:t>
      </w:r>
    </w:p>
    <w:p>
      <w:pPr>
        <w:keepNext w:val="0"/>
        <w:pageBreakBefore w:val="0"/>
        <w:widowControl/>
        <w:spacing w:line="276" w:lineRule="auto" w:after="120"/>
      </w:pPr>
      <w:r>
        <w:t>Table 11 and Fig. 12 expose the practical consequence in the tested four-node transfer setting. The delayed active-minus-censored delivery contrast is +46.17 percentage points (95% paired interval +36.89 to +54.50; Holm-adjusted p=0.00016). Adding proof generation to censored feedback changes delivery by −0.11 percentage points (95% paired interval −0.50 to +0.39; Holm-adjusted p=1). The second contrast supplies no evidence of recovery from proof generation alone; its nonsignificance is not a population-equivalence result. Active-proof semantics include different eligibility and expiry rules, so the contrast does not isolate the effect of negative updates.</w:t>
      </w:r>
    </w:p>
    <w:p>
      <w:pPr>
        <w:keepNext w:val="0"/>
        <w:pageBreakBefore w:val="0"/>
        <w:widowControl/>
        <w:spacing w:line="276" w:lineRule="auto" w:after="120"/>
      </w:pPr>
      <w:r>
        <w:t>The historical Cooja study exposes a failure condition, while the remediation study varies onset, channel condition, geometry and retained checkpoint within a declared small fixture family. Two onset settings and three checkpoints do not identify a universal change-point or a safe passive-feedback operating region. The balanced block design also does not fully cross every geometry with every checkpoint/onset/channel setting. An optimal probing policy remains a prospective mechanism requiring its own frozen evaluation.</w:t>
      </w:r>
    </w:p>
    <w:p>
      <w:pPr>
        <w:pStyle w:val="Heading2"/>
        <w:keepNext/>
        <w:pageBreakBefore w:val="0"/>
        <w:widowControl/>
        <w:spacing w:line="276" w:lineRule="auto" w:after="120"/>
      </w:pPr>
      <w:r>
        <w:t>6.3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Matched feedback controls now separate the missing-evidence update rule from proof generation in 1,440 Cooja runs over twelve perturbed-geometry blocks. In the scheduled setting, their post-onset delivery effects are +21.170 percentage points (95% pointwise interval +14.410 to +27.834; Holm-adjusted p=0.005859) for negative updates and +1.017 percentage points (95% pointwise interval -0.826 to +2.906; Holm-adjusted p=0.668) for proof generation. These estimates complement the retained conditional 4.67-point gain and later transfer failure; they do not establish a universally preferable mechanism. Historical policy comparisons supply no established attention advantage, and the remediation experiment does not retest architectural superiority.</w:t>
      </w:r>
    </w:p>
    <w:p>
      <w:pPr>
        <w:keepNext w:val="0"/>
        <w:pageBreakBefore w:val="0"/>
        <w:widowControl/>
        <w:spacing w:line="276" w:lineRule="auto" w:after="120"/>
      </w:pPr>
      <w:r>
        <w:t>Exploratory reconstruction explains the censored–frozen equality in the archived setting: recorded risk changes did not alter selected relays, although larger offline risk interventions could. Failure under the tested conditions therefore cannot be equated with complete actor insensitivity. Both O3 and LTO compiler profiles retain 68/200 signed-receipt deadline misses. The radio-current sensitivity in Section 5.12 also shows why lower transmit airtime alone cannot establish measured energy savings. The study supplies neither a universal switching threshold nor a production hardware validation. Physical RF/current and production security lie outside this simulation/emulation benchmark; neither is validated by these results.</w:t>
      </w:r>
    </w:p>
    <w:p>
      <w:pPr>
        <w:pStyle w:val="Heading1"/>
      </w:pPr>
      <w:r>
        <w:t>Author contributions</w:t>
      </w:r>
    </w:p>
    <w:p>
      <w:pPr/>
      <w:r>
        <w:t>Shivam Bhardwaj, Abhishek Kumar Pandey and Abhinandan Tripathi contributed equally to this work.</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t>Data and code availability: code, frozen protocol, checkpoints, historical negative outcomes, raw traces and figure sources are available at https://github.com/DrShivamBhardwaj/JICCE_LA_CPPO_Reproducibility. The original 750-run pre-outcome source freeze is 4027f071322cb5682f39329f656d76df3b68ff62. The complete earlier evidence manuscript is retained in publication/censored_feedback/. The new matched protocol and release are identified in Section 5.11 and outputs/remediation_v1/raw_archive.json.</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p>
      <w:pPr>
        <w:spacing w:line="276" w:lineRule="auto"/>
      </w:pPr>
      <w:r>
        <w:t>[25] F. Österlind, A. Dunkels, J. Eriksson, N. Finne, and T. Voigt, “Cross-level sensor network simulation with COOJA,” in Proceedings of the 31st IEEE Conference on Local Computer Networks, pp. 641–648, 2006. DOI: 10.1109/LCN.2006.322172.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