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Controlled Feedback Comparisons and Adaptation Limits in Authenticated Wireless Sensor Routing</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Forwarding silence can reflect loss rather than misconduct, but censoring it also prevents missing observations from reversing earlier positive evidence. We examine this trade-off in a separately frozen 1,440-run Cooja factorial study and retain the earlier 750-, 180-, 240- and 600-run experiments. Twelve perturbed geometry blocks combine three retained checkpoints, two radio seeds per block, relay-identity permutations, both attacker positions, benign controls and two timing settings. Four matched arms vary missing-evidence penalties and proof generation while sharing ACK eligibility, expiry and positive-credit handling; an active-proof reference retains its legacy evidence semantics. With scheduled processing, enabling negative updates changes post-onset delivery by +21.170 percentage points (95% pointwise interval +14.410 to +27.834; Holm-adjusted p=0.005859). Enabling proof generation changes it by +1.017 percentage points (95% pointwise interval -0.826 to +2.906; Holm-adjusted p=0.668). Archive diagnostics find 7,023 risk-coordinate differences across 11,927 matched censored–frozen decisions without a relay-choice change; 1,010 of 4,800 offline risk interventions change actions. Compiler-only O3 MCU execution still misses 68 of 200 original signed-receipt deadlines. The contribution is auditable attribution of feedback and traffic interventions within a declared fixture family, rather than a new learning algorithm or a universal switching threshold. Public fixture keys, narrow geometry coverage and illustrative scheduled delays restrict security and deployment inference. Physical RF, measured energy and production device protections remain unvalidated.</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The earlier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Feedback performance and failure boundaries</w:t>
      </w:r>
    </w:p>
    <w:p>
      <w:pPr>
        <w:keepNext w:val="0"/>
        <w:pageBreakBefore w:val="0"/>
        <w:widowControl/>
        <w:spacing w:line="276" w:lineRule="auto" w:after="120"/>
      </w:pPr>
      <w:r>
        <w:t>The benchmark examines when suppressing negative updates from missing evidence helps delivery and when it leaves a routing policy unable to revise earlier favorable evidence. ACK-gated censored passive feedback is compared with active proofs, naive passive feedback, frozen priors and capacity-matched policies.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original prespecified decision combines a blackhole delivery comparison against active proofs with delivery, critical-service and energy-efficiency margins against frozen-prior attention. Sections 5.10–5.11 add exploratory diagnostics and a separately frozen matched-factorial experiment. The latter isolates missing-evidence penalties and proof generation under common ACK, expiry and late-positive rules, while counterbalancing relay identity and attacker position. These are controlled comparisons and implementation checks; they do not establish a new learning algorithm, a universal operating boundary or production security.</w:t>
      </w:r>
    </w:p>
    <w:p>
      <w:pPr>
        <w:keepNext w:val="0"/>
        <w:pageBreakBefore w:val="0"/>
        <w:widowControl/>
        <w:spacing w:line="276" w:lineRule="auto" w:after="120"/>
      </w:pPr>
      <w:r>
        <w:t>A separate implementation stage evaluates frozen policies using authenticated messages and node-local transit records in 180 radio runs, followed by serial-interface, firmware-emulation and Cooja checks. Sections 2–4 retain the original feedback benchmark; Section 5 evaluates the changed transport and execution conditions. Section 6 connects the conditional gain and transfer failure without pooling their outcomes or treating their different observation models as an isolated causal contrast.</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host-controlled firmware in this fixture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calibrated current consumption. Section 5.8 adds a separate live MCU policy/crypto pilot; this earlier host-driven fixture is unchanged.</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Section 5.8 tests integrated target inference in emulation. Duty-cycled MAC performance, physical drift tolerance and measured energy still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 Section 5.8 subsequently evaluates a combined radio and policy/crypto image under a narrower four-node protocol.</w:t>
      </w:r>
    </w:p>
    <w:p>
      <w:pPr>
        <w:pStyle w:val="Heading2"/>
        <w:keepNext/>
      </w:pPr>
      <w:r>
        <w:t>5.8 Live MCU routing and authentication</w:t>
      </w:r>
    </w:p>
    <w:p>
      <w:pPr>
        <w:keepNext w:val="0"/>
        <w:pageBreakBefore w:val="0"/>
        <w:widowControl/>
        <w:spacing w:line="276" w:lineRule="auto" w:after="120"/>
      </w:pPr>
      <w:r>
        <w:t>The four-node CC2538 pilot executes observation construction, frozen attention inference, hop authentication and receipt handling inside the MCU. The host triggers traffic and beacon exchange and captures UART output. Earlier public fixtures deliver twenty packets and verified receipts, with fifty matching routing decisions. Table 10 compares the retained private-key FP32 streams with two later implementations; each profile offers one hundred packets in a three-hop chain and one hundred in a geometry with two feasible source choices. These are sequential functional diagnostics, not independent statistical replicates or a new confirmatory comparison; N is the offered count.</w:t>
      </w:r>
    </w:p>
    <w:p>
      <w:pPr>
        <w:keepNext w:val="0"/>
        <w:pageBreakBefore w:val="0"/>
        <w:widowControl/>
        <w:spacing w:line="276" w:lineRule="auto" w:after="120"/>
      </w:pPr>
      <w:r>
        <w:t>Operation-level profiling identifies approximately 270 ms per-hop FP32 inference and 81 ms Ed25519 verification in the declared emulator. A separate Q22 implementation uses signed 32-bit weights and activations, 64-bit accumulators and an 8193-point tanh lookup table. Export checks bound arithmetic for input coordinates in [−32, 32]; nonfinite or out-of-domain inputs are rejected. The lookup table adds 32,772 bytes beyond the 176,644 parameter bytes. All five hundred retained decisions and the later MCU decisions match the FP32 reference at their recorded observations, with logit errors below 1e-4. This is tested approximation agreement, not universal action equivalence. Inference falls to approximately 12–13 ms with one candidate. Caching the provisioned sink signing key also removes repeated key derivation from the packet path.</w:t>
      </w:r>
    </w:p>
    <w:p>
      <w:pPr>
        <w:keepNext/>
        <w:pageBreakBefore w:val="0"/>
        <w:widowControl/>
        <w:spacing w:line="276" w:lineRule="auto" w:after="120"/>
      </w:pPr>
      <w:r>
        <w:t>Table 10. MCU receipt profiles.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474"/>
        <w:gridCol w:w="510"/>
        <w:gridCol w:w="1417"/>
        <w:gridCol w:w="1361"/>
        <w:gridCol w:w="907"/>
        <w:gridCol w:w="1361"/>
        <w:gridCol w:w="907"/>
      </w:tblGrid>
      <w:tr>
        <w:trPr>
          <w:cantSplit/>
          <w:tblHeader/>
        </w:trPr>
        <w:tc>
          <w:tcPr>
            <w:tcW w:type="dxa" w:w="1474"/>
          </w:tcPr>
          <w:p>
            <w:pPr>
              <w:keepNext/>
              <w:spacing w:before="60" w:after="60" w:line="240" w:lineRule="auto"/>
            </w:pPr>
            <w:r>
              <w:rPr>
                <w:rFonts w:ascii="Times New Roman" w:hAnsi="Times New Roman"/>
                <w:b/>
                <w:sz w:val="17"/>
              </w:rPr>
              <w:t>Profile / topology</w:t>
            </w:r>
          </w:p>
        </w:tc>
        <w:tc>
          <w:tcPr>
            <w:tcW w:type="dxa" w:w="510"/>
          </w:tcPr>
          <w:p>
            <w:pPr>
              <w:keepNext/>
              <w:spacing w:before="60" w:after="60" w:line="240" w:lineRule="auto"/>
            </w:pPr>
            <w:r>
              <w:rPr>
                <w:rFonts w:ascii="Times New Roman" w:hAnsi="Times New Roman"/>
                <w:b/>
                <w:sz w:val="17"/>
              </w:rPr>
              <w:t>N</w:t>
            </w:r>
          </w:p>
        </w:tc>
        <w:tc>
          <w:tcPr>
            <w:tcW w:type="dxa" w:w="1417"/>
          </w:tcPr>
          <w:p>
            <w:pPr>
              <w:keepNext/>
              <w:spacing w:before="60" w:after="60" w:line="240" w:lineRule="auto"/>
            </w:pPr>
            <w:r>
              <w:rPr>
                <w:rFonts w:ascii="Times New Roman" w:hAnsi="Times New Roman"/>
                <w:b/>
                <w:sz w:val="17"/>
              </w:rPr>
              <w:t>Delivered / Ed proofs</w:t>
            </w:r>
          </w:p>
        </w:tc>
        <w:tc>
          <w:tcPr>
            <w:tcW w:type="dxa" w:w="1361"/>
          </w:tcPr>
          <w:p>
            <w:pPr>
              <w:keepNext/>
              <w:spacing w:before="60" w:after="60" w:line="240" w:lineRule="auto"/>
            </w:pPr>
            <w:r>
              <w:rPr>
                <w:rFonts w:ascii="Times New Roman" w:hAnsi="Times New Roman"/>
                <w:b/>
                <w:sz w:val="17"/>
              </w:rPr>
              <w:t>Ed delay (ms)</w:t>
            </w:r>
          </w:p>
        </w:tc>
        <w:tc>
          <w:tcPr>
            <w:tcW w:type="dxa" w:w="907"/>
          </w:tcPr>
          <w:p>
            <w:pPr>
              <w:keepNext/>
              <w:spacing w:before="60" w:after="60" w:line="240" w:lineRule="auto"/>
            </w:pPr>
            <w:r>
              <w:rPr>
                <w:rFonts w:ascii="Times New Roman" w:hAnsi="Times New Roman"/>
                <w:b/>
                <w:sz w:val="17"/>
              </w:rPr>
              <w:t>Ed misses</w:t>
            </w:r>
          </w:p>
        </w:tc>
        <w:tc>
          <w:tcPr>
            <w:tcW w:type="dxa" w:w="1361"/>
          </w:tcPr>
          <w:p>
            <w:pPr>
              <w:keepNext/>
              <w:spacing w:before="60" w:after="60" w:line="240" w:lineRule="auto"/>
            </w:pPr>
            <w:r>
              <w:rPr>
                <w:rFonts w:ascii="Times New Roman" w:hAnsi="Times New Roman"/>
                <w:b/>
                <w:sz w:val="17"/>
              </w:rPr>
              <w:t>Fast delay (ms)</w:t>
            </w:r>
          </w:p>
        </w:tc>
        <w:tc>
          <w:tcPr>
            <w:tcW w:type="dxa" w:w="907"/>
          </w:tcPr>
          <w:p>
            <w:pPr>
              <w:keepNext/>
              <w:spacing w:before="60" w:after="60" w:line="240" w:lineRule="auto"/>
            </w:pPr>
            <w:r>
              <w:rPr>
                <w:rFonts w:ascii="Times New Roman" w:hAnsi="Times New Roman"/>
                <w:b/>
                <w:sz w:val="17"/>
              </w:rPr>
              <w:t>Fast misses</w:t>
            </w:r>
          </w:p>
        </w:tc>
      </w:tr>
      <w:tr>
        <w:trPr>
          <w:cantSplit/>
        </w:trPr>
        <w:tc>
          <w:tcPr>
            <w:tcW w:type="dxa" w:w="1474"/>
          </w:tcPr>
          <w:p>
            <w:pPr>
              <w:keepNext/>
              <w:spacing w:before="60" w:after="60" w:line="240" w:lineRule="auto"/>
            </w:pPr>
            <w:r>
              <w:rPr>
                <w:rFonts w:ascii="Times New Roman" w:hAnsi="Times New Roman"/>
                <w:b w:val="0"/>
                <w:sz w:val="17"/>
              </w:rPr>
              <w:t>FP32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1134–1142</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FP32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925–931</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331–339</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238–245</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Fast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333–343</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61–63</w:t>
            </w:r>
          </w:p>
        </w:tc>
        <w:tc>
          <w:tcPr>
            <w:tcW w:type="dxa" w:w="907"/>
          </w:tcPr>
          <w:p>
            <w:pPr>
              <w:keepNext/>
              <w:spacing w:before="60" w:after="60" w:line="240" w:lineRule="auto"/>
            </w:pPr>
            <w:r>
              <w:rPr>
                <w:rFonts w:ascii="Times New Roman" w:hAnsi="Times New Roman"/>
                <w:b w:val="0"/>
                <w:sz w:val="17"/>
              </w:rPr>
              <w:t>0</w:t>
            </w:r>
          </w:p>
        </w:tc>
      </w:tr>
      <w:tr>
        <w:trPr>
          <w:cantSplit/>
        </w:trPr>
        <w:tc>
          <w:tcPr>
            <w:tcW w:type="dxa" w:w="1474"/>
          </w:tcPr>
          <w:p>
            <w:pPr>
              <w:spacing w:before="60" w:after="60" w:line="240" w:lineRule="auto"/>
            </w:pPr>
            <w:r>
              <w:rPr>
                <w:rFonts w:ascii="Times New Roman" w:hAnsi="Times New Roman"/>
                <w:b w:val="0"/>
                <w:sz w:val="17"/>
              </w:rPr>
              <w:t>Fast / choice</w:t>
            </w:r>
          </w:p>
        </w:tc>
        <w:tc>
          <w:tcPr>
            <w:tcW w:type="dxa" w:w="510"/>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361"/>
          </w:tcPr>
          <w:p>
            <w:pPr>
              <w:spacing w:before="60" w:after="60" w:line="240" w:lineRule="auto"/>
            </w:pPr>
            <w:r>
              <w:rPr>
                <w:rFonts w:ascii="Times New Roman" w:hAnsi="Times New Roman"/>
                <w:b w:val="0"/>
                <w:sz w:val="17"/>
              </w:rPr>
              <w:t>240–247</w:t>
            </w:r>
          </w:p>
        </w:tc>
        <w:tc>
          <w:tcPr>
            <w:tcW w:type="dxa" w:w="907"/>
          </w:tcPr>
          <w:p>
            <w:pPr>
              <w:spacing w:before="60" w:after="60" w:line="240" w:lineRule="auto"/>
            </w:pPr>
            <w:r>
              <w:rPr>
                <w:rFonts w:ascii="Times New Roman" w:hAnsi="Times New Roman"/>
                <w:b w:val="0"/>
                <w:sz w:val="17"/>
              </w:rPr>
              <w:t>34</w:t>
            </w:r>
          </w:p>
        </w:tc>
        <w:tc>
          <w:tcPr>
            <w:tcW w:type="dxa" w:w="1361"/>
          </w:tcPr>
          <w:p>
            <w:pPr>
              <w:spacing w:before="60" w:after="60" w:line="240" w:lineRule="auto"/>
            </w:pPr>
            <w:r>
              <w:rPr>
                <w:rFonts w:ascii="Times New Roman" w:hAnsi="Times New Roman"/>
                <w:b w:val="0"/>
                <w:sz w:val="17"/>
              </w:rPr>
              <w:t>49–50</w:t>
            </w:r>
          </w:p>
        </w:tc>
        <w:tc>
          <w:tcPr>
            <w:tcW w:type="dxa" w:w="907"/>
          </w:tcPr>
          <w:p>
            <w:pPr>
              <w:spacing w:before="60" w:after="60" w:line="240" w:lineRule="auto"/>
            </w:pPr>
            <w:r>
              <w:rPr>
                <w:rFonts w:ascii="Times New Roman" w:hAnsi="Times New Roman"/>
                <w:b w:val="0"/>
                <w:sz w:val="17"/>
              </w:rPr>
              <w:t>0</w:t>
            </w:r>
          </w:p>
        </w:tc>
      </w:tr>
    </w:tbl>
    <w:p>
      <w:pPr>
        <w:keepNext w:val="0"/>
        <w:pageBreakBefore w:val="0"/>
        <w:widowControl/>
        <w:spacing w:line="276" w:lineRule="auto" w:after="120"/>
      </w:pPr>
      <w:r>
        <w:t>The experimental fast profile adds a distinct 66-byte application frame: the fourteen-byte packet identity, a sixteen-byte source–sink HMAC, the twenty-byte hop header and its sixteen-byte hop tag. The sink emits this private receipt after verifying source data, then generates the original Ed25519 proof. Relays check the hop envelope and pending route and forward the private receipt opaquely; they assign no forwarding credit from it. Only the source authenticates the end-to-end MAC and settles its service debt early. The separate public proof remains subject to Ed25519 verification and the original MAC-ACK credit gate. A private MAC is not transferable public evidence, and its deadline endpoint is not the original signed-receipt endpoint.</w:t>
      </w:r>
    </w:p>
    <w:p>
      <w:pPr>
        <w:keepNext w:val="0"/>
        <w:pageBreakBefore w:val="0"/>
        <w:widowControl/>
        <w:spacing w:line="276" w:lineRule="auto" w:after="120"/>
      </w:pPr>
      <w:r>
        <w:t>Fixed-point inference reduces signed-receipt misses from 134/200 to 68/200; the 90 ms class still fails. In the fast profile, all two hundred private receipts meet their source deadlines, while all two hundred deferred Ed25519 proofs are eventually verified and sixty-eight miss the original signed deadline. Extra private receipts add three radio frames per chain packet or two per choice packet; no energy saving is inferred. Tested-path stack watermarks reach 6624 bytes, with 3968 static RAM bytes and intact guards under the 32 KiB linker budget. These are observed paths, not a worst-case stack bound.</w:t>
      </w:r>
    </w:p>
    <w:p>
      <w:pPr>
        <w:keepNext w:val="0"/>
        <w:pageBreakBefore w:val="0"/>
        <w:widowControl/>
        <w:spacing w:line="276" w:lineRule="auto" w:after="120"/>
      </w:pPr>
      <w:r>
        <w:t>A separately frozen compiler-only O3 pilot repeats one hundred packets in each topology with the same Q22 actor, signature-verification order and original deadlines. Both runs deliver all offered packets and source-verified Ed25519 receipts, and all five hundred decisions match the frozen reference. Signed delays are 331–344 ms in the chain and 239–247 ms in the choice geometry; each run still misses thirty-four deadlines. Seven authenticated negative controls pass per run. The Linux Renode run and historical Mac O2 run are descriptive diagnostics, not paired statistical replicates.</w:t>
      </w:r>
    </w:p>
    <w:p>
      <w:pPr>
        <w:keepNext w:val="0"/>
        <w:pageBreakBefore w:val="0"/>
        <w:widowControl/>
        <w:spacing w:line="276" w:lineRule="auto" w:after="120"/>
      </w:pPr>
      <w:r>
        <w:t>All sixty-eight misses are in the 90 ms critical class; neither of the other classes misses its deadline. UART stage records show median sink signing of 30 ms and median signature verification of 82 ms at the source and forwarding relays; per-call HMAC medians are 1 ms. These cryptographic stages dominate the emulated receipt path. The stage records include control operations and are descriptive emulator timings, not independent packet replicates or physical measurements. Compiler optimization therefore does not resolve the original deadline requirement. Public rechecking verifies all two hundred sink-generated signatures; private hop-tag rechecking requires the intentionally unexported ephemeral fixture keys.</w:t>
      </w:r>
    </w:p>
    <w:p>
      <w:pPr>
        <w:keepNext w:val="0"/>
        <w:pageBreakBefore w:val="0"/>
        <w:widowControl/>
        <w:spacing w:line="276" w:lineRule="auto" w:after="120"/>
      </w:pPr>
      <w:r>
        <w:t>Fresh pairwise keys and a signing seed are provisioned once over the trusted emulator UART; persisted host allocation reserves distinct boot sessions. The software rejects stale sessions, repeated provisioning, mismatched signing keys and forged fast MACs, and uses explicit wipes for temporary key material and UART buffers. Source replay state rolls across longer streams. None of this establishes protected MCU storage, authenticated physical provisioning or reboot-persistent device state. The pilot still fixes four nodes, nominal energy/queue inputs and test-triggered beacons. Physical RF/energy, overload, autonomous rendezvous and deployment behavior remain unvalidated; retrospective private hop-tag audits require the locally retained fixtures.</w:t>
      </w:r>
    </w:p>
    <w:p>
      <w:pPr>
        <w:pStyle w:val="Heading2"/>
        <w:keepNext/>
      </w:pPr>
      <w:r>
        <w:t>5.9 Cooja transfer and relay behavior change</w:t>
      </w:r>
    </w:p>
    <w:p>
      <w:pPr>
        <w:keepNext w:val="0"/>
        <w:pageBreakBefore w:val="0"/>
        <w:widowControl/>
        <w:spacing w:line="276" w:lineRule="auto" w:after="120"/>
      </w:pPr>
      <w:r>
        <w:t>A separate Cooja evaluation [25] runs the frozen Q22 actor and weighted feedback ledger inside four native Contiki-NG motes. Thirty new simulation seeds cross five arms, benign or post-warm-up blackhole behavior, and native or scheduled processing time: 600 runs and 36,000 offered packets. The source offers sixty packets at 300 ms intervals; two feasible relays connect it to the sink. All arms share geometry, traffic, authenticated beacons, nominal energy/queue inputs and the same checkpoint. Censored-plus-proof retains the censored evidence rule while enabling the active arm’s proof-generation rule; realized traffic can still differ as routes change. This is a four-node policy-transfer experiment, not a repetition of the original network-scale benchmark.</w:t>
      </w:r>
    </w:p>
    <w:p>
      <w:pPr>
        <w:keepNext w:val="0"/>
        <w:pageBreakBefore w:val="0"/>
        <w:widowControl/>
        <w:spacing w:line="276" w:lineRule="auto" w:after="120"/>
      </w:pPr>
      <w:r>
        <w:t>Actual CSMA callbacks supply first-hop MAC outcomes. A radio-driver hook observes successfully received forwarding frames before destination filtering, rather than reading simulator-held forwarding histories. Passive evidence has strength 0.5 and a signed sink receipt strength 1; the Python ledger independently replays ACK gating, 150 ms expiry, maximum-strength deduplication and late upgrades. Active proofs are authenticated hop messages emitted after successful downstream MAC outcomes. Public fixture keys support trace verification, not deployment secrecy. Sixteen local pending routes expire after two seconds; closed feedback records can remain eligible for late upgrades until their slots are reused.</w:t>
      </w:r>
    </w:p>
    <w:p>
      <w:pPr>
        <w:keepNext w:val="0"/>
        <w:pageBreakBefore w:val="0"/>
        <w:widowControl/>
        <w:spacing w:line="276" w:lineRule="auto" w:after="120"/>
      </w:pPr>
      <w:r>
        <w:t>Native execution does not account for Cortex-M3 instruction time. The delayed setting schedules outbound data after 14 ms, other outbound messages after 1 ms, received public receipts after 81 ms, sink data processing after 31 ms and other received frames after 1 ms. These per-packet assumptions do not model serial CPU service, overload or measured compute energy. Table 11 reports means over thirty seeds; Fig. 12 shows paired delivery contrasts, with a shared horizontal scale within each attack setting. Pointwise bootstrap intervals use 20,000 seed resamples. Two-sided paired sign-flip tests use 100,000 draws, with Holm adjustment across sixteen contrasts within each endpoint family. Delivery is primary; critical sink-deadline failures and total transmit-state duration form separate secondary families. Four direct matched-proof contrasts per endpoint were added after the protocol freeze as exploratory checks, with a separate Holm family; they do not alter primary inference.</w:t>
      </w:r>
    </w:p>
    <w:p>
      <w:pPr>
        <w:keepNext/>
        <w:pageBreakBefore w:val="0"/>
        <w:widowControl/>
        <w:spacing w:line="276" w:lineRule="auto" w:after="120"/>
      </w:pPr>
      <w:r>
        <w:t>Table 11. Cooja transfer results.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512"/>
        <w:gridCol w:w="1512"/>
        <w:gridCol w:w="1512"/>
        <w:gridCol w:w="1512"/>
        <w:gridCol w:w="1512"/>
        <w:gridCol w:w="1512"/>
      </w:tblGrid>
      <w:tr>
        <w:trPr>
          <w:cantSplit/>
          <w:tblHeader/>
        </w:trPr>
        <w:tc>
          <w:tcPr>
            <w:tcW w:type="dxa" w:w="1134"/>
          </w:tcPr>
          <w:p>
            <w:pPr>
              <w:spacing w:before="60" w:after="60" w:line="240" w:lineRule="auto"/>
            </w:pPr>
            <w:r>
              <w:rPr>
                <w:rFonts w:ascii="Times New Roman" w:hAnsi="Times New Roman"/>
                <w:b/>
                <w:sz w:val="17"/>
              </w:rPr>
              <w:t>Setting</w:t>
            </w:r>
          </w:p>
        </w:tc>
        <w:tc>
          <w:tcPr>
            <w:tcW w:type="dxa" w:w="1814"/>
          </w:tcPr>
          <w:p>
            <w:pPr>
              <w:spacing w:before="60" w:after="60" w:line="240" w:lineRule="auto"/>
            </w:pPr>
            <w:r>
              <w:rPr>
                <w:rFonts w:ascii="Times New Roman" w:hAnsi="Times New Roman"/>
                <w:b/>
                <w:sz w:val="17"/>
              </w:rPr>
              <w:t>Feedback arm</w:t>
            </w:r>
          </w:p>
        </w:tc>
        <w:tc>
          <w:tcPr>
            <w:tcW w:type="dxa" w:w="1474"/>
          </w:tcPr>
          <w:p>
            <w:pPr>
              <w:spacing w:before="60" w:after="60" w:line="240" w:lineRule="auto"/>
            </w:pPr>
            <w:r>
              <w:rPr>
                <w:rFonts w:ascii="Times New Roman" w:hAnsi="Times New Roman"/>
                <w:b/>
                <w:sz w:val="17"/>
              </w:rPr>
              <w:t>Delivery base (%)</w:t>
            </w:r>
          </w:p>
        </w:tc>
        <w:tc>
          <w:tcPr>
            <w:tcW w:type="dxa" w:w="1474"/>
          </w:tcPr>
          <w:p>
            <w:pPr>
              <w:spacing w:before="60" w:after="60" w:line="240" w:lineRule="auto"/>
            </w:pPr>
            <w:r>
              <w:rPr>
                <w:rFonts w:ascii="Times New Roman" w:hAnsi="Times New Roman"/>
                <w:b/>
                <w:sz w:val="17"/>
              </w:rPr>
              <w:t>Delivery delayed (%)</w:t>
            </w:r>
          </w:p>
        </w:tc>
        <w:tc>
          <w:tcPr>
            <w:tcW w:type="dxa" w:w="1701"/>
          </w:tcPr>
          <w:p>
            <w:pPr>
              <w:spacing w:before="60" w:after="60" w:line="240" w:lineRule="auto"/>
            </w:pPr>
            <w:r>
              <w:rPr>
                <w:rFonts w:ascii="Times New Roman" w:hAnsi="Times New Roman"/>
                <w:b/>
                <w:sz w:val="17"/>
              </w:rPr>
              <w:t>Critical failure delayed (%)</w:t>
            </w:r>
          </w:p>
        </w:tc>
        <w:tc>
          <w:tcPr>
            <w:tcW w:type="dxa" w:w="1134"/>
          </w:tcPr>
          <w:p>
            <w:pPr>
              <w:spacing w:before="60" w:after="60" w:line="240" w:lineRule="auto"/>
            </w:pPr>
            <w:r>
              <w:rPr>
                <w:rFonts w:ascii="Times New Roman" w:hAnsi="Times New Roman"/>
                <w:b/>
                <w:sz w:val="17"/>
              </w:rPr>
              <w:t>TX delayed (s)</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98.78</w:t>
            </w:r>
          </w:p>
        </w:tc>
        <w:tc>
          <w:tcPr>
            <w:tcW w:type="dxa" w:w="1474"/>
          </w:tcPr>
          <w:p>
            <w:pPr>
              <w:spacing w:before="60" w:after="60" w:line="240" w:lineRule="auto"/>
            </w:pPr>
            <w:r>
              <w:rPr>
                <w:rFonts w:ascii="Times New Roman" w:hAnsi="Times New Roman"/>
                <w:b w:val="0"/>
                <w:sz w:val="17"/>
              </w:rPr>
              <w:t>99.17</w:t>
            </w:r>
          </w:p>
        </w:tc>
        <w:tc>
          <w:tcPr>
            <w:tcW w:type="dxa" w:w="1701"/>
          </w:tcPr>
          <w:p>
            <w:pPr>
              <w:spacing w:before="60" w:after="60" w:line="240" w:lineRule="auto"/>
            </w:pPr>
            <w:r>
              <w:rPr>
                <w:rFonts w:ascii="Times New Roman" w:hAnsi="Times New Roman"/>
                <w:b w:val="0"/>
                <w:sz w:val="17"/>
              </w:rPr>
              <w:t>94.17</w:t>
            </w:r>
          </w:p>
        </w:tc>
        <w:tc>
          <w:tcPr>
            <w:tcW w:type="dxa" w:w="1134"/>
          </w:tcPr>
          <w:p>
            <w:pPr>
              <w:spacing w:before="60" w:after="60" w:line="240" w:lineRule="auto"/>
            </w:pPr>
            <w:r>
              <w:rPr>
                <w:rFonts w:ascii="Times New Roman" w:hAnsi="Times New Roman"/>
                <w:b w:val="0"/>
                <w:sz w:val="17"/>
              </w:rPr>
              <w:t>8.282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98.67</w:t>
            </w:r>
          </w:p>
        </w:tc>
        <w:tc>
          <w:tcPr>
            <w:tcW w:type="dxa" w:w="1474"/>
          </w:tcPr>
          <w:p>
            <w:pPr>
              <w:spacing w:before="60" w:after="60" w:line="240" w:lineRule="auto"/>
            </w:pPr>
            <w:r>
              <w:rPr>
                <w:rFonts w:ascii="Times New Roman" w:hAnsi="Times New Roman"/>
                <w:b w:val="0"/>
                <w:sz w:val="17"/>
              </w:rPr>
              <w:t>98.39</w:t>
            </w:r>
          </w:p>
        </w:tc>
        <w:tc>
          <w:tcPr>
            <w:tcW w:type="dxa" w:w="1701"/>
          </w:tcPr>
          <w:p>
            <w:pPr>
              <w:spacing w:before="60" w:after="60" w:line="240" w:lineRule="auto"/>
            </w:pPr>
            <w:r>
              <w:rPr>
                <w:rFonts w:ascii="Times New Roman" w:hAnsi="Times New Roman"/>
                <w:b w:val="0"/>
                <w:sz w:val="17"/>
              </w:rPr>
              <w:t>95.17</w:t>
            </w:r>
          </w:p>
        </w:tc>
        <w:tc>
          <w:tcPr>
            <w:tcW w:type="dxa" w:w="1134"/>
          </w:tcPr>
          <w:p>
            <w:pPr>
              <w:spacing w:before="60" w:after="60" w:line="240" w:lineRule="auto"/>
            </w:pPr>
            <w:r>
              <w:rPr>
                <w:rFonts w:ascii="Times New Roman" w:hAnsi="Times New Roman"/>
                <w:b w:val="0"/>
                <w:sz w:val="17"/>
              </w:rPr>
              <w:t>7.933</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98.50</w:t>
            </w:r>
          </w:p>
        </w:tc>
        <w:tc>
          <w:tcPr>
            <w:tcW w:type="dxa" w:w="1474"/>
          </w:tcPr>
          <w:p>
            <w:pPr>
              <w:spacing w:before="60" w:after="60" w:line="240" w:lineRule="auto"/>
            </w:pPr>
            <w:r>
              <w:rPr>
                <w:rFonts w:ascii="Times New Roman" w:hAnsi="Times New Roman"/>
                <w:b w:val="0"/>
                <w:sz w:val="17"/>
              </w:rPr>
              <w:t>98.72</w:t>
            </w:r>
          </w:p>
        </w:tc>
        <w:tc>
          <w:tcPr>
            <w:tcW w:type="dxa" w:w="1701"/>
          </w:tcPr>
          <w:p>
            <w:pPr>
              <w:spacing w:before="60" w:after="60" w:line="240" w:lineRule="auto"/>
            </w:pPr>
            <w:r>
              <w:rPr>
                <w:rFonts w:ascii="Times New Roman" w:hAnsi="Times New Roman"/>
                <w:b w:val="0"/>
                <w:sz w:val="17"/>
              </w:rPr>
              <w:t>94.50</w:t>
            </w:r>
          </w:p>
        </w:tc>
        <w:tc>
          <w:tcPr>
            <w:tcW w:type="dxa" w:w="1134"/>
          </w:tcPr>
          <w:p>
            <w:pPr>
              <w:spacing w:before="60" w:after="60" w:line="240" w:lineRule="auto"/>
            </w:pPr>
            <w:r>
              <w:rPr>
                <w:rFonts w:ascii="Times New Roman" w:hAnsi="Times New Roman"/>
                <w:b w:val="0"/>
                <w:sz w:val="17"/>
              </w:rPr>
              <w:t>8.277</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71.39</w:t>
            </w:r>
          </w:p>
        </w:tc>
        <w:tc>
          <w:tcPr>
            <w:tcW w:type="dxa" w:w="1474"/>
          </w:tcPr>
          <w:p>
            <w:pPr>
              <w:spacing w:before="60" w:after="60" w:line="240" w:lineRule="auto"/>
            </w:pPr>
            <w:r>
              <w:rPr>
                <w:rFonts w:ascii="Times New Roman" w:hAnsi="Times New Roman"/>
                <w:b w:val="0"/>
                <w:sz w:val="17"/>
              </w:rPr>
              <w:t>79.11</w:t>
            </w:r>
          </w:p>
        </w:tc>
        <w:tc>
          <w:tcPr>
            <w:tcW w:type="dxa" w:w="1701"/>
          </w:tcPr>
          <w:p>
            <w:pPr>
              <w:spacing w:before="60" w:after="60" w:line="240" w:lineRule="auto"/>
            </w:pPr>
            <w:r>
              <w:rPr>
                <w:rFonts w:ascii="Times New Roman" w:hAnsi="Times New Roman"/>
                <w:b w:val="0"/>
                <w:sz w:val="17"/>
              </w:rPr>
              <w:t>96.00</w:t>
            </w:r>
          </w:p>
        </w:tc>
        <w:tc>
          <w:tcPr>
            <w:tcW w:type="dxa" w:w="1134"/>
          </w:tcPr>
          <w:p>
            <w:pPr>
              <w:spacing w:before="60" w:after="60" w:line="240" w:lineRule="auto"/>
            </w:pPr>
            <w:r>
              <w:rPr>
                <w:rFonts w:ascii="Times New Roman" w:hAnsi="Times New Roman"/>
                <w:b w:val="0"/>
                <w:sz w:val="17"/>
              </w:rPr>
              <w:t>7.931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47.00</w:t>
            </w:r>
          </w:p>
        </w:tc>
        <w:tc>
          <w:tcPr>
            <w:tcW w:type="dxa" w:w="1474"/>
          </w:tcPr>
          <w:p>
            <w:pPr>
              <w:spacing w:before="60" w:after="60" w:line="240" w:lineRule="auto"/>
            </w:pPr>
            <w:r>
              <w:rPr>
                <w:rFonts w:ascii="Times New Roman" w:hAnsi="Times New Roman"/>
                <w:b w:val="0"/>
                <w:sz w:val="17"/>
              </w:rPr>
              <w:t>54.89</w:t>
            </w:r>
          </w:p>
        </w:tc>
        <w:tc>
          <w:tcPr>
            <w:tcW w:type="dxa" w:w="1701"/>
          </w:tcPr>
          <w:p>
            <w:pPr>
              <w:spacing w:before="60" w:after="60" w:line="240" w:lineRule="auto"/>
            </w:pPr>
            <w:r>
              <w:rPr>
                <w:rFonts w:ascii="Times New Roman" w:hAnsi="Times New Roman"/>
                <w:b w:val="0"/>
                <w:sz w:val="17"/>
              </w:rPr>
              <w:t>96.67</w:t>
            </w:r>
          </w:p>
        </w:tc>
        <w:tc>
          <w:tcPr>
            <w:tcW w:type="dxa" w:w="1134"/>
          </w:tcPr>
          <w:p>
            <w:pPr>
              <w:spacing w:before="60" w:after="60" w:line="240" w:lineRule="auto"/>
            </w:pPr>
            <w:r>
              <w:rPr>
                <w:rFonts w:ascii="Times New Roman" w:hAnsi="Times New Roman"/>
                <w:b w:val="0"/>
                <w:sz w:val="17"/>
              </w:rPr>
              <w:t>7.341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33.17</w:t>
            </w:r>
          </w:p>
        </w:tc>
        <w:tc>
          <w:tcPr>
            <w:tcW w:type="dxa" w:w="1474"/>
          </w:tcPr>
          <w:p>
            <w:pPr>
              <w:spacing w:before="60" w:after="60" w:line="240" w:lineRule="auto"/>
            </w:pPr>
            <w:r>
              <w:rPr>
                <w:rFonts w:ascii="Times New Roman" w:hAnsi="Times New Roman"/>
                <w:b w:val="0"/>
                <w:sz w:val="17"/>
              </w:rPr>
              <w:t>32.83</w:t>
            </w:r>
          </w:p>
        </w:tc>
        <w:tc>
          <w:tcPr>
            <w:tcW w:type="dxa" w:w="1701"/>
          </w:tcPr>
          <w:p>
            <w:pPr>
              <w:spacing w:before="60" w:after="60" w:line="240" w:lineRule="auto"/>
            </w:pPr>
            <w:r>
              <w:rPr>
                <w:rFonts w:ascii="Times New Roman" w:hAnsi="Times New Roman"/>
                <w:b w:val="0"/>
                <w:sz w:val="17"/>
              </w:rPr>
              <w:t>97.50</w:t>
            </w:r>
          </w:p>
        </w:tc>
        <w:tc>
          <w:tcPr>
            <w:tcW w:type="dxa" w:w="1134"/>
          </w:tcPr>
          <w:p>
            <w:pPr>
              <w:spacing w:before="60" w:after="60" w:line="240" w:lineRule="auto"/>
            </w:pPr>
            <w:r>
              <w:rPr>
                <w:rFonts w:ascii="Times New Roman" w:hAnsi="Times New Roman"/>
                <w:b w:val="0"/>
                <w:sz w:val="17"/>
              </w:rPr>
              <w:t>7.169</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bl>
    <w:p>
      <w:pPr>
        <w:keepNext w:val="0"/>
        <w:pageBreakBefore w:val="0"/>
        <w:widowControl/>
        <w:spacing w:line="276" w:lineRule="auto" w:after="120"/>
      </w:pPr>
      <w:r>
        <w:t>Delivery counts unique sink packets; critical failure includes missing critical packets or the sink application delivery event later than 90 ms. TX is the sum of modeled transmit-state seconds over all four motes, not energy. Base uses no added instruction-cost delay; the delayed column uses the declared processing assumptions. Full per-arm intervals, proof counts and adjusted contrasts are retained with the raw traces.</w:t>
      </w:r>
    </w:p>
    <w:p>
      <w:pPr>
        <w:keepNext w:val="0"/>
        <w:pageBreakBefore w:val="0"/>
        <w:widowControl/>
        <w:spacing w:line="276" w:lineRule="auto" w:after="120"/>
      </w:pPr>
      <w:r>
        <w:t>With scheduled processing and a blackhole relay, active proofs change delivery relative to censored feedback by +46.17 percentage points (95% paired interval +36.89 to +54.50; Holm-adjusted p=0.00016). Enabling proofs while retaining censored evidence changes delivery by -0.11 percentage points (95% paired interval -0.50 to +0.39; Holm-adjusted p=1). These are conditional transfer results; they neither replace the original Holm family nor establish a new neural-policy advantage. Across all captures, independent reconstruction differs by at most 1.19e-07 per feature, with maximum logit discrepancy 2.21e-06.</w:t>
      </w:r>
    </w:p>
    <w:p>
      <w:pPr>
        <w:keepNext w:val="0"/>
        <w:pageBreakBefore w:val="0"/>
        <w:widowControl/>
        <w:spacing w:line="276" w:lineRule="auto" w:after="120"/>
      </w:pPr>
      <w:r>
        <w:t>The four-node geometry, one source, fixed nominal energy/queue/LQI telemetry, public test keys and unicast beacon roster limit generalization. The fixed-point port quantizes float timestamps to integer milliseconds; a beacon can be excluded about 1 ms earlier than its ideal acquisition timestamp. The corrected auditor reproduces that representation without changing captures or outcomes. Energest state durations do not establish current or battery consumption, and MAC ACKs are not newly cryptographically authenticated. Censoring preserves earlier positive evidence when later observations are absent; recovery from a previously cooperative relay that becomes silent therefore depends on other routing inputs or additional evidence.</w:t>
      </w:r>
    </w:p>
    <w:p>
      <w:pPr>
        <w:keepNext/>
        <w:pageBreakBefore w:val="0"/>
        <w:widowControl/>
        <w:spacing w:line="276" w:lineRule="auto" w:after="120"/>
      </w:pPr>
      <w:r>
        <w:drawing>
          <wp:inline xmlns:a="http://schemas.openxmlformats.org/drawingml/2006/main" xmlns:pic="http://schemas.openxmlformats.org/drawingml/2006/picture">
            <wp:extent cx="5760000" cy="4514198"/>
            <wp:docPr id="12" name="Picture 12"/>
            <wp:cNvGraphicFramePr>
              <a:graphicFrameLocks noChangeAspect="1"/>
            </wp:cNvGraphicFramePr>
            <a:graphic>
              <a:graphicData uri="http://schemas.openxmlformats.org/drawingml/2006/picture">
                <pic:pic>
                  <pic:nvPicPr>
                    <pic:cNvPr id="0" name="fig12_cooja_paired_delivery.png"/>
                    <pic:cNvPicPr/>
                  </pic:nvPicPr>
                  <pic:blipFill>
                    <a:blip r:embed="rId21"/>
                    <a:stretch>
                      <a:fillRect/>
                    </a:stretch>
                  </pic:blipFill>
                  <pic:spPr>
                    <a:xfrm>
                      <a:off x="0" y="0"/>
                      <a:ext cx="5760000" cy="4514198"/>
                    </a:xfrm>
                    <a:prstGeom prst="rect"/>
                  </pic:spPr>
                </pic:pic>
              </a:graphicData>
            </a:graphic>
          </wp:inline>
        </w:drawing>
      </w:r>
    </w:p>
    <w:p>
      <w:pPr>
        <w:keepNext w:val="0"/>
        <w:pageBreakBefore w:val="0"/>
        <w:widowControl/>
        <w:spacing w:line="276" w:lineRule="auto" w:after="120"/>
      </w:pPr>
      <w:r>
        <w:t>Fig. 12. Paired Cooja delivery effects.</w:t>
      </w:r>
    </w:p>
    <w:p>
      <w:pPr>
        <w:pStyle w:val="Heading2"/>
        <w:keepNext/>
      </w:pPr>
      <w:r>
        <w:t>5.10 Archive diagnostics</w:t>
      </w:r>
    </w:p>
    <w:p>
      <w:pPr>
        <w:keepNext w:val="0"/>
        <w:pageBreakBefore w:val="0"/>
        <w:widowControl/>
        <w:spacing w:line="276" w:lineRule="auto" w:after="120"/>
      </w:pPr>
      <w:r>
        <w:t>The archived censored and frozen-prior captures are compared post hoc by simulation seed, attack/timing stratum, observer and packet identity. All 11,927 decisions across 120 paired runs match; no decision is unmatched. Risk coordinates and recorded valid logits differ in 7,023 decisions, while non-risk coordinates, candidate ordering and selected relays remain identical. The maximum paired valid-logit difference is 0.15597. Of 7,107 multi-choice decisions, 120 have exact top-logit ties in each arm; action equality is therefore not merely a consequence of single-candidate masks. Effective-count trajectories preserve all 143,928 archived feedback events. Figure 13 separates these descriptive counts from deadline outcomes. Equality of delivery is therefore accompanied by equality of recorded actions in this archive, rather than being used to infer it.</w:t>
      </w:r>
    </w:p>
    <w:p>
      <w:pPr>
        <w:keepNext w:val="0"/>
        <w:pageBreakBefore w:val="0"/>
        <w:widowControl/>
        <w:spacing w:line="276" w:lineRule="auto" w:after="120"/>
      </w:pPr>
      <w:r>
        <w:t>A deterministic grid intervenes on one candidate’s two risk coordinates at a time in 120 evenly spaced multi-choice source observations per attack/timing stratum. The five effective-count pairs are (1,1), (5,1), (20,1), (1,5) and (1,20); the retained candidate set and other coordinates are held fixed. The compiled Q22 actor changes its action in 1,010 of 4,800 interventions, with maximum logit change 0.18371. These are offline actor-sensitivity checks, not closed-loop delivery results, independent replicates or a test of candidate preselection. They show that the observed positive-count changes were insufficient to change choices, not that every risk input is ignored.</w:t>
      </w:r>
    </w:p>
    <w:p>
      <w:pPr>
        <w:keepNext w:val="0"/>
        <w:pageBreakBefore w:val="0"/>
        <w:widowControl/>
        <w:spacing w:line="276" w:lineRule="auto" w:after="120"/>
      </w:pPr>
      <w:r>
        <w:t>For benign censored runs with scheduled delays, 600 critical packets include thirty timely deliveries, 563 delivered-but-late packets and seven undelivered packets. The median sink application delay is 131 ms and source signed-receipt delay 382 ms over their respective received packets across all classes. Thus, most critical failures are lateness rather than loss. Sink arrival, application processing and reverse receipt timing remain distinct endpoints; high delivery does not establish the original 90 ms service target. Antecedent-event checks pass on all 600 archived runs, binding emitted feedback to prior received frames, processing readiness, own MAC outcomes and packet identities. They complement wire/ledger/policy audits rather than proving an independent RF model.</w:t>
      </w:r>
    </w:p>
    <w:p>
      <w:pPr>
        <w:keepNext/>
        <w:pageBreakBefore w:val="0"/>
        <w:widowControl/>
        <w:spacing w:line="276" w:lineRule="auto" w:after="120"/>
      </w:pPr>
      <w:r>
        <w:drawing>
          <wp:inline xmlns:a="http://schemas.openxmlformats.org/drawingml/2006/main" xmlns:pic="http://schemas.openxmlformats.org/drawingml/2006/picture">
            <wp:extent cx="5760000" cy="5393268"/>
            <wp:docPr id="13" name="Picture 13"/>
            <wp:cNvGraphicFramePr>
              <a:graphicFrameLocks noChangeAspect="1"/>
            </wp:cNvGraphicFramePr>
            <a:graphic>
              <a:graphicData uri="http://schemas.openxmlformats.org/drawingml/2006/picture">
                <pic:pic>
                  <pic:nvPicPr>
                    <pic:cNvPr id="0" name="fig13_feedback_diagnostics.png"/>
                    <pic:cNvPicPr/>
                  </pic:nvPicPr>
                  <pic:blipFill>
                    <a:blip r:embed="rId22"/>
                    <a:stretch>
                      <a:fillRect/>
                    </a:stretch>
                  </pic:blipFill>
                  <pic:spPr>
                    <a:xfrm>
                      <a:off x="0" y="0"/>
                      <a:ext cx="5760000" cy="5393268"/>
                    </a:xfrm>
                    <a:prstGeom prst="rect"/>
                  </pic:spPr>
                </pic:pic>
              </a:graphicData>
            </a:graphic>
          </wp:inline>
        </w:drawing>
      </w:r>
    </w:p>
    <w:p>
      <w:pPr>
        <w:keepNext w:val="0"/>
        <w:pageBreakBefore w:val="0"/>
        <w:widowControl/>
        <w:spacing w:line="276" w:lineRule="auto" w:after="120"/>
      </w:pPr>
      <w:r>
        <w:t>Fig. 13. Feedback and deadline diagnostics.</w:t>
      </w:r>
    </w:p>
    <w:p>
      <w:pPr>
        <w:pStyle w:val="Heading2"/>
        <w:keepNext/>
      </w:pPr>
      <w:r>
        <w:t>5.11 Matched feedback and counterbalanced transfer</w:t>
      </w:r>
    </w:p>
    <w:p>
      <w:pPr>
        <w:keepNext w:val="0"/>
        <w:pageBreakBefore w:val="0"/>
        <w:widowControl/>
        <w:spacing w:line="276" w:lineRule="auto" w:after="120"/>
      </w:pPr>
      <w:r>
        <w:t>The new protocol was committed before new radio outcomes as b24418008b318aa4a082e0a666c4a2196b5c994c; pre-primary-outcome amendment 40a933ee06b0dd1521f7de36d4b215f9f8d8b9d4 records GCC portability corrections after an excluded compile-only preflight failure. Twelve independently perturbed four-node geometries use three retained checkpoints. Each checkpoint covers onset packet 10 or 30 crossed with UDGM RX probability 0.9 or 1. Two radio seeds per block cross both relay-ID permutations, benign behavior or either physical attacker position, both timing settings and five arms: 1,440 runs. Perturbations are uniform within ±1 m around each original relay position. Source and sink remain fixed; the geometry family is narrow and the block factors are not fully crossed within each geometry. Relay-ID permutations also exchange the inherited 50 ms beacon-phase offsets and identity tie-breaking order. Both permutations are paired across arms rather than treated as interchangeable radio histories.</w:t>
      </w:r>
    </w:p>
    <w:p>
      <w:pPr>
        <w:keepNext w:val="0"/>
        <w:pageBreakBefore w:val="0"/>
        <w:widowControl/>
        <w:spacing w:line="276" w:lineRule="auto" w:after="120"/>
      </w:pPr>
      <w:r>
        <w:t>Four arms cross a missing-evidence failure increment with proof generation. Algorithm 1 and Fig. 2 retain the censored lifecycle; the negative-update arms add the declared failure increment at expiry. Figures 1 and 7 continue to describe their original simulation and host-transport stages, not a production deployment. All four require the observer’s own ACK, expire 150 ms after it, apply the same incremental clipped positive weight and admit late positive evidence until slot reuse. Missing-evidence penalties use the cached expected-link weight once at expiry. A late positive observation adds positive evidence without retracting that earlier penalty. Application offers and processing rules are fixed. Enabling proofs intentionally changes control airtime and the associated scheduled processing; these costs are part of that intervention. Proofs do not enter these four ledgers, and route-dependent realized proof counts can differ. The fifth arm retains legacy active-proof eligibility and expiry as a separate reference, with the shared stricter proof source/session/pending-route check. Public fixture keys exercise serialization and validation, not deployment secrecy. Native execution and overlapping per-packet scheduled delays retain the scope of Section 5.9.</w:t>
      </w:r>
    </w:p>
    <w:p>
      <w:pPr>
        <w:keepNext w:val="0"/>
        <w:pageBreakBefore w:val="0"/>
        <w:widowControl/>
        <w:spacing w:line="276" w:lineRule="auto" w:after="120"/>
      </w:pPr>
      <w:r>
        <w:t>The Cooja port uses 38 m to normalize sinkward progress in preselection and candidate features, whereas Eq. (1) describes the original 50 m benchmark normalization. Candidate progress is clipped to [−1, 1]; both source relay coordinates saturate at 1 throughout this narrow fixture family. Preselection still uses unclipped progress, and a geometry perturbation can admit an additional positive-progress relay-to-relay choice. Only sinkward candidates are retained. These inherited transfer rules, nominal telemetry and fixed sources are common across the matched arms; the experiment does not restore the original observation distribution or establish wide network-scale generalization.</w:t>
      </w:r>
    </w:p>
    <w:p>
      <w:pPr>
        <w:keepNext w:val="0"/>
        <w:pageBreakBefore w:val="0"/>
        <w:widowControl/>
        <w:spacing w:line="276" w:lineRule="auto" w:after="120"/>
      </w:pPr>
      <w:r>
        <w:t>The remediation questions were motivated by the archived failure; they are exploratory relative to the original study, with their own analysis prespecified before the new runs. Primary inference within this new family uses post-onset unique sink delivery in attacked runs. Each geometry block averages the two radio seeds, two identity permutations and two physical attacker positions within timing and arm. Negative-update and proof-generation main effects average their two corresponding simple effects; the interaction is the difference in differences. Pointwise 95% intervals use 20,000 paired geometry-block bootstrap resamples. Two-sided exhaustive sign-flip tests enumerate 4,096 sign assignments over twelve block differences, conditional on symmetric block effects; this is not a claim of randomized treatment allocation. Holm adjustment covers six primary contrasts, three per timing setting. Whole-run critical failures and total transmit-state seconds have separate six-contrast secondary families. No equivalence or noninferiority claim is made. Table 12 and Fig. 14 report the primary effects.</w:t>
      </w:r>
    </w:p>
    <w:p>
      <w:pPr>
        <w:keepNext/>
        <w:pageBreakBefore w:val="0"/>
        <w:widowControl/>
        <w:spacing w:line="276" w:lineRule="auto" w:after="120"/>
      </w:pPr>
      <w:r>
        <w:t>Table 12. Matched delivery effects.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814"/>
        <w:gridCol w:w="1814"/>
        <w:gridCol w:w="1814"/>
        <w:gridCol w:w="1814"/>
        <w:gridCol w:w="1814"/>
      </w:tblGrid>
      <w:tr>
        <w:trPr>
          <w:cantSplit/>
          <w:tblHeader/>
        </w:trPr>
        <w:tc>
          <w:tcPr>
            <w:tcW w:type="dxa" w:w="1361"/>
          </w:tcPr>
          <w:p>
            <w:pPr>
              <w:keepNext/>
              <w:spacing w:before="40" w:after="40" w:line="240" w:lineRule="auto"/>
            </w:pPr>
            <w:r>
              <w:rPr>
                <w:rFonts w:ascii="Times New Roman" w:hAnsi="Times New Roman"/>
                <w:b/>
                <w:sz w:val="18"/>
              </w:rPr>
              <w:t>Timing</w:t>
            </w:r>
          </w:p>
        </w:tc>
        <w:tc>
          <w:tcPr>
            <w:tcW w:type="dxa" w:w="1984"/>
          </w:tcPr>
          <w:p>
            <w:pPr>
              <w:keepNext/>
              <w:spacing w:before="40" w:after="40" w:line="240" w:lineRule="auto"/>
            </w:pPr>
            <w:r>
              <w:rPr>
                <w:rFonts w:ascii="Times New Roman" w:hAnsi="Times New Roman"/>
                <w:b/>
                <w:sz w:val="18"/>
              </w:rPr>
              <w:t>Contrast</w:t>
            </w:r>
          </w:p>
        </w:tc>
        <w:tc>
          <w:tcPr>
            <w:tcW w:type="dxa" w:w="1304"/>
          </w:tcPr>
          <w:p>
            <w:pPr>
              <w:keepNext/>
              <w:spacing w:before="40" w:after="40" w:line="240" w:lineRule="auto"/>
            </w:pPr>
            <w:r>
              <w:rPr>
                <w:rFonts w:ascii="Times New Roman" w:hAnsi="Times New Roman"/>
                <w:b/>
                <w:sz w:val="18"/>
              </w:rPr>
              <w:t>Effect (pp)</w:t>
            </w:r>
          </w:p>
        </w:tc>
        <w:tc>
          <w:tcPr>
            <w:tcW w:type="dxa" w:w="2381"/>
          </w:tcPr>
          <w:p>
            <w:pPr>
              <w:keepNext/>
              <w:spacing w:before="40" w:after="40" w:line="240" w:lineRule="auto"/>
            </w:pPr>
            <w:r>
              <w:rPr>
                <w:rFonts w:ascii="Times New Roman" w:hAnsi="Times New Roman"/>
                <w:b/>
                <w:sz w:val="18"/>
              </w:rPr>
              <w:t>95% interval (pp)</w:t>
            </w:r>
          </w:p>
        </w:tc>
        <w:tc>
          <w:tcPr>
            <w:tcW w:type="dxa" w:w="1134"/>
          </w:tcPr>
          <w:p>
            <w:pPr>
              <w:keepNext/>
              <w:spacing w:before="40" w:after="40" w:line="240" w:lineRule="auto"/>
            </w:pPr>
            <w:r>
              <w:rPr>
                <w:rFonts w:ascii="Times New Roman" w:hAnsi="Times New Roman"/>
                <w:b/>
                <w:sz w:val="18"/>
              </w:rPr>
              <w:t>Holm p</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Negative update</w:t>
            </w:r>
          </w:p>
        </w:tc>
        <w:tc>
          <w:tcPr>
            <w:tcW w:type="dxa" w:w="1304"/>
          </w:tcPr>
          <w:p>
            <w:pPr>
              <w:keepNext/>
              <w:spacing w:before="40" w:after="40" w:line="240" w:lineRule="auto"/>
            </w:pPr>
            <w:r>
              <w:rPr>
                <w:rFonts w:ascii="Times New Roman" w:hAnsi="Times New Roman"/>
                <w:b w:val="0"/>
                <w:sz w:val="18"/>
              </w:rPr>
              <w:t>+19.000</w:t>
            </w:r>
          </w:p>
        </w:tc>
        <w:tc>
          <w:tcPr>
            <w:tcW w:type="dxa" w:w="2381"/>
          </w:tcPr>
          <w:p>
            <w:pPr>
              <w:keepNext/>
              <w:spacing w:before="40" w:after="40" w:line="240" w:lineRule="auto"/>
            </w:pPr>
            <w:r>
              <w:rPr>
                <w:rFonts w:ascii="Times New Roman" w:hAnsi="Times New Roman"/>
                <w:b w:val="0"/>
                <w:sz w:val="18"/>
              </w:rPr>
              <w:t>[+11.073, +27.198]</w:t>
            </w:r>
          </w:p>
        </w:tc>
        <w:tc>
          <w:tcPr>
            <w:tcW w:type="dxa" w:w="1134"/>
          </w:tcPr>
          <w:p>
            <w:pPr>
              <w:keepNext/>
              <w:spacing w:before="40" w:after="40" w:line="240" w:lineRule="auto"/>
            </w:pPr>
            <w:r>
              <w:rPr>
                <w:rFonts w:ascii="Times New Roman" w:hAnsi="Times New Roman"/>
                <w:b w:val="0"/>
                <w:sz w:val="18"/>
              </w:rPr>
              <w:t>0.005859</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Proof generation</w:t>
            </w:r>
          </w:p>
        </w:tc>
        <w:tc>
          <w:tcPr>
            <w:tcW w:type="dxa" w:w="1304"/>
          </w:tcPr>
          <w:p>
            <w:pPr>
              <w:keepNext/>
              <w:spacing w:before="40" w:after="40" w:line="240" w:lineRule="auto"/>
            </w:pPr>
            <w:r>
              <w:rPr>
                <w:rFonts w:ascii="Times New Roman" w:hAnsi="Times New Roman"/>
                <w:b w:val="0"/>
                <w:sz w:val="18"/>
              </w:rPr>
              <w:t>+0.597</w:t>
            </w:r>
          </w:p>
        </w:tc>
        <w:tc>
          <w:tcPr>
            <w:tcW w:type="dxa" w:w="2381"/>
          </w:tcPr>
          <w:p>
            <w:pPr>
              <w:keepNext/>
              <w:spacing w:before="40" w:after="40" w:line="240" w:lineRule="auto"/>
            </w:pPr>
            <w:r>
              <w:rPr>
                <w:rFonts w:ascii="Times New Roman" w:hAnsi="Times New Roman"/>
                <w:b w:val="0"/>
                <w:sz w:val="18"/>
              </w:rPr>
              <w:t>[-0.642, +1.865]</w:t>
            </w:r>
          </w:p>
        </w:tc>
        <w:tc>
          <w:tcPr>
            <w:tcW w:type="dxa" w:w="1134"/>
          </w:tcPr>
          <w:p>
            <w:pPr>
              <w:keepNext/>
              <w:spacing w:before="40" w:after="40" w:line="240" w:lineRule="auto"/>
            </w:pPr>
            <w:r>
              <w:rPr>
                <w:rFonts w:ascii="Times New Roman" w:hAnsi="Times New Roman"/>
                <w:b w:val="0"/>
                <w:sz w:val="18"/>
              </w:rPr>
              <w:t>0.668</w:t>
            </w:r>
          </w:p>
        </w:tc>
      </w:tr>
      <w:tr>
        <w:trPr>
          <w:cantSplit/>
        </w:trPr>
        <w:tc>
          <w:tcPr>
            <w:tcW w:type="dxa" w:w="1361"/>
          </w:tcPr>
          <w:p>
            <w:pPr>
              <w:keepNext/>
              <w:spacing w:before="40" w:after="40" w:line="240" w:lineRule="auto"/>
            </w:pPr>
            <w:r>
              <w:rPr>
                <w:rFonts w:ascii="Times New Roman" w:hAnsi="Times New Roman"/>
                <w:b w:val="0"/>
                <w:sz w:val="18"/>
              </w:rPr>
              <w:t>Native</w:t>
            </w:r>
          </w:p>
        </w:tc>
        <w:tc>
          <w:tcPr>
            <w:tcW w:type="dxa" w:w="1984"/>
          </w:tcPr>
          <w:p>
            <w:pPr>
              <w:keepNext/>
              <w:spacing w:before="40" w:after="40" w:line="240" w:lineRule="auto"/>
            </w:pPr>
            <w:r>
              <w:rPr>
                <w:rFonts w:ascii="Times New Roman" w:hAnsi="Times New Roman"/>
                <w:b w:val="0"/>
                <w:sz w:val="18"/>
              </w:rPr>
              <w:t>Interaction</w:t>
            </w:r>
          </w:p>
        </w:tc>
        <w:tc>
          <w:tcPr>
            <w:tcW w:type="dxa" w:w="1304"/>
          </w:tcPr>
          <w:p>
            <w:pPr>
              <w:keepNext/>
              <w:spacing w:before="40" w:after="40" w:line="240" w:lineRule="auto"/>
            </w:pPr>
            <w:r>
              <w:rPr>
                <w:rFonts w:ascii="Times New Roman" w:hAnsi="Times New Roman"/>
                <w:b w:val="0"/>
                <w:sz w:val="18"/>
              </w:rPr>
              <w:t>+2.569</w:t>
            </w:r>
          </w:p>
        </w:tc>
        <w:tc>
          <w:tcPr>
            <w:tcW w:type="dxa" w:w="2381"/>
          </w:tcPr>
          <w:p>
            <w:pPr>
              <w:keepNext/>
              <w:spacing w:before="40" w:after="40" w:line="240" w:lineRule="auto"/>
            </w:pPr>
            <w:r>
              <w:rPr>
                <w:rFonts w:ascii="Times New Roman" w:hAnsi="Times New Roman"/>
                <w:b w:val="0"/>
                <w:sz w:val="18"/>
              </w:rPr>
              <w:t>[-0.028, +5.167]</w:t>
            </w:r>
          </w:p>
        </w:tc>
        <w:tc>
          <w:tcPr>
            <w:tcW w:type="dxa" w:w="1134"/>
          </w:tcPr>
          <w:p>
            <w:pPr>
              <w:keepNext/>
              <w:spacing w:before="40" w:after="40" w:line="240" w:lineRule="auto"/>
            </w:pPr>
            <w:r>
              <w:rPr>
                <w:rFonts w:ascii="Times New Roman" w:hAnsi="Times New Roman"/>
                <w:b w:val="0"/>
                <w:sz w:val="18"/>
              </w:rPr>
              <w:t>0.3555</w:t>
            </w:r>
          </w:p>
        </w:tc>
      </w:tr>
      <w:tr>
        <w:trPr>
          <w:cantSplit/>
        </w:trPr>
        <w:tc>
          <w:tcPr>
            <w:tcW w:type="dxa" w:w="1361"/>
          </w:tcPr>
          <w:p>
            <w:pPr>
              <w:keepNext/>
              <w:spacing w:before="40" w:after="40" w:line="240" w:lineRule="auto"/>
            </w:pPr>
            <w:r>
              <w:rPr>
                <w:rFonts w:ascii="Times New Roman" w:hAnsi="Times New Roman"/>
                <w:b w:val="0"/>
                <w:sz w:val="18"/>
              </w:rPr>
              <w:t>Scheduled</w:t>
            </w:r>
          </w:p>
        </w:tc>
        <w:tc>
          <w:tcPr>
            <w:tcW w:type="dxa" w:w="1984"/>
          </w:tcPr>
          <w:p>
            <w:pPr>
              <w:keepNext/>
              <w:spacing w:before="40" w:after="40" w:line="240" w:lineRule="auto"/>
            </w:pPr>
            <w:r>
              <w:rPr>
                <w:rFonts w:ascii="Times New Roman" w:hAnsi="Times New Roman"/>
                <w:b w:val="0"/>
                <w:sz w:val="18"/>
              </w:rPr>
              <w:t>Negative update</w:t>
            </w:r>
          </w:p>
        </w:tc>
        <w:tc>
          <w:tcPr>
            <w:tcW w:type="dxa" w:w="1304"/>
          </w:tcPr>
          <w:p>
            <w:pPr>
              <w:keepNext/>
              <w:spacing w:before="40" w:after="40" w:line="240" w:lineRule="auto"/>
            </w:pPr>
            <w:r>
              <w:rPr>
                <w:rFonts w:ascii="Times New Roman" w:hAnsi="Times New Roman"/>
                <w:b w:val="0"/>
                <w:sz w:val="18"/>
              </w:rPr>
              <w:t>+21.170</w:t>
            </w:r>
          </w:p>
        </w:tc>
        <w:tc>
          <w:tcPr>
            <w:tcW w:type="dxa" w:w="2381"/>
          </w:tcPr>
          <w:p>
            <w:pPr>
              <w:keepNext/>
              <w:spacing w:before="40" w:after="40" w:line="240" w:lineRule="auto"/>
            </w:pPr>
            <w:r>
              <w:rPr>
                <w:rFonts w:ascii="Times New Roman" w:hAnsi="Times New Roman"/>
                <w:b w:val="0"/>
                <w:sz w:val="18"/>
              </w:rPr>
              <w:t>[+14.410, +27.834]</w:t>
            </w:r>
          </w:p>
        </w:tc>
        <w:tc>
          <w:tcPr>
            <w:tcW w:type="dxa" w:w="1134"/>
          </w:tcPr>
          <w:p>
            <w:pPr>
              <w:keepNext/>
              <w:spacing w:before="40" w:after="40" w:line="240" w:lineRule="auto"/>
            </w:pPr>
            <w:r>
              <w:rPr>
                <w:rFonts w:ascii="Times New Roman" w:hAnsi="Times New Roman"/>
                <w:b w:val="0"/>
                <w:sz w:val="18"/>
              </w:rPr>
              <w:t>0.005859</w:t>
            </w:r>
          </w:p>
        </w:tc>
      </w:tr>
      <w:tr>
        <w:trPr>
          <w:cantSplit/>
        </w:trPr>
        <w:tc>
          <w:tcPr>
            <w:tcW w:type="dxa" w:w="1361"/>
          </w:tcPr>
          <w:p>
            <w:pPr>
              <w:keepNext/>
              <w:spacing w:before="40" w:after="40" w:line="240" w:lineRule="auto"/>
            </w:pPr>
            <w:r>
              <w:rPr>
                <w:rFonts w:ascii="Times New Roman" w:hAnsi="Times New Roman"/>
                <w:b w:val="0"/>
                <w:sz w:val="18"/>
              </w:rPr>
              <w:t>Scheduled</w:t>
            </w:r>
          </w:p>
        </w:tc>
        <w:tc>
          <w:tcPr>
            <w:tcW w:type="dxa" w:w="1984"/>
          </w:tcPr>
          <w:p>
            <w:pPr>
              <w:keepNext/>
              <w:spacing w:before="40" w:after="40" w:line="240" w:lineRule="auto"/>
            </w:pPr>
            <w:r>
              <w:rPr>
                <w:rFonts w:ascii="Times New Roman" w:hAnsi="Times New Roman"/>
                <w:b w:val="0"/>
                <w:sz w:val="18"/>
              </w:rPr>
              <w:t>Proof generation</w:t>
            </w:r>
          </w:p>
        </w:tc>
        <w:tc>
          <w:tcPr>
            <w:tcW w:type="dxa" w:w="1304"/>
          </w:tcPr>
          <w:p>
            <w:pPr>
              <w:keepNext/>
              <w:spacing w:before="40" w:after="40" w:line="240" w:lineRule="auto"/>
            </w:pPr>
            <w:r>
              <w:rPr>
                <w:rFonts w:ascii="Times New Roman" w:hAnsi="Times New Roman"/>
                <w:b w:val="0"/>
                <w:sz w:val="18"/>
              </w:rPr>
              <w:t>+1.017</w:t>
            </w:r>
          </w:p>
        </w:tc>
        <w:tc>
          <w:tcPr>
            <w:tcW w:type="dxa" w:w="2381"/>
          </w:tcPr>
          <w:p>
            <w:pPr>
              <w:keepNext/>
              <w:spacing w:before="40" w:after="40" w:line="240" w:lineRule="auto"/>
            </w:pPr>
            <w:r>
              <w:rPr>
                <w:rFonts w:ascii="Times New Roman" w:hAnsi="Times New Roman"/>
                <w:b w:val="0"/>
                <w:sz w:val="18"/>
              </w:rPr>
              <w:t>[-0.826, +2.906]</w:t>
            </w:r>
          </w:p>
        </w:tc>
        <w:tc>
          <w:tcPr>
            <w:tcW w:type="dxa" w:w="1134"/>
          </w:tcPr>
          <w:p>
            <w:pPr>
              <w:keepNext/>
              <w:spacing w:before="40" w:after="40" w:line="240" w:lineRule="auto"/>
            </w:pPr>
            <w:r>
              <w:rPr>
                <w:rFonts w:ascii="Times New Roman" w:hAnsi="Times New Roman"/>
                <w:b w:val="0"/>
                <w:sz w:val="18"/>
              </w:rPr>
              <w:t>0.668</w:t>
            </w:r>
          </w:p>
        </w:tc>
      </w:tr>
      <w:tr>
        <w:trPr>
          <w:cantSplit/>
        </w:trPr>
        <w:tc>
          <w:tcPr>
            <w:tcW w:type="dxa" w:w="1361"/>
          </w:tcPr>
          <w:p>
            <w:pPr>
              <w:keepNext w:val="0"/>
              <w:spacing w:before="40" w:after="40" w:line="240" w:lineRule="auto"/>
            </w:pPr>
            <w:r>
              <w:rPr>
                <w:rFonts w:ascii="Times New Roman" w:hAnsi="Times New Roman"/>
                <w:b w:val="0"/>
                <w:sz w:val="18"/>
              </w:rPr>
              <w:t>Scheduled</w:t>
            </w:r>
          </w:p>
        </w:tc>
        <w:tc>
          <w:tcPr>
            <w:tcW w:type="dxa" w:w="1984"/>
          </w:tcPr>
          <w:p>
            <w:pPr>
              <w:keepNext w:val="0"/>
              <w:spacing w:before="40" w:after="40" w:line="240" w:lineRule="auto"/>
            </w:pPr>
            <w:r>
              <w:rPr>
                <w:rFonts w:ascii="Times New Roman" w:hAnsi="Times New Roman"/>
                <w:b w:val="0"/>
                <w:sz w:val="18"/>
              </w:rPr>
              <w:t>Interaction</w:t>
            </w:r>
          </w:p>
        </w:tc>
        <w:tc>
          <w:tcPr>
            <w:tcW w:type="dxa" w:w="1304"/>
          </w:tcPr>
          <w:p>
            <w:pPr>
              <w:keepNext w:val="0"/>
              <w:spacing w:before="40" w:after="40" w:line="240" w:lineRule="auto"/>
            </w:pPr>
            <w:r>
              <w:rPr>
                <w:rFonts w:ascii="Times New Roman" w:hAnsi="Times New Roman"/>
                <w:b w:val="0"/>
                <w:sz w:val="18"/>
              </w:rPr>
              <w:t>+2.563</w:t>
            </w:r>
          </w:p>
        </w:tc>
        <w:tc>
          <w:tcPr>
            <w:tcW w:type="dxa" w:w="2381"/>
          </w:tcPr>
          <w:p>
            <w:pPr>
              <w:keepNext w:val="0"/>
              <w:spacing w:before="40" w:after="40" w:line="240" w:lineRule="auto"/>
            </w:pPr>
            <w:r>
              <w:rPr>
                <w:rFonts w:ascii="Times New Roman" w:hAnsi="Times New Roman"/>
                <w:b w:val="0"/>
                <w:sz w:val="18"/>
              </w:rPr>
              <w:t>[-0.806, +6.271]</w:t>
            </w:r>
          </w:p>
        </w:tc>
        <w:tc>
          <w:tcPr>
            <w:tcW w:type="dxa" w:w="1134"/>
          </w:tcPr>
          <w:p>
            <w:pPr>
              <w:keepNext w:val="0"/>
              <w:spacing w:before="40" w:after="40" w:line="240" w:lineRule="auto"/>
            </w:pPr>
            <w:r>
              <w:rPr>
                <w:rFonts w:ascii="Times New Roman" w:hAnsi="Times New Roman"/>
                <w:b w:val="0"/>
                <w:sz w:val="18"/>
              </w:rPr>
              <w:t>0.6548</w:t>
            </w:r>
          </w:p>
        </w:tc>
      </w:tr>
    </w:tbl>
    <w:p>
      <w:pPr>
        <w:keepNext w:val="0"/>
        <w:pageBreakBefore w:val="0"/>
        <w:widowControl/>
        <w:spacing w:line="276" w:lineRule="auto" w:after="120"/>
      </w:pPr>
      <w:r>
        <w:t>2 of the six primary contrasts survive Holm correction: native negative update, scheduled negative update. The remaining contrasts do not establish equivalence or the absence of a practically relevant effect.</w:t>
      </w:r>
    </w:p>
    <w:p>
      <w:pPr>
        <w:keepNext w:val="0"/>
        <w:pageBreakBefore w:val="0"/>
        <w:widowControl/>
        <w:spacing w:line="276" w:lineRule="auto" w:after="120"/>
      </w:pPr>
      <w:r>
        <w:t>Effects use percentage points and equal geometry-block weight; packets are not independent replicates. Native means no added compute delay, not calibrated zero MCU processing cost. The intervention estimates include downstream routing and traffic consequences. The active reference is not part of the matched factorial family, and its additional comparisons remain exploratory. All source captures, compressed native images, case settings and checkpoint identities are rebound by hash before this manuscript integration; historical statistical families remain unchanged. Per-case audit acceptance denotes complete and consistent reconstruction, not perfect delivery or satisfaction of a service deadline; loss and lateness remain measured outcomes.</w:t>
      </w:r>
    </w:p>
    <w:p>
      <w:pPr>
        <w:keepNext/>
        <w:pageBreakBefore w:val="0"/>
        <w:widowControl/>
        <w:spacing w:line="276" w:lineRule="auto" w:after="120"/>
      </w:pPr>
      <w:r>
        <w:drawing>
          <wp:inline xmlns:a="http://schemas.openxmlformats.org/drawingml/2006/main" xmlns:pic="http://schemas.openxmlformats.org/drawingml/2006/picture">
            <wp:extent cx="5760000" cy="3473441"/>
            <wp:docPr id="14" name="Picture 14"/>
            <wp:cNvGraphicFramePr>
              <a:graphicFrameLocks noChangeAspect="1"/>
            </wp:cNvGraphicFramePr>
            <a:graphic>
              <a:graphicData uri="http://schemas.openxmlformats.org/drawingml/2006/picture">
                <pic:pic>
                  <pic:nvPicPr>
                    <pic:cNvPr id="0" name="fig14_matched_feedback_effects.png"/>
                    <pic:cNvPicPr/>
                  </pic:nvPicPr>
                  <pic:blipFill>
                    <a:blip r:embed="rId23"/>
                    <a:stretch>
                      <a:fillRect/>
                    </a:stretch>
                  </pic:blipFill>
                  <pic:spPr>
                    <a:xfrm>
                      <a:off x="0" y="0"/>
                      <a:ext cx="5760000" cy="3473441"/>
                    </a:xfrm>
                    <a:prstGeom prst="rect"/>
                  </pic:spPr>
                </pic:pic>
              </a:graphicData>
            </a:graphic>
          </wp:inline>
        </w:drawing>
      </w:r>
    </w:p>
    <w:p>
      <w:pPr>
        <w:keepNext w:val="0"/>
        <w:pageBreakBefore w:val="0"/>
        <w:widowControl/>
        <w:spacing w:line="276" w:lineRule="auto" w:after="120"/>
      </w:pPr>
      <w:r>
        <w:t>Fig. 14. Matched feedback effects.</w:t>
      </w:r>
    </w:p>
    <w:p>
      <w:pPr>
        <w:keepNext w:val="0"/>
        <w:pageBreakBefore w:val="0"/>
        <w:widowControl/>
        <w:spacing w:line="276" w:lineRule="auto" w:after="120"/>
      </w:pPr>
      <w:r>
        <w:t>Under scheduled processing, the numbers of attacked run settings meeting the fixed twenty-opportunity recovery criterion are censored 48/96; censored with proofs 48/96; negative update 68/96; negative update with proofs 72/96; active reference 69/96. Right-censored settings over the full available window are censored 48/96; censored with proofs 48/96; negative update 15/96; negative update with proofs 13/96; active reference 19/96. These are descriptive tallies over correlated seed, permutation and attacker settings, not additional independent experimental units. The retained secondary summary reports conditional confirmation latencies alongside censoring, cumulative post-onset losses, relay switches and proof frames/bytes. Feedback trajectories preserve effective counts and their heuristic risk coordinates; no observed recovery fraction is used to tune the policy or select an onset threshold.</w:t>
      </w:r>
    </w:p>
    <w:p>
      <w:pPr>
        <w:keepNext w:val="0"/>
        <w:pageBreakBefore w:val="0"/>
        <w:widowControl/>
        <w:spacing w:line="276" w:lineRule="auto" w:after="120"/>
      </w:pPr>
      <w:r>
        <w:t>An additional post-outcome exploratory aggregation conditions on selecting the attacker in the final pre-onset source decision. Within twenty opportunities, the counts are censored 0/48; censored with proofs 1/48; negative update 20/48; negative update with proofs 25/48; active reference 22/48. All forty-eight censored settings in this subgroup remain right-censored over the full remaining window. Among observed subgroup recoveries, median confirmation times are 4.8 s for negative updates, 4.5 s for negative updates with proofs and 4.5 s for the active reference; these conditional medians exclude fifteen, twelve and eighteen right-censored settings, respectively. They are descriptive, do not alter the primary family and do not establish safe downstream paths. Proof-enabled matched arms average 38.90 or 48.89 proof frames per attacked scheduled run under censored or negative updates, respectively; realized counts depend on routing.</w:t>
      </w:r>
    </w:p>
    <w:p>
      <w:pPr>
        <w:keepNext w:val="0"/>
        <w:pageBreakBefore w:val="0"/>
        <w:widowControl/>
        <w:spacing w:line="276" w:lineRule="auto" w:after="120"/>
      </w:pPr>
      <w:r>
        <w:t>Adaptation is assessed as the first three consecutive source choices avoiding the declared attacker, with right censoring when no such sequence occurs. Recovery within twenty packet opportunities uses the same fixed observation window for both onset settings; a single safe choice is not sustained recovery. The criterion includes source choices already avoiding the attacker at onset; meeting it does not by itself establish adaptation. Additional exploratory summaries stratify by the last pre-onset source choice and count post-onset switches. This is a routing-choice diagnostic rather than proof of subsequent delivery. The budget fixes twelve geometry blocks; it is not a power justification for declaring small effects absent. The small balanced fixture family, shared four-node graph, fixed source/sink, three checkpoints, public keys and nominal energy/queue telemetry limit transfer. Hop-authenticated relay claims also do not establish truthful forwarding by a malicious key holder, and the runtime router cannot access the independent auditor’s global trace.</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evidence supports a conditional feedback comparison. Censored feedback meets the original 750-run decision rule, yet loses substantially to active proofs in the separate delayed Cooja blackhole setting. These studies differ in topology, traffic, state construction and execution, so their contrast does not identify behavior change as the sole cause. Within Cooja, the censored-plus-proof control tests whether enabling proof generation under the retained censored rule restores delivery; it does not. Eligibility and expiry semantics still differ between active and censored arms, preventing attribution of the full gap to one update rule. Section 5.11 removes the stated ACK/expiry/late-positive differences within four new matched arms. Its factorial effects apply to that intervention and fixture family; they do not retroactively identify the complete cause of the original 750-run gain.</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physical integrated-firmware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pPr>
      <w:r>
        <w:t>6.2 Interpretation of the exposed failure boundary</w:t>
      </w:r>
    </w:p>
    <w:p>
      <w:pPr>
        <w:keepNext w:val="0"/>
        <w:pageBreakBefore w:val="0"/>
        <w:widowControl/>
        <w:spacing w:line="276" w:lineRule="auto" w:after="120"/>
      </w:pPr>
      <w:r>
        <w:t>With the rate-anomaly term disabled, censored feedback keeps the effective failure count β at 1 and never decreases the effective success count α. If no new accepted evidence arrives, these counts and their derived risk coordinates remain unchanged. Positive observations can increase α, but subsequent silence supplies no corrective count. This follows from Eqs. (3)–(5); it is a property of the declared estimator, not evidence that every learned routing action must remain fixed. Cache freshness, link estimates, geometry and service debt can still change the selected relay.</w:t>
      </w:r>
    </w:p>
    <w:p>
      <w:pPr>
        <w:keepNext w:val="0"/>
        <w:pageBreakBefore w:val="0"/>
        <w:widowControl/>
        <w:spacing w:line="276" w:lineRule="auto" w:after="120"/>
      </w:pPr>
      <w:r>
        <w:t>Table 11 and Fig. 12 expose the practical consequence in the tested four-node transfer setting. The delayed active-minus-censored delivery contrast is +46.17 percentage points (95% paired interval +36.89 to +54.50; Holm-adjusted p=0.00016). Adding proof generation to censored feedback changes delivery by −0.11 percentage points (95% paired interval −0.50 to +0.39; Holm-adjusted p=1). The second contrast supplies no evidence of recovery from proof generation alone; its nonsignificance is not a population-equivalence result. Active-proof semantics include different eligibility and expiry rules, so the contrast does not isolate the effect of negative updates.</w:t>
      </w:r>
    </w:p>
    <w:p>
      <w:pPr>
        <w:keepNext w:val="0"/>
        <w:pageBreakBefore w:val="0"/>
        <w:widowControl/>
        <w:spacing w:line="276" w:lineRule="auto" w:after="120"/>
      </w:pPr>
      <w:r>
        <w:t>The historical Cooja study exposes a failure condition, while the remediation study varies onset, channel condition, geometry and retained checkpoint within a declared small fixture family. Two onset settings and three checkpoints do not identify a universal change-point or a safe passive-feedback operating region. The balanced block design also does not fully cross every geometry with every checkpoint/onset/channel setting. An optimal probing policy remains a prospective mechanism requiring its own frozen evaluation.</w:t>
      </w:r>
    </w:p>
    <w:p>
      <w:pPr>
        <w:pStyle w:val="Heading2"/>
        <w:keepNext/>
        <w:pageBreakBefore w:val="0"/>
        <w:widowControl/>
        <w:spacing w:line="276" w:lineRule="auto" w:after="120"/>
      </w:pPr>
      <w:r>
        <w:t>6.3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not established by isolated or small-scale integrated emulation.</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Matched feedback controls now separate the missing-evidence update rule from proof generation in 1,440 Cooja runs over twelve perturbed-geometry blocks. In the scheduled setting, their post-onset delivery effects are +21.170 percentage points (95% pointwise interval +14.410 to +27.834; Holm-adjusted p=0.005859) for negative updates and +1.017 percentage points (95% pointwise interval -0.826 to +2.906; Holm-adjusted p=0.668) for proof generation. These estimates complement the retained conditional 4.67-point gain and later transfer failure; they do not establish a universally preferable mechanism. Historical policy comparisons supply no established attention advantage, and the remediation experiment does not retest architectural superiority.</w:t>
      </w:r>
    </w:p>
    <w:p>
      <w:pPr>
        <w:keepNext w:val="0"/>
        <w:pageBreakBefore w:val="0"/>
        <w:widowControl/>
        <w:spacing w:line="276" w:lineRule="auto" w:after="120"/>
      </w:pPr>
      <w:r>
        <w:t>Exploratory reconstruction explains the censored–frozen equality in the archived setting: recorded risk changes did not alter selected relays, although larger offline risk interventions could. Failure under the tested conditions therefore cannot be equated with complete actor insensitivity. A compiler-only O3 pilot retains 68/200 signed-receipt deadline misses. The study supplies neither a universal switching threshold nor a production hardware validation. Physical RF, measured energy, protected device keys and reboot-persistent MCU state remain unvalidated.</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t>Data and code availability: code, frozen protocol, checkpoints, historical negative outcomes, raw traces and figure sources are available at https://github.com/DrShivamBhardwaj/JICCE_LA_CPPO_Reproducibility. The original 750-run pre-outcome source freeze is 4027f071322cb5682f39329f656d76df3b68ff62. The complete earlier evidence manuscript is retained in publication/censored_feedback/. The new matched protocol and release are identified in Section 5.11 and outputs/remediation_v1/raw_archive.json.</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p>
      <w:pPr>
        <w:spacing w:line="276" w:lineRule="auto"/>
      </w:pPr>
      <w:r>
        <w:t>[25] F. Österlind, A. Dunkels, J. Eriksson, N. Finne, and T. Voigt, “Cross-level sensor network simulation with COOJA,” in Proceedings of the 31st IEEE Conference on Local Computer Networks, pp. 641–648, 2006. DOI: 10.1109/LCN.2006.322172.</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png"/><Relationship Id="rId2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