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480" w:lineRule="auto"/>
      </w:pPr>
      <w:r>
        <w:rPr>
          <w:rFonts w:ascii="Times New Roman" w:hAnsi="Times New Roman"/>
          <w:color w:val="000000"/>
        </w:rPr>
        <w:t>JICCE resubmission evidence record</w:t>
      </w:r>
    </w:p>
    <w:p>
      <w:pPr>
        <w:spacing w:after="80" w:line="480" w:lineRule="auto"/>
      </w:pPr>
      <w:r>
        <w:rPr>
          <w:rFonts w:ascii="Times New Roman" w:hAnsi="Times New Roman"/>
          <w:color w:val="000000"/>
          <w:sz w:val="19"/>
        </w:rPr>
        <w:t>Related rejected manuscript JICCE-26-0057. This record accompanies a substantially redesigned study for consideration as a new submission. It does not claim that the original ROA–Maxout pipeline has been validated or that its small ROA effect has increased.</w:t>
      </w:r>
    </w:p>
    <w:p>
      <w:pPr>
        <w:pStyle w:val="Heading1"/>
        <w:spacing w:after="80" w:line="480" w:lineRule="auto"/>
      </w:pPr>
      <w:r>
        <w:rPr>
          <w:rFonts w:ascii="Times New Roman" w:hAnsi="Times New Roman"/>
          <w:color w:val="000000"/>
        </w:rPr>
        <w:t>Reviewer A major comment 1</w:t>
      </w:r>
    </w:p>
    <w:p>
      <w:pPr>
        <w:spacing w:after="80" w:line="480" w:lineRule="auto"/>
      </w:pPr>
      <w:r>
        <w:rPr>
          <w:rFonts w:ascii="Times New Roman" w:hAnsi="Times New Roman"/>
          <w:color w:val="000000"/>
          <w:sz w:val="19"/>
        </w:rPr>
        <w:t>The old class-conditioned score replay has been removed from the redesigned router. The current code uses Bayesian risk updated from simulated forwarding outcomes and queue signals. New risk-removal and 80% feedback-observation experiments test the consequences of that feedback. They are simulated validation. Live telemetry extraction, distributed feedback authentication and measured feedback cost remain unresolved; the manuscript does not describe the method as a validated deep IDS.</w:t>
      </w:r>
    </w:p>
    <w:p>
      <w:pPr>
        <w:pStyle w:val="Heading1"/>
        <w:spacing w:after="80" w:line="480" w:lineRule="auto"/>
      </w:pPr>
      <w:r>
        <w:rPr>
          <w:rFonts w:ascii="Times New Roman" w:hAnsi="Times New Roman"/>
          <w:color w:val="000000"/>
        </w:rPr>
        <w:t>Reviewer A major comment 2</w:t>
      </w:r>
    </w:p>
    <w:p>
      <w:pPr>
        <w:spacing w:after="80" w:line="480" w:lineRule="auto"/>
      </w:pPr>
      <w:r>
        <w:rPr>
          <w:rFonts w:ascii="Times New Roman" w:hAnsi="Times New Roman"/>
          <w:color w:val="000000"/>
          <w:sz w:val="19"/>
        </w:rPr>
        <w:t>The redesigned study has no supervised node-ID-suffix dataset partition. Independent environment initialization separates training and evaluation. A separately frozen validation uses 30 new evaluation seeds, approximately matches comparator capacity and tests frozen weights on changed network sizes and attack prevalence. Separate random generators prevent radio draws from shifting traffic selection. Exact policy-independent external-event replay and broader field generalization remain outside the completed evidence.</w:t>
      </w:r>
    </w:p>
    <w:p>
      <w:pPr>
        <w:pStyle w:val="Heading1"/>
        <w:spacing w:after="80" w:line="480" w:lineRule="auto"/>
      </w:pPr>
      <w:r>
        <w:rPr>
          <w:rFonts w:ascii="Times New Roman" w:hAnsi="Times New Roman"/>
          <w:color w:val="000000"/>
        </w:rPr>
        <w:t>Reviewer A major comment 3</w:t>
      </w:r>
    </w:p>
    <w:p>
      <w:pPr>
        <w:spacing w:after="80" w:line="480" w:lineRule="auto"/>
      </w:pPr>
      <w:r>
        <w:rPr>
          <w:rFonts w:ascii="Times New Roman" w:hAnsi="Times New Roman"/>
          <w:color w:val="000000"/>
          <w:sz w:val="19"/>
        </w:rPr>
        <w:t>ROA is no longer the proposed routing method. Its earlier 0.074 percentage-point advantage is not reinterpreted as meaningful superiority. The new method is LA-CPPO, compared with a capacity-matched MLP. The new delay effect is +0.8205 ms and the total-violation effect is -1.5223 percentage points, with the intervals and Holm-adjusted tests in Table 8. The original AF-v3 failed joint criterion remains reported.</w:t>
      </w:r>
    </w:p>
    <w:p>
      <w:pPr>
        <w:pStyle w:val="Heading1"/>
        <w:spacing w:after="80" w:line="480" w:lineRule="auto"/>
      </w:pPr>
      <w:r>
        <w:rPr>
          <w:rFonts w:ascii="Times New Roman" w:hAnsi="Times New Roman"/>
          <w:color w:val="000000"/>
        </w:rPr>
        <w:t>Reviewer A minor comments</w:t>
      </w:r>
    </w:p>
    <w:p>
      <w:pPr>
        <w:spacing w:after="80" w:line="480" w:lineRule="auto"/>
      </w:pPr>
      <w:r>
        <w:rPr>
          <w:rFonts w:ascii="Times New Roman" w:hAnsi="Times New Roman"/>
          <w:color w:val="000000"/>
          <w:sz w:val="19"/>
        </w:rPr>
        <w:t>The revised initial-submission document uses A4 paper, 2.5 cm margins, 9.5-point text and double-spaced body paragraphs, following the author instructions distributed with the society’s available template bundle. The new statistical artwork is supplied in SVG, PDF and EPS as well as high-resolution PNG. The bundle is older; final compliance must be checked against the current submission portal. Historical figures have been preserved.</w:t>
      </w:r>
    </w:p>
    <w:p>
      <w:pPr>
        <w:pStyle w:val="Heading1"/>
        <w:spacing w:after="80" w:line="480" w:lineRule="auto"/>
      </w:pPr>
      <w:r>
        <w:rPr>
          <w:rFonts w:ascii="Times New Roman" w:hAnsi="Times New Roman"/>
          <w:color w:val="000000"/>
        </w:rPr>
        <w:t>Reviewer B</w:t>
      </w:r>
    </w:p>
    <w:p>
      <w:pPr>
        <w:spacing w:after="80" w:line="480" w:lineRule="auto"/>
      </w:pPr>
      <w:r>
        <w:rPr>
          <w:rFonts w:ascii="Times New Roman" w:hAnsi="Times New Roman"/>
          <w:color w:val="000000"/>
          <w:sz w:val="19"/>
        </w:rPr>
        <w:t>The prior response is retained as a historical record. Its acceptance of the earlier revisions is not treated as approval of the substantially redesigned model or the new experiments.</w:t>
      </w:r>
    </w:p>
    <w:p>
      <w:pPr>
        <w:pStyle w:val="Heading1"/>
        <w:spacing w:after="80" w:line="480" w:lineRule="auto"/>
      </w:pPr>
      <w:r>
        <w:rPr>
          <w:rFonts w:ascii="Times New Roman" w:hAnsi="Times New Roman"/>
          <w:color w:val="000000"/>
        </w:rPr>
        <w:t>Reproducibility and remaining limits</w:t>
      </w:r>
    </w:p>
    <w:p>
      <w:pPr>
        <w:spacing w:after="80" w:line="480" w:lineRule="auto"/>
      </w:pPr>
      <w:r>
        <w:rPr>
          <w:rFonts w:ascii="Times New Roman" w:hAnsi="Times New Roman"/>
          <w:color w:val="000000"/>
          <w:sz w:val="19"/>
        </w:rPr>
        <w:t>Repository: https://github.com/DrShivamBhardwaj/JICCE_LA_CPPO_Reproducibility. The package separates historical and new outputs, retains every planned seed/arm, includes 120 trained checkpoints and supplies scripts to regenerate numerical summaries. There are 42 passing implementation tests. Source commit and dependency versions are recorded. No hardware experiments, measured telemetry costs or actual intrusion-detection accuracy are claimed.</w:t>
      </w:r>
    </w:p>
    <w:sectPr w:rsidR="00FC693F" w:rsidRPr="0006063C" w:rsidSect="00034616">
      <w:footerReference w:type="default" r:id="rId9"/>
      <w:pgSz w:w="11906" w:h="16838"/>
      <w:pgMar w:top="1417" w:right="1417" w:bottom="1417" w:left="1417"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480" w:lineRule="auto"/>
    </w:pPr>
    <w:rPr>
      <w:rFonts w:ascii="Times New Roman" w:hAnsi="Times New Roman"/>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