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19652F" w14:textId="77777777" w:rsidR="008867B5" w:rsidRDefault="00000000">
      <w:pPr>
        <w:spacing w:after="140"/>
        <w:jc w:val="center"/>
      </w:pPr>
      <w:r>
        <w:rPr>
          <w:rFonts w:eastAsia="Times New Roman"/>
          <w:b/>
          <w:sz w:val="32"/>
        </w:rPr>
        <w:t>Permutation-Equivariant Local-Attention Constrained Routing for IoT Wireless Sensor Networks: Confirmatory Evidence on Reliability-Latency Trade-offs</w:t>
      </w:r>
    </w:p>
    <w:p w14:paraId="314B9EFB" w14:textId="77777777" w:rsidR="008867B5" w:rsidRDefault="00000000">
      <w:pPr>
        <w:spacing w:after="60"/>
        <w:jc w:val="center"/>
      </w:pPr>
      <w:r>
        <w:rPr>
          <w:rFonts w:eastAsia="Times New Roman"/>
          <w:b/>
          <w:sz w:val="22"/>
        </w:rPr>
        <w:t>Shivam Bhardwaj¹*, Jitendra Nath Srivastava², Akash Sanghi³</w:t>
      </w:r>
    </w:p>
    <w:p w14:paraId="3D1ED408" w14:textId="77777777" w:rsidR="008867B5" w:rsidRDefault="00000000">
      <w:pPr>
        <w:spacing w:after="40"/>
        <w:jc w:val="center"/>
      </w:pPr>
      <w:r>
        <w:rPr>
          <w:rFonts w:eastAsia="Times New Roman"/>
          <w:sz w:val="19"/>
        </w:rPr>
        <w:t>¹,²,³ Faculty of Engineering and Technology, Invertis University, Bareilly, Uttar Pradesh 243123, India</w:t>
      </w:r>
    </w:p>
    <w:p w14:paraId="62B9105E" w14:textId="77777777" w:rsidR="008867B5" w:rsidRDefault="00000000">
      <w:pPr>
        <w:spacing w:after="20"/>
        <w:jc w:val="center"/>
      </w:pPr>
      <w:r>
        <w:rPr>
          <w:rFonts w:eastAsia="Times New Roman"/>
          <w:sz w:val="19"/>
        </w:rPr>
        <w:t>Corresponding author: Shivam Bhardwaj, shibambhardwaj@gmail.com</w:t>
      </w:r>
    </w:p>
    <w:p w14:paraId="70B5E1B4" w14:textId="77777777" w:rsidR="008867B5" w:rsidRDefault="00000000">
      <w:pPr>
        <w:spacing w:after="140"/>
        <w:jc w:val="center"/>
      </w:pPr>
      <w:r>
        <w:rPr>
          <w:rFonts w:eastAsia="Times New Roman"/>
          <w:sz w:val="18"/>
        </w:rPr>
        <w:t>Co-author emails: jitendranathshrivastava@gmail.com; sanghiakash@gmail.com</w:t>
      </w:r>
    </w:p>
    <w:p w14:paraId="0CA0A464" w14:textId="77777777" w:rsidR="008867B5" w:rsidRDefault="00000000">
      <w:pPr>
        <w:pStyle w:val="Heading1"/>
        <w:spacing w:before="180" w:after="60"/>
      </w:pPr>
      <w:r>
        <w:rPr>
          <w:rFonts w:ascii="Times New Roman" w:eastAsia="Times New Roman" w:hAnsi="Times New Roman"/>
          <w:color w:val="000000"/>
        </w:rPr>
        <w:t>Abstract</w:t>
      </w:r>
    </w:p>
    <w:p w14:paraId="09CF3652" w14:textId="77777777" w:rsidR="008867B5" w:rsidRDefault="00000000">
      <w:pPr>
        <w:spacing w:after="80" w:line="269" w:lineRule="auto"/>
        <w:jc w:val="both"/>
      </w:pPr>
      <w:r>
        <w:t>Routing in Internet-of-Things wireless sensor networks must balance packet delivery, delay, energy use, and uncertain forwarding behavior. We evaluate LA-CPPO, a local-attention constrained proximal policy optimization router whose actor is equivariant to candidate reordering and whose critic uses invariant masked pooling. The policy combines local link, queue, and energy information with class-specific QoS debt and online Bayesian forwarding-risk estimates. A prespecified experiment compared LA-CPPO with a fixed-slot MLP receiving the same state and mask over 30 paired initialization seeds. The co-primary endpoints were Class-0 mean delivered delay and total delay-violation rate, with Holm correction and delivery and energy non-inferiority guardrails. Mean delivered delay did not improve: the attention-minus-MLP difference was +1.016 ms (95% CI −0.504 to +2.535; Holm p = 0.182). Total violations fell by 0.0313 absolute (95% CI −0.0516 to −0.0109; Holm p = 0.0077), and both guardrails passed. The joint superiority criterion was therefore not met. Exploratory decomposition attributed 87.9% of the violation reduction to fewer losses and identified a larger share of delivered three-hop packets under attention. A later refinement based on residual slack also failed the separate development criterion. Under the conditions tested here, the routing benefit was greater reliability; mean delivered delay did not improve.</w:t>
      </w:r>
    </w:p>
    <w:p w14:paraId="6D639EC9" w14:textId="77777777" w:rsidR="008867B5" w:rsidRDefault="00000000">
      <w:pPr>
        <w:spacing w:after="140" w:line="269" w:lineRule="auto"/>
      </w:pPr>
      <w:r>
        <w:rPr>
          <w:rFonts w:eastAsia="Times New Roman"/>
          <w:b/>
          <w:sz w:val="20"/>
        </w:rPr>
        <w:t xml:space="preserve">Keywords: </w:t>
      </w:r>
      <w:r>
        <w:rPr>
          <w:rFonts w:eastAsia="Times New Roman"/>
          <w:sz w:val="20"/>
        </w:rPr>
        <w:t>wireless sensor networks; Internet of Things; constrained reinforcement learning; proximal policy optimization; local attention; QoS; trust-aware routing</w:t>
      </w:r>
    </w:p>
    <w:p w14:paraId="21CF6B4C" w14:textId="77777777" w:rsidR="008867B5" w:rsidRDefault="00000000">
      <w:pPr>
        <w:pStyle w:val="Heading1"/>
        <w:spacing w:before="180" w:after="60"/>
      </w:pPr>
      <w:r>
        <w:rPr>
          <w:rFonts w:ascii="Times New Roman" w:eastAsia="Times New Roman" w:hAnsi="Times New Roman"/>
          <w:color w:val="000000"/>
        </w:rPr>
        <w:t>1. Introduction</w:t>
      </w:r>
    </w:p>
    <w:p w14:paraId="2D541A34" w14:textId="77777777" w:rsidR="008867B5" w:rsidRDefault="00000000">
      <w:pPr>
        <w:spacing w:after="80" w:line="269" w:lineRule="auto"/>
        <w:ind w:firstLine="346"/>
        <w:jc w:val="both"/>
      </w:pPr>
      <w:r>
        <w:t>Wireless sensor networks (WSNs) serve distributed sensing, industrial monitoring, and smart infrastructure. Route selection is constrained by battery energy and must respond to changing radio links, queue conditions, and unreliable forwarding [1–5]. Traffic requirements also differ: a route suitable for delay-tolerant packets may be unsuitable for packets with short deadlines. A neighbor can look attractive in terms of expected transmissions or progress toward the sink yet become a poor choice when little deadline slack remains, its queue grows, or its forwarding record worsens.</w:t>
      </w:r>
    </w:p>
    <w:p w14:paraId="0E7DFD55" w14:textId="77777777" w:rsidR="008867B5" w:rsidRDefault="00000000">
      <w:pPr>
        <w:spacing w:after="80" w:line="269" w:lineRule="auto"/>
        <w:ind w:firstLine="346"/>
        <w:jc w:val="both"/>
      </w:pPr>
      <w:r>
        <w:t>Deep reinforcement learning (DRL) maps observations to sequential forwarding decisions through interaction with the network environment [7–10]. Recent routing studies already combine value-based and policy-gradient learning with attention, graph neural networks, federated learning, trust information, and action masks [6,14–26]. We therefore examine a specific design question: how does a local candidate-set representation affect routing outcomes compared with a fixed-slot representation when both receive the same information and training budget?</w:t>
      </w:r>
    </w:p>
    <w:p w14:paraId="126C6173" w14:textId="77777777" w:rsidR="008867B5" w:rsidRDefault="00000000">
      <w:pPr>
        <w:spacing w:after="80" w:line="269" w:lineRule="auto"/>
        <w:ind w:firstLine="346"/>
        <w:jc w:val="both"/>
      </w:pPr>
      <w:r>
        <w:t>LA-CPPO processes each candidate-neighbor feature row with a shared encoder. A query derived from the packet context scores the candidates, so a permutation of their rows produces the same permutation of actor logits. The critic uses a masked mean of the encoded rows. The action set contains at most eight candidates, and the model has no node-specific parameters. Training combines a scalar reward with six cost channels: total delay violation and loss for each of three traffic classes. A Beta forwarding-trust model and a smoothed queue-excess signal provide online risk context without exposing attack labels to the controller.</w:t>
      </w:r>
    </w:p>
    <w:p w14:paraId="62E33BC3" w14:textId="77777777" w:rsidR="008867B5" w:rsidRDefault="00000000">
      <w:pPr>
        <w:spacing w:after="80" w:line="269" w:lineRule="auto"/>
        <w:ind w:firstLine="346"/>
        <w:jc w:val="both"/>
      </w:pPr>
      <w:r>
        <w:t xml:space="preserve">The architecture, reward coefficients, training budget, seed list, co-primary endpoints, multiplicity correction, guardrails, and decision rule were fixed before confirmatory outcomes were generated. The two learning arms share the state content, candidate set, mask, reward, costs, simulator settings, and evaluation-seed scheme. Their policy </w:t>
      </w:r>
      <w:r>
        <w:lastRenderedPageBreak/>
        <w:t>and value representations differ. Hidden width is matched, but parameter count is not; the comparison estimates the difference between the two specified implementations.</w:t>
      </w:r>
    </w:p>
    <w:p w14:paraId="42789084" w14:textId="77777777" w:rsidR="008867B5" w:rsidRDefault="00000000">
      <w:pPr>
        <w:spacing w:after="80" w:line="269" w:lineRule="auto"/>
        <w:ind w:firstLine="346"/>
        <w:jc w:val="both"/>
      </w:pPr>
      <w:r>
        <w:t>LA-CPPO reduced the critical-class total delay-violation rate and passed the delivery and energy guardrails, while Class-0 mean delivered delay remained numerically higher. Exploratory analysis associated the violation reduction mainly with fewer losses and a larger share of delivered three-hop packets. We then evaluated two residual-slack variants under a separate development protocol. Neither qualified for confirmation, and the reserved confirmatory seeds remained unused.</w:t>
      </w:r>
    </w:p>
    <w:p w14:paraId="264CE847" w14:textId="77777777" w:rsidR="008867B5" w:rsidRDefault="00000000">
      <w:pPr>
        <w:spacing w:after="80" w:line="269" w:lineRule="auto"/>
        <w:ind w:firstLine="346"/>
        <w:jc w:val="both"/>
      </w:pPr>
      <w:r>
        <w:t>This study sets out a candidate-equivariant actor and invariant critic, a six-channel QoS formulation that uses online forwarding evidence, and a prespecified comparison with a state-matched MLP. The empirical finding is a reliability–latency trade-off: the mean-delay endpoint failed, and the later development refinement was unsuccessful. These outcomes limit the conclusions that can be drawn about the method’s routing performance.</w:t>
      </w:r>
    </w:p>
    <w:p w14:paraId="6F77BAD7" w14:textId="77777777" w:rsidR="008867B5" w:rsidRDefault="00000000">
      <w:pPr>
        <w:pStyle w:val="Heading1"/>
        <w:spacing w:before="180" w:after="60"/>
      </w:pPr>
      <w:r>
        <w:rPr>
          <w:rFonts w:ascii="Times New Roman" w:hAnsi="Times New Roman"/>
          <w:color w:val="000000"/>
        </w:rPr>
        <w:t>2. Related work</w:t>
      </w:r>
    </w:p>
    <w:p w14:paraId="5F47BC25" w14:textId="77777777" w:rsidR="008867B5" w:rsidRDefault="00000000">
      <w:pPr>
        <w:pStyle w:val="Heading2"/>
        <w:spacing w:before="120" w:after="60"/>
      </w:pPr>
      <w:r>
        <w:rPr>
          <w:rFonts w:ascii="Times New Roman" w:eastAsia="Times New Roman" w:hAnsi="Times New Roman"/>
          <w:color w:val="000000"/>
        </w:rPr>
        <w:t>2.1 Classical WSN routing and quality metrics</w:t>
      </w:r>
    </w:p>
    <w:p w14:paraId="5E09C2D0" w14:textId="77777777" w:rsidR="008867B5" w:rsidRDefault="00000000">
      <w:pPr>
        <w:spacing w:after="80" w:line="269" w:lineRule="auto"/>
        <w:ind w:firstLine="346"/>
        <w:jc w:val="both"/>
      </w:pPr>
      <w:r>
        <w:rPr>
          <w:rFonts w:eastAsia="Times New Roman"/>
        </w:rPr>
        <w:t>Earlier WSN research established energy-aware organization, link quality, and distributed forwarding with low overhead as central routing concerns [1-5]. LEACH uses clustering to spread the energy burden [3], while ETX expresses expected transmission requirements in terms of loss probability [4]. RPL later provided a standardized routing framework for low-power and lossy networks [5]. These approaches remain useful baselines and design references. Their largely hand-designed rules, however, do not directly optimize heterogeneous application constraints as security and queue conditions change.</w:t>
      </w:r>
    </w:p>
    <w:p w14:paraId="37838A91" w14:textId="77777777" w:rsidR="008867B5" w:rsidRDefault="00000000">
      <w:pPr>
        <w:pStyle w:val="Heading2"/>
        <w:spacing w:before="120" w:after="60"/>
      </w:pPr>
      <w:r>
        <w:rPr>
          <w:rFonts w:ascii="Times New Roman" w:eastAsia="Times New Roman" w:hAnsi="Times New Roman"/>
          <w:color w:val="000000"/>
        </w:rPr>
        <w:t>2.2 DRL routing, attention, and graph representations</w:t>
      </w:r>
    </w:p>
    <w:p w14:paraId="4C67B0D2" w14:textId="77777777" w:rsidR="008867B5" w:rsidRDefault="00000000">
      <w:pPr>
        <w:spacing w:after="80" w:line="269" w:lineRule="auto"/>
        <w:ind w:firstLine="346"/>
        <w:jc w:val="both"/>
      </w:pPr>
      <w:r>
        <w:rPr>
          <w:rFonts w:eastAsia="Times New Roman"/>
        </w:rPr>
        <w:t>Recent reviews show that DRL routing now spans value-based, policy-gradient, actor-critic, graph-based, and multi-agent methods across wired and wireless settings [6]. PPO has also entered QoS-aware ad hoc routing [20], while attention and hierarchical or multi-agent mechanisms appear in IoT-WSN routing frameworks [21,26]. Local forwarder selection with DQN is used in opportunistic WSN routing [22], and graph-policy architectures are explicitly developed for routing generalization and permutation-related structural transfer [18,19]. Consequently, PPO, attention, local-neighbor scoring, and permutation-aware learning cannot be claimed as individually novel primitives.</w:t>
      </w:r>
    </w:p>
    <w:p w14:paraId="40F74174" w14:textId="77777777" w:rsidR="008867B5" w:rsidRDefault="00000000">
      <w:pPr>
        <w:spacing w:after="80" w:line="269" w:lineRule="auto"/>
        <w:ind w:firstLine="346"/>
        <w:jc w:val="both"/>
      </w:pPr>
      <w:r>
        <w:t>LA-CPPO shares candidate encoding and scoring across rows and pools the critic input symmetrically. The MLP receives the same information in deterministic slot order. This comparison tests two routing representations under the same simulator and training budget. The unequal parameter counts limit attribution of any effect to representation alone.</w:t>
      </w:r>
    </w:p>
    <w:p w14:paraId="6896DED2" w14:textId="77777777" w:rsidR="008867B5" w:rsidRDefault="00000000">
      <w:pPr>
        <w:pStyle w:val="Heading2"/>
        <w:spacing w:before="120" w:after="60"/>
      </w:pPr>
      <w:r>
        <w:rPr>
          <w:rFonts w:ascii="Times New Roman" w:eastAsia="Times New Roman" w:hAnsi="Times New Roman"/>
          <w:color w:val="000000"/>
        </w:rPr>
        <w:t>2.3 Secure and trust-aware intelligent routing</w:t>
      </w:r>
    </w:p>
    <w:p w14:paraId="7EEF1CC4" w14:textId="77777777" w:rsidR="008867B5" w:rsidRDefault="00000000">
      <w:pPr>
        <w:spacing w:after="80" w:line="269" w:lineRule="auto"/>
        <w:ind w:firstLine="346"/>
        <w:jc w:val="both"/>
      </w:pPr>
      <w:r>
        <w:t>Trust-aware routing was established before recent DRL methods. Yang et al. combined reinforcement learning with blockchain-based routing trust [14]. Subsequent studies use trust, cryptography, federated learning, or intrusion detection [24,25,27], and failure-risk-aware DQN routing incorporates reliability information into multi-hop decisions [17]. Comparisons between these approaches depend on what the router can observe. In LA-CPPO, attack labels remain inside the simulator; the policy receives forwarding observations, queue state, and the risk estimates derived from them.</w:t>
      </w:r>
    </w:p>
    <w:p w14:paraId="362F7C6C" w14:textId="77777777" w:rsidR="008867B5" w:rsidRDefault="00000000">
      <w:pPr>
        <w:pStyle w:val="Heading2"/>
        <w:spacing w:before="120" w:after="60"/>
      </w:pPr>
      <w:r>
        <w:rPr>
          <w:rFonts w:ascii="Times New Roman" w:hAnsi="Times New Roman"/>
          <w:color w:val="000000"/>
        </w:rPr>
        <w:t>2.4 Hybrid routing and clustering</w:t>
      </w:r>
    </w:p>
    <w:p w14:paraId="56C50064" w14:textId="77777777" w:rsidR="008867B5" w:rsidRDefault="00000000">
      <w:pPr>
        <w:spacing w:after="80" w:line="269" w:lineRule="auto"/>
        <w:ind w:firstLine="346"/>
        <w:jc w:val="both"/>
      </w:pPr>
      <w:r>
        <w:t>Metaheuristic clustering and learned route selection are established hybrid designs. Wang et al. combine quantum-inspired Harris hawk optimization with DRL [15], and other IoT-WSN frameworks incorporate clustering or federated learning [16,24,26]. AF-v3 disables clustering, hierarchy masks, and the hard security shield to focus the primary comparison on local routing. A legacy ROA-based method is retained only as a descriptive baseline.</w:t>
      </w:r>
    </w:p>
    <w:p w14:paraId="5EACEF44" w14:textId="77777777" w:rsidR="008867B5" w:rsidRDefault="00000000">
      <w:pPr>
        <w:keepNext/>
        <w:spacing w:before="40" w:after="100"/>
        <w:jc w:val="center"/>
      </w:pPr>
      <w:r>
        <w:rPr>
          <w:rFonts w:eastAsia="Times New Roman"/>
          <w:i/>
          <w:sz w:val="18"/>
        </w:rPr>
        <w:lastRenderedPageBreak/>
        <w:t>Table 1. Positioning against representative recent intelligent-routing studies.</w:t>
      </w:r>
    </w:p>
    <w:tbl>
      <w:tblPr>
        <w:tblStyle w:val="TableGrid"/>
        <w:tblW w:w="9802" w:type="dxa"/>
        <w:tblInd w:w="110" w:type="dxa"/>
        <w:tblLayout w:type="fixed"/>
        <w:tblCellMar>
          <w:top w:w="75" w:type="dxa"/>
          <w:left w:w="110" w:type="dxa"/>
          <w:bottom w:w="75" w:type="dxa"/>
          <w:right w:w="110" w:type="dxa"/>
        </w:tblCellMar>
        <w:tblLook w:val="04A0" w:firstRow="1" w:lastRow="0" w:firstColumn="1" w:lastColumn="0" w:noHBand="0" w:noVBand="1"/>
      </w:tblPr>
      <w:tblGrid>
        <w:gridCol w:w="1177"/>
        <w:gridCol w:w="1078"/>
        <w:gridCol w:w="1470"/>
        <w:gridCol w:w="1421"/>
        <w:gridCol w:w="1862"/>
        <w:gridCol w:w="2794"/>
      </w:tblGrid>
      <w:tr w:rsidR="008867B5" w14:paraId="26384D2D" w14:textId="77777777">
        <w:trPr>
          <w:tblHeader/>
        </w:trPr>
        <w:tc>
          <w:tcPr>
            <w:tcW w:w="1176" w:type="dxa"/>
            <w:shd w:val="clear" w:color="auto" w:fill="D9E2F3"/>
            <w:tcMar>
              <w:top w:w="70" w:type="dxa"/>
              <w:left w:w="75" w:type="dxa"/>
              <w:bottom w:w="70" w:type="dxa"/>
              <w:right w:w="75" w:type="dxa"/>
            </w:tcMar>
          </w:tcPr>
          <w:p w14:paraId="2B63F5F8" w14:textId="77777777" w:rsidR="008867B5" w:rsidRDefault="00000000">
            <w:pPr>
              <w:jc w:val="center"/>
            </w:pPr>
            <w:r>
              <w:rPr>
                <w:rFonts w:eastAsia="Times New Roman"/>
                <w:sz w:val="18"/>
              </w:rPr>
              <w:t>Study</w:t>
            </w:r>
          </w:p>
        </w:tc>
        <w:tc>
          <w:tcPr>
            <w:tcW w:w="1078" w:type="dxa"/>
            <w:shd w:val="clear" w:color="auto" w:fill="D9E2F3"/>
            <w:tcMar>
              <w:top w:w="70" w:type="dxa"/>
              <w:left w:w="75" w:type="dxa"/>
              <w:bottom w:w="70" w:type="dxa"/>
              <w:right w:w="75" w:type="dxa"/>
            </w:tcMar>
          </w:tcPr>
          <w:p w14:paraId="34E00502" w14:textId="77777777" w:rsidR="008867B5" w:rsidRDefault="00000000">
            <w:pPr>
              <w:jc w:val="center"/>
            </w:pPr>
            <w:r>
              <w:rPr>
                <w:rFonts w:eastAsia="Times New Roman"/>
                <w:sz w:val="18"/>
              </w:rPr>
              <w:t>Setting</w:t>
            </w:r>
          </w:p>
        </w:tc>
        <w:tc>
          <w:tcPr>
            <w:tcW w:w="1470" w:type="dxa"/>
            <w:shd w:val="clear" w:color="auto" w:fill="D9E2F3"/>
            <w:tcMar>
              <w:top w:w="70" w:type="dxa"/>
              <w:left w:w="75" w:type="dxa"/>
              <w:bottom w:w="70" w:type="dxa"/>
              <w:right w:w="75" w:type="dxa"/>
            </w:tcMar>
          </w:tcPr>
          <w:p w14:paraId="112CF65F" w14:textId="77777777" w:rsidR="008867B5" w:rsidRDefault="00000000">
            <w:pPr>
              <w:jc w:val="center"/>
            </w:pPr>
            <w:r>
              <w:rPr>
                <w:rFonts w:eastAsia="Times New Roman"/>
                <w:sz w:val="18"/>
              </w:rPr>
              <w:t>Learning structure</w:t>
            </w:r>
          </w:p>
        </w:tc>
        <w:tc>
          <w:tcPr>
            <w:tcW w:w="1421" w:type="dxa"/>
            <w:shd w:val="clear" w:color="auto" w:fill="D9E2F3"/>
            <w:tcMar>
              <w:top w:w="70" w:type="dxa"/>
              <w:left w:w="75" w:type="dxa"/>
              <w:bottom w:w="70" w:type="dxa"/>
              <w:right w:w="75" w:type="dxa"/>
            </w:tcMar>
          </w:tcPr>
          <w:p w14:paraId="04F4496C" w14:textId="77777777" w:rsidR="008867B5" w:rsidRDefault="00000000">
            <w:pPr>
              <w:jc w:val="center"/>
            </w:pPr>
            <w:r>
              <w:rPr>
                <w:rFonts w:eastAsia="Times New Roman"/>
                <w:sz w:val="18"/>
              </w:rPr>
              <w:t>Primary emphasis</w:t>
            </w:r>
          </w:p>
        </w:tc>
        <w:tc>
          <w:tcPr>
            <w:tcW w:w="1862" w:type="dxa"/>
            <w:shd w:val="clear" w:color="auto" w:fill="D9E2F3"/>
            <w:tcMar>
              <w:top w:w="70" w:type="dxa"/>
              <w:left w:w="75" w:type="dxa"/>
              <w:bottom w:w="70" w:type="dxa"/>
              <w:right w:w="75" w:type="dxa"/>
            </w:tcMar>
          </w:tcPr>
          <w:p w14:paraId="2AB15C79" w14:textId="77777777" w:rsidR="008867B5" w:rsidRDefault="00000000">
            <w:pPr>
              <w:jc w:val="center"/>
            </w:pPr>
            <w:r>
              <w:rPr>
                <w:rFonts w:eastAsia="Times New Roman"/>
                <w:sz w:val="18"/>
              </w:rPr>
              <w:t>Representation/design</w:t>
            </w:r>
          </w:p>
        </w:tc>
        <w:tc>
          <w:tcPr>
            <w:tcW w:w="2794" w:type="dxa"/>
            <w:shd w:val="clear" w:color="auto" w:fill="D9E2F3"/>
            <w:tcMar>
              <w:top w:w="70" w:type="dxa"/>
              <w:left w:w="75" w:type="dxa"/>
              <w:bottom w:w="70" w:type="dxa"/>
              <w:right w:w="75" w:type="dxa"/>
            </w:tcMar>
          </w:tcPr>
          <w:p w14:paraId="7135562F" w14:textId="77777777" w:rsidR="008867B5" w:rsidRDefault="00000000">
            <w:r>
              <w:rPr>
                <w:rFonts w:eastAsia="Times New Roman"/>
                <w:sz w:val="18"/>
              </w:rPr>
              <w:t>Evaluation design reported</w:t>
            </w:r>
          </w:p>
        </w:tc>
      </w:tr>
      <w:tr w:rsidR="008867B5" w14:paraId="17EEF963" w14:textId="77777777">
        <w:tc>
          <w:tcPr>
            <w:tcW w:w="1176" w:type="dxa"/>
            <w:tcMar>
              <w:top w:w="70" w:type="dxa"/>
              <w:left w:w="75" w:type="dxa"/>
              <w:bottom w:w="70" w:type="dxa"/>
              <w:right w:w="75" w:type="dxa"/>
            </w:tcMar>
          </w:tcPr>
          <w:p w14:paraId="58F573D0" w14:textId="77777777" w:rsidR="008867B5" w:rsidRDefault="00000000">
            <w:r>
              <w:rPr>
                <w:rFonts w:eastAsia="Times New Roman"/>
                <w:sz w:val="18"/>
              </w:rPr>
              <w:t>Wang et al. [15]</w:t>
            </w:r>
          </w:p>
        </w:tc>
        <w:tc>
          <w:tcPr>
            <w:tcW w:w="1078" w:type="dxa"/>
            <w:tcMar>
              <w:top w:w="70" w:type="dxa"/>
              <w:left w:w="75" w:type="dxa"/>
              <w:bottom w:w="70" w:type="dxa"/>
              <w:right w:w="75" w:type="dxa"/>
            </w:tcMar>
          </w:tcPr>
          <w:p w14:paraId="5B68E2CE" w14:textId="77777777" w:rsidR="008867B5" w:rsidRDefault="00000000">
            <w:pPr>
              <w:jc w:val="center"/>
            </w:pPr>
            <w:r>
              <w:rPr>
                <w:rFonts w:eastAsia="Times New Roman"/>
                <w:sz w:val="18"/>
              </w:rPr>
              <w:t>WSN</w:t>
            </w:r>
          </w:p>
        </w:tc>
        <w:tc>
          <w:tcPr>
            <w:tcW w:w="1470" w:type="dxa"/>
            <w:tcMar>
              <w:top w:w="70" w:type="dxa"/>
              <w:left w:w="75" w:type="dxa"/>
              <w:bottom w:w="70" w:type="dxa"/>
              <w:right w:w="75" w:type="dxa"/>
            </w:tcMar>
          </w:tcPr>
          <w:p w14:paraId="61D1D66B" w14:textId="77777777" w:rsidR="008867B5" w:rsidRDefault="00000000">
            <w:pPr>
              <w:jc w:val="center"/>
            </w:pPr>
            <w:r>
              <w:rPr>
                <w:rFonts w:eastAsia="Times New Roman"/>
                <w:sz w:val="18"/>
              </w:rPr>
              <w:t>QHHO + DRL</w:t>
            </w:r>
          </w:p>
        </w:tc>
        <w:tc>
          <w:tcPr>
            <w:tcW w:w="1421" w:type="dxa"/>
            <w:tcMar>
              <w:top w:w="70" w:type="dxa"/>
              <w:left w:w="75" w:type="dxa"/>
              <w:bottom w:w="70" w:type="dxa"/>
              <w:right w:w="75" w:type="dxa"/>
            </w:tcMar>
          </w:tcPr>
          <w:p w14:paraId="4A1BC20E" w14:textId="77777777" w:rsidR="008867B5" w:rsidRDefault="00000000">
            <w:pPr>
              <w:jc w:val="center"/>
            </w:pPr>
            <w:r>
              <w:rPr>
                <w:rFonts w:eastAsia="Times New Roman"/>
                <w:sz w:val="18"/>
              </w:rPr>
              <w:t>Energy/lifetime</w:t>
            </w:r>
          </w:p>
        </w:tc>
        <w:tc>
          <w:tcPr>
            <w:tcW w:w="1862" w:type="dxa"/>
            <w:tcMar>
              <w:top w:w="70" w:type="dxa"/>
              <w:left w:w="75" w:type="dxa"/>
              <w:bottom w:w="70" w:type="dxa"/>
              <w:right w:w="75" w:type="dxa"/>
            </w:tcMar>
          </w:tcPr>
          <w:p w14:paraId="25F05E3E" w14:textId="77777777" w:rsidR="008867B5" w:rsidRDefault="00000000">
            <w:pPr>
              <w:jc w:val="center"/>
            </w:pPr>
            <w:r>
              <w:rPr>
                <w:rFonts w:eastAsia="Times New Roman"/>
                <w:sz w:val="18"/>
              </w:rPr>
              <w:t>Cluster-dependent hybrid</w:t>
            </w:r>
          </w:p>
        </w:tc>
        <w:tc>
          <w:tcPr>
            <w:tcW w:w="2794" w:type="dxa"/>
            <w:tcMar>
              <w:top w:w="70" w:type="dxa"/>
              <w:left w:w="75" w:type="dxa"/>
              <w:bottom w:w="70" w:type="dxa"/>
              <w:right w:w="75" w:type="dxa"/>
            </w:tcMar>
          </w:tcPr>
          <w:p w14:paraId="115C2B1F" w14:textId="77777777" w:rsidR="008867B5" w:rsidRDefault="00000000">
            <w:r>
              <w:rPr>
                <w:rFonts w:eastAsia="Times New Roman"/>
                <w:sz w:val="18"/>
              </w:rPr>
              <w:t>Comparative simulation evaluation</w:t>
            </w:r>
          </w:p>
        </w:tc>
      </w:tr>
      <w:tr w:rsidR="008867B5" w14:paraId="25D6AF38" w14:textId="77777777">
        <w:tc>
          <w:tcPr>
            <w:tcW w:w="1176" w:type="dxa"/>
            <w:tcMar>
              <w:top w:w="70" w:type="dxa"/>
              <w:left w:w="75" w:type="dxa"/>
              <w:bottom w:w="70" w:type="dxa"/>
              <w:right w:w="75" w:type="dxa"/>
            </w:tcMar>
          </w:tcPr>
          <w:p w14:paraId="45E21C7D" w14:textId="77777777" w:rsidR="008867B5" w:rsidRDefault="00000000">
            <w:r>
              <w:rPr>
                <w:rFonts w:eastAsia="Times New Roman"/>
                <w:sz w:val="18"/>
              </w:rPr>
              <w:t>Manogaran et al. [16]</w:t>
            </w:r>
          </w:p>
        </w:tc>
        <w:tc>
          <w:tcPr>
            <w:tcW w:w="1078" w:type="dxa"/>
            <w:tcMar>
              <w:top w:w="70" w:type="dxa"/>
              <w:left w:w="75" w:type="dxa"/>
              <w:bottom w:w="70" w:type="dxa"/>
              <w:right w:w="75" w:type="dxa"/>
            </w:tcMar>
          </w:tcPr>
          <w:p w14:paraId="0E6BB2DE" w14:textId="77777777" w:rsidR="008867B5" w:rsidRDefault="00000000">
            <w:pPr>
              <w:jc w:val="center"/>
            </w:pPr>
            <w:r>
              <w:rPr>
                <w:rFonts w:eastAsia="Times New Roman"/>
                <w:sz w:val="18"/>
              </w:rPr>
              <w:t>IoT-WSN</w:t>
            </w:r>
          </w:p>
        </w:tc>
        <w:tc>
          <w:tcPr>
            <w:tcW w:w="1470" w:type="dxa"/>
            <w:tcMar>
              <w:top w:w="70" w:type="dxa"/>
              <w:left w:w="75" w:type="dxa"/>
              <w:bottom w:w="70" w:type="dxa"/>
              <w:right w:w="75" w:type="dxa"/>
            </w:tcMar>
          </w:tcPr>
          <w:p w14:paraId="54B99EC0" w14:textId="77777777" w:rsidR="008867B5" w:rsidRDefault="00000000">
            <w:pPr>
              <w:jc w:val="center"/>
            </w:pPr>
            <w:r>
              <w:rPr>
                <w:rFonts w:eastAsia="Times New Roman"/>
                <w:sz w:val="18"/>
              </w:rPr>
              <w:t>Adaptive DDQN + FL</w:t>
            </w:r>
          </w:p>
        </w:tc>
        <w:tc>
          <w:tcPr>
            <w:tcW w:w="1421" w:type="dxa"/>
            <w:tcMar>
              <w:top w:w="70" w:type="dxa"/>
              <w:left w:w="75" w:type="dxa"/>
              <w:bottom w:w="70" w:type="dxa"/>
              <w:right w:w="75" w:type="dxa"/>
            </w:tcMar>
          </w:tcPr>
          <w:p w14:paraId="700C1D1D" w14:textId="77777777" w:rsidR="008867B5" w:rsidRDefault="00000000">
            <w:pPr>
              <w:jc w:val="center"/>
            </w:pPr>
            <w:r>
              <w:rPr>
                <w:rFonts w:eastAsia="Times New Roman"/>
                <w:sz w:val="18"/>
              </w:rPr>
              <w:t>Energy/routing</w:t>
            </w:r>
          </w:p>
        </w:tc>
        <w:tc>
          <w:tcPr>
            <w:tcW w:w="1862" w:type="dxa"/>
            <w:tcMar>
              <w:top w:w="70" w:type="dxa"/>
              <w:left w:w="75" w:type="dxa"/>
              <w:bottom w:w="70" w:type="dxa"/>
              <w:right w:w="75" w:type="dxa"/>
            </w:tcMar>
          </w:tcPr>
          <w:p w14:paraId="1BC5DAEC" w14:textId="77777777" w:rsidR="008867B5" w:rsidRDefault="00000000">
            <w:pPr>
              <w:jc w:val="center"/>
            </w:pPr>
            <w:r>
              <w:rPr>
                <w:rFonts w:eastAsia="Times New Roman"/>
                <w:sz w:val="18"/>
              </w:rPr>
              <w:t>Learned routing; federated</w:t>
            </w:r>
          </w:p>
        </w:tc>
        <w:tc>
          <w:tcPr>
            <w:tcW w:w="2794" w:type="dxa"/>
            <w:tcMar>
              <w:top w:w="70" w:type="dxa"/>
              <w:left w:w="75" w:type="dxa"/>
              <w:bottom w:w="70" w:type="dxa"/>
              <w:right w:w="75" w:type="dxa"/>
            </w:tcMar>
          </w:tcPr>
          <w:p w14:paraId="106C4D1B" w14:textId="77777777" w:rsidR="008867B5" w:rsidRDefault="00000000">
            <w:r>
              <w:rPr>
                <w:rFonts w:eastAsia="Times New Roman"/>
                <w:sz w:val="18"/>
              </w:rPr>
              <w:t>Comparative evaluation with statistical analysis</w:t>
            </w:r>
          </w:p>
        </w:tc>
      </w:tr>
      <w:tr w:rsidR="008867B5" w14:paraId="128316B4" w14:textId="77777777">
        <w:tc>
          <w:tcPr>
            <w:tcW w:w="1176" w:type="dxa"/>
            <w:tcMar>
              <w:top w:w="70" w:type="dxa"/>
              <w:left w:w="75" w:type="dxa"/>
              <w:bottom w:w="70" w:type="dxa"/>
              <w:right w:w="75" w:type="dxa"/>
            </w:tcMar>
          </w:tcPr>
          <w:p w14:paraId="380CC9D7" w14:textId="77777777" w:rsidR="008867B5" w:rsidRDefault="00000000">
            <w:r>
              <w:rPr>
                <w:rFonts w:eastAsia="Times New Roman"/>
                <w:sz w:val="18"/>
              </w:rPr>
              <w:t>Tao et al. [17]</w:t>
            </w:r>
          </w:p>
        </w:tc>
        <w:tc>
          <w:tcPr>
            <w:tcW w:w="1078" w:type="dxa"/>
            <w:tcMar>
              <w:top w:w="70" w:type="dxa"/>
              <w:left w:w="75" w:type="dxa"/>
              <w:bottom w:w="70" w:type="dxa"/>
              <w:right w:w="75" w:type="dxa"/>
            </w:tcMar>
          </w:tcPr>
          <w:p w14:paraId="5DA8166B" w14:textId="77777777" w:rsidR="008867B5" w:rsidRDefault="00000000">
            <w:pPr>
              <w:jc w:val="center"/>
            </w:pPr>
            <w:r>
              <w:rPr>
                <w:rFonts w:eastAsia="Times New Roman"/>
                <w:sz w:val="18"/>
              </w:rPr>
              <w:t>LPWAN</w:t>
            </w:r>
          </w:p>
        </w:tc>
        <w:tc>
          <w:tcPr>
            <w:tcW w:w="1470" w:type="dxa"/>
            <w:tcMar>
              <w:top w:w="70" w:type="dxa"/>
              <w:left w:w="75" w:type="dxa"/>
              <w:bottom w:w="70" w:type="dxa"/>
              <w:right w:w="75" w:type="dxa"/>
            </w:tcMar>
          </w:tcPr>
          <w:p w14:paraId="1470F47F" w14:textId="77777777" w:rsidR="008867B5" w:rsidRDefault="00000000">
            <w:pPr>
              <w:jc w:val="center"/>
            </w:pPr>
            <w:r>
              <w:rPr>
                <w:rFonts w:eastAsia="Times New Roman"/>
                <w:sz w:val="18"/>
              </w:rPr>
              <w:t>DQN</w:t>
            </w:r>
          </w:p>
        </w:tc>
        <w:tc>
          <w:tcPr>
            <w:tcW w:w="1421" w:type="dxa"/>
            <w:tcMar>
              <w:top w:w="70" w:type="dxa"/>
              <w:left w:w="75" w:type="dxa"/>
              <w:bottom w:w="70" w:type="dxa"/>
              <w:right w:w="75" w:type="dxa"/>
            </w:tcMar>
          </w:tcPr>
          <w:p w14:paraId="4C6055A6" w14:textId="77777777" w:rsidR="008867B5" w:rsidRDefault="00000000">
            <w:pPr>
              <w:jc w:val="center"/>
            </w:pPr>
            <w:r>
              <w:rPr>
                <w:rFonts w:eastAsia="Times New Roman"/>
                <w:sz w:val="18"/>
              </w:rPr>
              <w:t>Failure risk</w:t>
            </w:r>
          </w:p>
        </w:tc>
        <w:tc>
          <w:tcPr>
            <w:tcW w:w="1862" w:type="dxa"/>
            <w:tcMar>
              <w:top w:w="70" w:type="dxa"/>
              <w:left w:w="75" w:type="dxa"/>
              <w:bottom w:w="70" w:type="dxa"/>
              <w:right w:w="75" w:type="dxa"/>
            </w:tcMar>
          </w:tcPr>
          <w:p w14:paraId="26C28CE9" w14:textId="77777777" w:rsidR="008867B5" w:rsidRDefault="00000000">
            <w:pPr>
              <w:jc w:val="center"/>
            </w:pPr>
            <w:r>
              <w:rPr>
                <w:rFonts w:eastAsia="Times New Roman"/>
                <w:sz w:val="18"/>
              </w:rPr>
              <w:t>Risk-aware multi-hop</w:t>
            </w:r>
          </w:p>
        </w:tc>
        <w:tc>
          <w:tcPr>
            <w:tcW w:w="2794" w:type="dxa"/>
            <w:tcMar>
              <w:top w:w="70" w:type="dxa"/>
              <w:left w:w="75" w:type="dxa"/>
              <w:bottom w:w="70" w:type="dxa"/>
              <w:right w:w="75" w:type="dxa"/>
            </w:tcMar>
          </w:tcPr>
          <w:p w14:paraId="10A484B0" w14:textId="77777777" w:rsidR="008867B5" w:rsidRDefault="00000000">
            <w:r>
              <w:rPr>
                <w:rFonts w:eastAsia="Times New Roman"/>
                <w:sz w:val="18"/>
              </w:rPr>
              <w:t>Simulation-based protocol comparison</w:t>
            </w:r>
          </w:p>
        </w:tc>
      </w:tr>
      <w:tr w:rsidR="008867B5" w14:paraId="4D774B6A" w14:textId="77777777">
        <w:tc>
          <w:tcPr>
            <w:tcW w:w="1176" w:type="dxa"/>
            <w:tcMar>
              <w:top w:w="70" w:type="dxa"/>
              <w:left w:w="75" w:type="dxa"/>
              <w:bottom w:w="70" w:type="dxa"/>
              <w:right w:w="75" w:type="dxa"/>
            </w:tcMar>
          </w:tcPr>
          <w:p w14:paraId="4A0AA4CC" w14:textId="77777777" w:rsidR="008867B5" w:rsidRDefault="00000000">
            <w:r>
              <w:rPr>
                <w:rFonts w:eastAsia="Times New Roman"/>
                <w:sz w:val="18"/>
              </w:rPr>
              <w:t>Song et al. [18]</w:t>
            </w:r>
          </w:p>
        </w:tc>
        <w:tc>
          <w:tcPr>
            <w:tcW w:w="1078" w:type="dxa"/>
            <w:tcMar>
              <w:top w:w="70" w:type="dxa"/>
              <w:left w:w="75" w:type="dxa"/>
              <w:bottom w:w="70" w:type="dxa"/>
              <w:right w:w="75" w:type="dxa"/>
            </w:tcMar>
          </w:tcPr>
          <w:p w14:paraId="156102CC" w14:textId="77777777" w:rsidR="008867B5" w:rsidRDefault="00000000">
            <w:pPr>
              <w:jc w:val="center"/>
            </w:pPr>
            <w:r>
              <w:rPr>
                <w:rFonts w:eastAsia="Times New Roman"/>
                <w:sz w:val="18"/>
              </w:rPr>
              <w:t>General networks</w:t>
            </w:r>
          </w:p>
        </w:tc>
        <w:tc>
          <w:tcPr>
            <w:tcW w:w="1470" w:type="dxa"/>
            <w:tcMar>
              <w:top w:w="70" w:type="dxa"/>
              <w:left w:w="75" w:type="dxa"/>
              <w:bottom w:w="70" w:type="dxa"/>
              <w:right w:w="75" w:type="dxa"/>
            </w:tcMar>
          </w:tcPr>
          <w:p w14:paraId="45B51A09" w14:textId="77777777" w:rsidR="008867B5" w:rsidRDefault="00000000">
            <w:r>
              <w:rPr>
                <w:sz w:val="18"/>
              </w:rPr>
              <w:t>DRL + graph transformer</w:t>
            </w:r>
          </w:p>
        </w:tc>
        <w:tc>
          <w:tcPr>
            <w:tcW w:w="1421" w:type="dxa"/>
            <w:tcMar>
              <w:top w:w="70" w:type="dxa"/>
              <w:left w:w="75" w:type="dxa"/>
              <w:bottom w:w="70" w:type="dxa"/>
              <w:right w:w="75" w:type="dxa"/>
            </w:tcMar>
          </w:tcPr>
          <w:p w14:paraId="4FB4A183" w14:textId="77777777" w:rsidR="008867B5" w:rsidRDefault="00000000">
            <w:pPr>
              <w:jc w:val="center"/>
            </w:pPr>
            <w:r>
              <w:rPr>
                <w:rFonts w:eastAsia="Times New Roman"/>
                <w:sz w:val="18"/>
              </w:rPr>
              <w:t>QoS/generalization</w:t>
            </w:r>
          </w:p>
        </w:tc>
        <w:tc>
          <w:tcPr>
            <w:tcW w:w="1862" w:type="dxa"/>
            <w:tcMar>
              <w:top w:w="70" w:type="dxa"/>
              <w:left w:w="75" w:type="dxa"/>
              <w:bottom w:w="70" w:type="dxa"/>
              <w:right w:w="75" w:type="dxa"/>
            </w:tcMar>
          </w:tcPr>
          <w:p w14:paraId="5FA4FB0D" w14:textId="77777777" w:rsidR="008867B5" w:rsidRDefault="00000000">
            <w:pPr>
              <w:jc w:val="center"/>
            </w:pPr>
            <w:r>
              <w:rPr>
                <w:rFonts w:eastAsia="Times New Roman"/>
                <w:sz w:val="18"/>
              </w:rPr>
              <w:t>Graph-structured policy</w:t>
            </w:r>
          </w:p>
        </w:tc>
        <w:tc>
          <w:tcPr>
            <w:tcW w:w="2794" w:type="dxa"/>
            <w:tcMar>
              <w:top w:w="70" w:type="dxa"/>
              <w:left w:w="75" w:type="dxa"/>
              <w:bottom w:w="70" w:type="dxa"/>
              <w:right w:w="75" w:type="dxa"/>
            </w:tcMar>
          </w:tcPr>
          <w:p w14:paraId="5740011B" w14:textId="77777777" w:rsidR="008867B5" w:rsidRDefault="00000000">
            <w:r>
              <w:rPr>
                <w:rFonts w:eastAsia="Times New Roman"/>
                <w:sz w:val="18"/>
              </w:rPr>
              <w:t>Robustness / generalization simulation evaluation</w:t>
            </w:r>
          </w:p>
        </w:tc>
      </w:tr>
      <w:tr w:rsidR="008867B5" w14:paraId="3973E707" w14:textId="77777777">
        <w:tc>
          <w:tcPr>
            <w:tcW w:w="1176" w:type="dxa"/>
            <w:tcMar>
              <w:top w:w="70" w:type="dxa"/>
              <w:left w:w="75" w:type="dxa"/>
              <w:bottom w:w="70" w:type="dxa"/>
              <w:right w:w="75" w:type="dxa"/>
            </w:tcMar>
          </w:tcPr>
          <w:p w14:paraId="7494FCD8" w14:textId="77777777" w:rsidR="008867B5" w:rsidRDefault="00000000">
            <w:r>
              <w:rPr>
                <w:rFonts w:eastAsia="Times New Roman"/>
                <w:sz w:val="18"/>
              </w:rPr>
              <w:t>Wigmore &amp; Modiano [19]</w:t>
            </w:r>
          </w:p>
        </w:tc>
        <w:tc>
          <w:tcPr>
            <w:tcW w:w="1078" w:type="dxa"/>
            <w:tcMar>
              <w:top w:w="70" w:type="dxa"/>
              <w:left w:w="75" w:type="dxa"/>
              <w:bottom w:w="70" w:type="dxa"/>
              <w:right w:w="75" w:type="dxa"/>
            </w:tcMar>
          </w:tcPr>
          <w:p w14:paraId="12B4D46C" w14:textId="77777777" w:rsidR="008867B5" w:rsidRDefault="00000000">
            <w:pPr>
              <w:jc w:val="center"/>
            </w:pPr>
            <w:r>
              <w:rPr>
                <w:rFonts w:eastAsia="Times New Roman"/>
                <w:sz w:val="18"/>
              </w:rPr>
              <w:t>Queueing networks</w:t>
            </w:r>
          </w:p>
        </w:tc>
        <w:tc>
          <w:tcPr>
            <w:tcW w:w="1470" w:type="dxa"/>
            <w:tcMar>
              <w:top w:w="70" w:type="dxa"/>
              <w:left w:w="75" w:type="dxa"/>
              <w:bottom w:w="70" w:type="dxa"/>
              <w:right w:w="75" w:type="dxa"/>
            </w:tcMar>
          </w:tcPr>
          <w:p w14:paraId="3E45E091" w14:textId="77777777" w:rsidR="008867B5" w:rsidRDefault="00000000">
            <w:pPr>
              <w:jc w:val="center"/>
            </w:pPr>
            <w:r>
              <w:rPr>
                <w:rFonts w:eastAsia="Times New Roman"/>
                <w:sz w:val="18"/>
              </w:rPr>
              <w:t>GNN policy learning</w:t>
            </w:r>
          </w:p>
        </w:tc>
        <w:tc>
          <w:tcPr>
            <w:tcW w:w="1421" w:type="dxa"/>
            <w:tcMar>
              <w:top w:w="70" w:type="dxa"/>
              <w:left w:w="75" w:type="dxa"/>
              <w:bottom w:w="70" w:type="dxa"/>
              <w:right w:w="75" w:type="dxa"/>
            </w:tcMar>
          </w:tcPr>
          <w:p w14:paraId="19C4F065" w14:textId="77777777" w:rsidR="008867B5" w:rsidRDefault="00000000">
            <w:pPr>
              <w:jc w:val="center"/>
            </w:pPr>
            <w:r>
              <w:rPr>
                <w:rFonts w:eastAsia="Times New Roman"/>
                <w:sz w:val="18"/>
              </w:rPr>
              <w:t>Generalization</w:t>
            </w:r>
          </w:p>
        </w:tc>
        <w:tc>
          <w:tcPr>
            <w:tcW w:w="1862" w:type="dxa"/>
            <w:tcMar>
              <w:top w:w="70" w:type="dxa"/>
              <w:left w:w="75" w:type="dxa"/>
              <w:bottom w:w="70" w:type="dxa"/>
              <w:right w:w="75" w:type="dxa"/>
            </w:tcMar>
          </w:tcPr>
          <w:p w14:paraId="334724BD" w14:textId="77777777" w:rsidR="008867B5" w:rsidRDefault="00000000">
            <w:pPr>
              <w:jc w:val="center"/>
            </w:pPr>
            <w:r>
              <w:rPr>
                <w:rFonts w:eastAsia="Times New Roman"/>
                <w:sz w:val="18"/>
              </w:rPr>
              <w:t>Permutation-aware graph policy</w:t>
            </w:r>
          </w:p>
        </w:tc>
        <w:tc>
          <w:tcPr>
            <w:tcW w:w="2794" w:type="dxa"/>
            <w:tcMar>
              <w:top w:w="70" w:type="dxa"/>
              <w:left w:w="75" w:type="dxa"/>
              <w:bottom w:w="70" w:type="dxa"/>
              <w:right w:w="75" w:type="dxa"/>
            </w:tcMar>
          </w:tcPr>
          <w:p w14:paraId="4B593C87" w14:textId="77777777" w:rsidR="008867B5" w:rsidRDefault="00000000">
            <w:r>
              <w:rPr>
                <w:rFonts w:eastAsia="Times New Roman"/>
                <w:sz w:val="18"/>
              </w:rPr>
              <w:t>Cross-topology generalization evaluation</w:t>
            </w:r>
          </w:p>
        </w:tc>
      </w:tr>
      <w:tr w:rsidR="008867B5" w14:paraId="6F232B87" w14:textId="77777777">
        <w:tc>
          <w:tcPr>
            <w:tcW w:w="1176" w:type="dxa"/>
            <w:tcMar>
              <w:top w:w="70" w:type="dxa"/>
              <w:left w:w="75" w:type="dxa"/>
              <w:bottom w:w="70" w:type="dxa"/>
              <w:right w:w="75" w:type="dxa"/>
            </w:tcMar>
          </w:tcPr>
          <w:p w14:paraId="2E72C52C" w14:textId="77777777" w:rsidR="008867B5" w:rsidRDefault="00000000">
            <w:r>
              <w:rPr>
                <w:rFonts w:eastAsia="Times New Roman"/>
                <w:sz w:val="18"/>
              </w:rPr>
              <w:t>Venkatesan et al. [20]</w:t>
            </w:r>
          </w:p>
        </w:tc>
        <w:tc>
          <w:tcPr>
            <w:tcW w:w="1078" w:type="dxa"/>
            <w:tcMar>
              <w:top w:w="70" w:type="dxa"/>
              <w:left w:w="75" w:type="dxa"/>
              <w:bottom w:w="70" w:type="dxa"/>
              <w:right w:w="75" w:type="dxa"/>
            </w:tcMar>
          </w:tcPr>
          <w:p w14:paraId="0402E35C" w14:textId="77777777" w:rsidR="008867B5" w:rsidRDefault="00000000">
            <w:pPr>
              <w:jc w:val="center"/>
            </w:pPr>
            <w:r>
              <w:rPr>
                <w:rFonts w:eastAsia="Times New Roman"/>
                <w:sz w:val="18"/>
              </w:rPr>
              <w:t>MANET</w:t>
            </w:r>
          </w:p>
        </w:tc>
        <w:tc>
          <w:tcPr>
            <w:tcW w:w="1470" w:type="dxa"/>
            <w:tcMar>
              <w:top w:w="70" w:type="dxa"/>
              <w:left w:w="75" w:type="dxa"/>
              <w:bottom w:w="70" w:type="dxa"/>
              <w:right w:w="75" w:type="dxa"/>
            </w:tcMar>
          </w:tcPr>
          <w:p w14:paraId="7DD8E0A3" w14:textId="77777777" w:rsidR="008867B5" w:rsidRDefault="00000000">
            <w:pPr>
              <w:jc w:val="center"/>
            </w:pPr>
            <w:r>
              <w:rPr>
                <w:rFonts w:eastAsia="Times New Roman"/>
                <w:sz w:val="18"/>
              </w:rPr>
              <w:t>PPO + slicing</w:t>
            </w:r>
          </w:p>
        </w:tc>
        <w:tc>
          <w:tcPr>
            <w:tcW w:w="1421" w:type="dxa"/>
            <w:tcMar>
              <w:top w:w="70" w:type="dxa"/>
              <w:left w:w="75" w:type="dxa"/>
              <w:bottom w:w="70" w:type="dxa"/>
              <w:right w:w="75" w:type="dxa"/>
            </w:tcMar>
          </w:tcPr>
          <w:p w14:paraId="042ED178" w14:textId="77777777" w:rsidR="008867B5" w:rsidRDefault="00000000">
            <w:pPr>
              <w:jc w:val="center"/>
            </w:pPr>
            <w:r>
              <w:rPr>
                <w:rFonts w:eastAsia="Times New Roman"/>
                <w:sz w:val="18"/>
              </w:rPr>
              <w:t>QoS</w:t>
            </w:r>
          </w:p>
        </w:tc>
        <w:tc>
          <w:tcPr>
            <w:tcW w:w="1862" w:type="dxa"/>
            <w:tcMar>
              <w:top w:w="70" w:type="dxa"/>
              <w:left w:w="75" w:type="dxa"/>
              <w:bottom w:w="70" w:type="dxa"/>
              <w:right w:w="75" w:type="dxa"/>
            </w:tcMar>
          </w:tcPr>
          <w:p w14:paraId="13268CA3" w14:textId="77777777" w:rsidR="008867B5" w:rsidRDefault="00000000">
            <w:pPr>
              <w:jc w:val="center"/>
            </w:pPr>
            <w:r>
              <w:rPr>
                <w:rFonts w:eastAsia="Times New Roman"/>
                <w:sz w:val="18"/>
              </w:rPr>
              <w:t>Local topology/queue state</w:t>
            </w:r>
          </w:p>
        </w:tc>
        <w:tc>
          <w:tcPr>
            <w:tcW w:w="2794" w:type="dxa"/>
            <w:tcMar>
              <w:top w:w="70" w:type="dxa"/>
              <w:left w:w="75" w:type="dxa"/>
              <w:bottom w:w="70" w:type="dxa"/>
              <w:right w:w="75" w:type="dxa"/>
            </w:tcMar>
          </w:tcPr>
          <w:p w14:paraId="48EE0ADA" w14:textId="77777777" w:rsidR="008867B5" w:rsidRDefault="00000000">
            <w:r>
              <w:rPr>
                <w:rFonts w:eastAsia="Times New Roman"/>
                <w:sz w:val="18"/>
              </w:rPr>
              <w:t>50-run Monte Carlo evaluation; paired significance tests</w:t>
            </w:r>
          </w:p>
        </w:tc>
      </w:tr>
      <w:tr w:rsidR="008867B5" w14:paraId="5E0AAF87" w14:textId="77777777">
        <w:tc>
          <w:tcPr>
            <w:tcW w:w="1176" w:type="dxa"/>
            <w:tcMar>
              <w:top w:w="70" w:type="dxa"/>
              <w:left w:w="75" w:type="dxa"/>
              <w:bottom w:w="70" w:type="dxa"/>
              <w:right w:w="75" w:type="dxa"/>
            </w:tcMar>
          </w:tcPr>
          <w:p w14:paraId="3349CE2F" w14:textId="77777777" w:rsidR="008867B5" w:rsidRDefault="00000000">
            <w:r>
              <w:rPr>
                <w:rFonts w:eastAsia="Times New Roman"/>
                <w:sz w:val="18"/>
              </w:rPr>
              <w:t>Betam et al. [21]</w:t>
            </w:r>
          </w:p>
        </w:tc>
        <w:tc>
          <w:tcPr>
            <w:tcW w:w="1078" w:type="dxa"/>
            <w:tcMar>
              <w:top w:w="70" w:type="dxa"/>
              <w:left w:w="75" w:type="dxa"/>
              <w:bottom w:w="70" w:type="dxa"/>
              <w:right w:w="75" w:type="dxa"/>
            </w:tcMar>
          </w:tcPr>
          <w:p w14:paraId="3177A962" w14:textId="77777777" w:rsidR="008867B5" w:rsidRDefault="00000000">
            <w:pPr>
              <w:jc w:val="center"/>
            </w:pPr>
            <w:r>
              <w:rPr>
                <w:rFonts w:eastAsia="Times New Roman"/>
                <w:sz w:val="18"/>
              </w:rPr>
              <w:t>IoT-WSN</w:t>
            </w:r>
          </w:p>
        </w:tc>
        <w:tc>
          <w:tcPr>
            <w:tcW w:w="1470" w:type="dxa"/>
            <w:tcMar>
              <w:top w:w="70" w:type="dxa"/>
              <w:left w:w="75" w:type="dxa"/>
              <w:bottom w:w="70" w:type="dxa"/>
              <w:right w:w="75" w:type="dxa"/>
            </w:tcMar>
          </w:tcPr>
          <w:p w14:paraId="56A9D2F1" w14:textId="77777777" w:rsidR="008867B5" w:rsidRDefault="00000000">
            <w:pPr>
              <w:jc w:val="center"/>
            </w:pPr>
            <w:r>
              <w:rPr>
                <w:rFonts w:eastAsia="Times New Roman"/>
                <w:sz w:val="18"/>
              </w:rPr>
              <w:t>Hybrid DRL + attention</w:t>
            </w:r>
          </w:p>
        </w:tc>
        <w:tc>
          <w:tcPr>
            <w:tcW w:w="1421" w:type="dxa"/>
            <w:tcMar>
              <w:top w:w="70" w:type="dxa"/>
              <w:left w:w="75" w:type="dxa"/>
              <w:bottom w:w="70" w:type="dxa"/>
              <w:right w:w="75" w:type="dxa"/>
            </w:tcMar>
          </w:tcPr>
          <w:p w14:paraId="4C0E462F" w14:textId="77777777" w:rsidR="008867B5" w:rsidRDefault="00000000">
            <w:pPr>
              <w:jc w:val="center"/>
            </w:pPr>
            <w:r>
              <w:rPr>
                <w:rFonts w:eastAsia="Times New Roman"/>
                <w:sz w:val="18"/>
              </w:rPr>
              <w:t>Energy/delay/throughput</w:t>
            </w:r>
          </w:p>
        </w:tc>
        <w:tc>
          <w:tcPr>
            <w:tcW w:w="1862" w:type="dxa"/>
            <w:tcMar>
              <w:top w:w="70" w:type="dxa"/>
              <w:left w:w="75" w:type="dxa"/>
              <w:bottom w:w="70" w:type="dxa"/>
              <w:right w:w="75" w:type="dxa"/>
            </w:tcMar>
          </w:tcPr>
          <w:p w14:paraId="5AA762B9" w14:textId="77777777" w:rsidR="008867B5" w:rsidRDefault="00000000">
            <w:pPr>
              <w:jc w:val="center"/>
            </w:pPr>
            <w:r>
              <w:rPr>
                <w:rFonts w:eastAsia="Times New Roman"/>
                <w:sz w:val="18"/>
              </w:rPr>
              <w:t>Attention + hierarchy</w:t>
            </w:r>
          </w:p>
        </w:tc>
        <w:tc>
          <w:tcPr>
            <w:tcW w:w="2794" w:type="dxa"/>
            <w:tcMar>
              <w:top w:w="70" w:type="dxa"/>
              <w:left w:w="75" w:type="dxa"/>
              <w:bottom w:w="70" w:type="dxa"/>
              <w:right w:w="75" w:type="dxa"/>
            </w:tcMar>
          </w:tcPr>
          <w:p w14:paraId="62833164" w14:textId="77777777" w:rsidR="008867B5" w:rsidRDefault="00000000">
            <w:r>
              <w:rPr>
                <w:rFonts w:eastAsia="Times New Roman"/>
                <w:sz w:val="18"/>
              </w:rPr>
              <w:t>Comparative simulation evaluation</w:t>
            </w:r>
          </w:p>
        </w:tc>
      </w:tr>
      <w:tr w:rsidR="008867B5" w14:paraId="32C7291E" w14:textId="77777777">
        <w:tc>
          <w:tcPr>
            <w:tcW w:w="1176" w:type="dxa"/>
            <w:tcMar>
              <w:top w:w="70" w:type="dxa"/>
              <w:left w:w="75" w:type="dxa"/>
              <w:bottom w:w="70" w:type="dxa"/>
              <w:right w:w="75" w:type="dxa"/>
            </w:tcMar>
          </w:tcPr>
          <w:p w14:paraId="5AFCC4F4" w14:textId="77777777" w:rsidR="008867B5" w:rsidRDefault="00000000">
            <w:r>
              <w:rPr>
                <w:rFonts w:eastAsia="Times New Roman"/>
                <w:sz w:val="18"/>
              </w:rPr>
              <w:t>Iqbal &amp; Siddiqui [23]</w:t>
            </w:r>
          </w:p>
        </w:tc>
        <w:tc>
          <w:tcPr>
            <w:tcW w:w="1078" w:type="dxa"/>
            <w:tcMar>
              <w:top w:w="70" w:type="dxa"/>
              <w:left w:w="75" w:type="dxa"/>
              <w:bottom w:w="70" w:type="dxa"/>
              <w:right w:w="75" w:type="dxa"/>
            </w:tcMar>
          </w:tcPr>
          <w:p w14:paraId="2E1CA899" w14:textId="77777777" w:rsidR="008867B5" w:rsidRDefault="00000000">
            <w:pPr>
              <w:jc w:val="center"/>
            </w:pPr>
            <w:r>
              <w:rPr>
                <w:rFonts w:eastAsia="Times New Roman"/>
                <w:sz w:val="18"/>
              </w:rPr>
              <w:t>WSN</w:t>
            </w:r>
          </w:p>
        </w:tc>
        <w:tc>
          <w:tcPr>
            <w:tcW w:w="1470" w:type="dxa"/>
            <w:tcMar>
              <w:top w:w="70" w:type="dxa"/>
              <w:left w:w="75" w:type="dxa"/>
              <w:bottom w:w="70" w:type="dxa"/>
              <w:right w:w="75" w:type="dxa"/>
            </w:tcMar>
          </w:tcPr>
          <w:p w14:paraId="1C7CB4E6" w14:textId="77777777" w:rsidR="008867B5" w:rsidRDefault="00000000">
            <w:pPr>
              <w:jc w:val="center"/>
            </w:pPr>
            <w:r>
              <w:rPr>
                <w:rFonts w:eastAsia="Times New Roman"/>
                <w:sz w:val="18"/>
              </w:rPr>
              <w:t>Feasibility-aware RL</w:t>
            </w:r>
          </w:p>
        </w:tc>
        <w:tc>
          <w:tcPr>
            <w:tcW w:w="1421" w:type="dxa"/>
            <w:tcMar>
              <w:top w:w="70" w:type="dxa"/>
              <w:left w:w="75" w:type="dxa"/>
              <w:bottom w:w="70" w:type="dxa"/>
              <w:right w:w="75" w:type="dxa"/>
            </w:tcMar>
          </w:tcPr>
          <w:p w14:paraId="7734A1AF" w14:textId="77777777" w:rsidR="008867B5" w:rsidRDefault="00000000">
            <w:pPr>
              <w:jc w:val="center"/>
            </w:pPr>
            <w:r>
              <w:rPr>
                <w:rFonts w:eastAsia="Times New Roman"/>
                <w:sz w:val="18"/>
              </w:rPr>
              <w:t>Hop reliability/trust</w:t>
            </w:r>
          </w:p>
        </w:tc>
        <w:tc>
          <w:tcPr>
            <w:tcW w:w="1862" w:type="dxa"/>
            <w:tcMar>
              <w:top w:w="70" w:type="dxa"/>
              <w:left w:w="75" w:type="dxa"/>
              <w:bottom w:w="70" w:type="dxa"/>
              <w:right w:w="75" w:type="dxa"/>
            </w:tcMar>
          </w:tcPr>
          <w:p w14:paraId="392BB760" w14:textId="77777777" w:rsidR="008867B5" w:rsidRDefault="00000000">
            <w:pPr>
              <w:jc w:val="center"/>
            </w:pPr>
            <w:r>
              <w:rPr>
                <w:rFonts w:eastAsia="Times New Roman"/>
                <w:sz w:val="18"/>
              </w:rPr>
              <w:t>Hard feasibility mask</w:t>
            </w:r>
          </w:p>
        </w:tc>
        <w:tc>
          <w:tcPr>
            <w:tcW w:w="2794" w:type="dxa"/>
            <w:tcMar>
              <w:top w:w="70" w:type="dxa"/>
              <w:left w:w="75" w:type="dxa"/>
              <w:bottom w:w="70" w:type="dxa"/>
              <w:right w:w="75" w:type="dxa"/>
            </w:tcMar>
          </w:tcPr>
          <w:p w14:paraId="5D26C101" w14:textId="77777777" w:rsidR="008867B5" w:rsidRDefault="00000000">
            <w:r>
              <w:rPr>
                <w:rFonts w:eastAsia="Times New Roman"/>
                <w:sz w:val="18"/>
              </w:rPr>
              <w:t>Multi-seed RL comparison and ablation</w:t>
            </w:r>
          </w:p>
        </w:tc>
      </w:tr>
      <w:tr w:rsidR="008867B5" w14:paraId="37D75053" w14:textId="77777777">
        <w:tc>
          <w:tcPr>
            <w:tcW w:w="1176" w:type="dxa"/>
            <w:tcMar>
              <w:top w:w="70" w:type="dxa"/>
              <w:left w:w="75" w:type="dxa"/>
              <w:bottom w:w="70" w:type="dxa"/>
              <w:right w:w="75" w:type="dxa"/>
            </w:tcMar>
          </w:tcPr>
          <w:p w14:paraId="1D813101" w14:textId="77777777" w:rsidR="008867B5" w:rsidRDefault="00000000">
            <w:r>
              <w:rPr>
                <w:rFonts w:eastAsia="Times New Roman"/>
                <w:sz w:val="18"/>
              </w:rPr>
              <w:t>This work</w:t>
            </w:r>
          </w:p>
        </w:tc>
        <w:tc>
          <w:tcPr>
            <w:tcW w:w="1078" w:type="dxa"/>
            <w:tcMar>
              <w:top w:w="70" w:type="dxa"/>
              <w:left w:w="75" w:type="dxa"/>
              <w:bottom w:w="70" w:type="dxa"/>
              <w:right w:w="75" w:type="dxa"/>
            </w:tcMar>
          </w:tcPr>
          <w:p w14:paraId="0041A352" w14:textId="77777777" w:rsidR="008867B5" w:rsidRDefault="00000000">
            <w:pPr>
              <w:jc w:val="center"/>
            </w:pPr>
            <w:r>
              <w:rPr>
                <w:rFonts w:eastAsia="Times New Roman"/>
                <w:sz w:val="18"/>
              </w:rPr>
              <w:t>IoT-WSN</w:t>
            </w:r>
          </w:p>
        </w:tc>
        <w:tc>
          <w:tcPr>
            <w:tcW w:w="1470" w:type="dxa"/>
            <w:tcMar>
              <w:top w:w="70" w:type="dxa"/>
              <w:left w:w="75" w:type="dxa"/>
              <w:bottom w:w="70" w:type="dxa"/>
              <w:right w:w="75" w:type="dxa"/>
            </w:tcMar>
          </w:tcPr>
          <w:p w14:paraId="71233DDA" w14:textId="77777777" w:rsidR="008867B5" w:rsidRDefault="00000000">
            <w:pPr>
              <w:jc w:val="center"/>
            </w:pPr>
            <w:r>
              <w:rPr>
                <w:rFonts w:eastAsia="Times New Roman"/>
                <w:sz w:val="18"/>
              </w:rPr>
              <w:t>Local attention + Lagrangian PPO</w:t>
            </w:r>
          </w:p>
        </w:tc>
        <w:tc>
          <w:tcPr>
            <w:tcW w:w="1421" w:type="dxa"/>
            <w:tcMar>
              <w:top w:w="70" w:type="dxa"/>
              <w:left w:w="75" w:type="dxa"/>
              <w:bottom w:w="70" w:type="dxa"/>
              <w:right w:w="75" w:type="dxa"/>
            </w:tcMar>
          </w:tcPr>
          <w:p w14:paraId="7008D5D2" w14:textId="77777777" w:rsidR="008867B5" w:rsidRDefault="00000000">
            <w:pPr>
              <w:jc w:val="center"/>
            </w:pPr>
            <w:r>
              <w:rPr>
                <w:rFonts w:eastAsia="Times New Roman"/>
                <w:sz w:val="18"/>
              </w:rPr>
              <w:t>QoS + online risk</w:t>
            </w:r>
          </w:p>
        </w:tc>
        <w:tc>
          <w:tcPr>
            <w:tcW w:w="1862" w:type="dxa"/>
            <w:tcMar>
              <w:top w:w="70" w:type="dxa"/>
              <w:left w:w="75" w:type="dxa"/>
              <w:bottom w:w="70" w:type="dxa"/>
              <w:right w:w="75" w:type="dxa"/>
            </w:tcMar>
          </w:tcPr>
          <w:p w14:paraId="1DFFCAA8" w14:textId="77777777" w:rsidR="008867B5" w:rsidRDefault="00000000">
            <w:pPr>
              <w:jc w:val="center"/>
            </w:pPr>
            <w:r>
              <w:rPr>
                <w:rFonts w:eastAsia="Times New Roman"/>
                <w:sz w:val="18"/>
              </w:rPr>
              <w:t>Candidate equivariance + invariant critic</w:t>
            </w:r>
          </w:p>
        </w:tc>
        <w:tc>
          <w:tcPr>
            <w:tcW w:w="2794" w:type="dxa"/>
            <w:tcMar>
              <w:top w:w="70" w:type="dxa"/>
              <w:left w:w="75" w:type="dxa"/>
              <w:bottom w:w="70" w:type="dxa"/>
              <w:right w:w="75" w:type="dxa"/>
            </w:tcMar>
          </w:tcPr>
          <w:p w14:paraId="790E6220" w14:textId="77777777" w:rsidR="008867B5" w:rsidRDefault="00000000">
            <w:r>
              <w:rPr>
                <w:rFonts w:eastAsia="Times New Roman"/>
                <w:sz w:val="18"/>
              </w:rPr>
              <w:t>30 paired seeds; frozen endpoints; Holm + NI guardrails</w:t>
            </w:r>
          </w:p>
        </w:tc>
      </w:tr>
    </w:tbl>
    <w:p w14:paraId="5A314CCD" w14:textId="77777777" w:rsidR="008867B5" w:rsidRDefault="008867B5">
      <w:pPr>
        <w:spacing w:after="20"/>
      </w:pPr>
    </w:p>
    <w:p w14:paraId="305C4DB5" w14:textId="77777777" w:rsidR="008867B5" w:rsidRDefault="00000000">
      <w:pPr>
        <w:pStyle w:val="Heading1"/>
        <w:spacing w:before="180" w:after="60"/>
      </w:pPr>
      <w:r>
        <w:rPr>
          <w:rFonts w:ascii="Times New Roman" w:eastAsia="Times New Roman" w:hAnsi="Times New Roman"/>
          <w:color w:val="000000"/>
        </w:rPr>
        <w:t>3. System model and constrained routing problem</w:t>
      </w:r>
    </w:p>
    <w:p w14:paraId="601DEE8C" w14:textId="77777777" w:rsidR="008867B5" w:rsidRDefault="00000000">
      <w:pPr>
        <w:pStyle w:val="Heading2"/>
        <w:spacing w:before="120" w:after="60"/>
      </w:pPr>
      <w:r>
        <w:rPr>
          <w:rFonts w:ascii="Times New Roman" w:eastAsia="Times New Roman" w:hAnsi="Times New Roman"/>
          <w:color w:val="000000"/>
        </w:rPr>
        <w:t>3.1 Network, radio, traffic, and threat model</w:t>
      </w:r>
    </w:p>
    <w:p w14:paraId="775549DF" w14:textId="77777777" w:rsidR="008867B5" w:rsidRDefault="00000000">
      <w:pPr>
        <w:spacing w:after="80" w:line="269" w:lineRule="auto"/>
        <w:ind w:firstLine="346"/>
        <w:jc w:val="both"/>
      </w:pPr>
      <w:r>
        <w:rPr>
          <w:rFonts w:eastAsia="Times New Roman"/>
        </w:rPr>
        <w:t>The primary simulator uses N=100 static sensor nodes placed uniformly in a 150 m × 150 m region, with the sink at (75,75) m. Each node starts with 0.5 J. The nominal communication range is 50 m, packets are 4000 bits, and the physical data rate is 250 kbps. Radio energy follows first-order transmit/receive accounting with distance-dependent free-space and multipath terms. Link behavior also includes log-distance path loss, 3 dB shadowing, interference-dependent PDR, and up to three MAC retries. Queue pressure and interference persist across packet episodes and are refreshed at every sixth packet boundary rather than being reset for each packet.</w:t>
      </w:r>
    </w:p>
    <w:p w14:paraId="1DFFE820" w14:textId="77777777" w:rsidR="008867B5" w:rsidRDefault="00000000">
      <w:pPr>
        <w:spacing w:after="80" w:line="269" w:lineRule="auto"/>
        <w:ind w:firstLine="346"/>
        <w:jc w:val="both"/>
      </w:pPr>
      <w:r>
        <w:t>Traffic is divided into three classes with generation probabilities 0.35, 0.45, and 0.20, deadlines of 90, 350, and 1500 ms, and target PDRs of 0.985, 0.96, and 0.90. Their delay-violation budgets are 0.015, 0.04, and 0.10. Class 0 is the critical low-latency class used for the co-primary endpoints. In the mixed-attack scenario, 25% of nodes are marked malicious for evaluation and are assigned blackhole, selective-drop, or flooding behavior internally. Selective dropping occurs with probability 0.65, while flooding raises local queue pressure. The policy observes neither the malicious-node labels nor the assigned attack types.</w:t>
      </w:r>
    </w:p>
    <w:p w14:paraId="7D78CDB1" w14:textId="77777777" w:rsidR="008867B5" w:rsidRDefault="00000000">
      <w:pPr>
        <w:keepNext/>
        <w:spacing w:before="40" w:after="100"/>
        <w:jc w:val="center"/>
      </w:pPr>
      <w:r>
        <w:rPr>
          <w:rFonts w:eastAsia="Times New Roman"/>
          <w:i/>
          <w:sz w:val="18"/>
        </w:rPr>
        <w:t>Table 2. Frozen primary simulator and training configuration.</w:t>
      </w:r>
    </w:p>
    <w:tbl>
      <w:tblPr>
        <w:tblStyle w:val="TableGrid"/>
        <w:tblW w:w="9802" w:type="dxa"/>
        <w:tblInd w:w="110" w:type="dxa"/>
        <w:tblLayout w:type="fixed"/>
        <w:tblCellMar>
          <w:top w:w="75" w:type="dxa"/>
          <w:left w:w="110" w:type="dxa"/>
          <w:bottom w:w="75" w:type="dxa"/>
          <w:right w:w="110" w:type="dxa"/>
        </w:tblCellMar>
        <w:tblLook w:val="04A0" w:firstRow="1" w:lastRow="0" w:firstColumn="1" w:lastColumn="0" w:noHBand="0" w:noVBand="1"/>
      </w:tblPr>
      <w:tblGrid>
        <w:gridCol w:w="3823"/>
        <w:gridCol w:w="5979"/>
      </w:tblGrid>
      <w:tr w:rsidR="008867B5" w14:paraId="19BF00F4" w14:textId="77777777">
        <w:trPr>
          <w:tblHeader/>
        </w:trPr>
        <w:tc>
          <w:tcPr>
            <w:tcW w:w="3823" w:type="dxa"/>
            <w:shd w:val="clear" w:color="auto" w:fill="D9E2F3"/>
            <w:tcMar>
              <w:top w:w="70" w:type="dxa"/>
              <w:left w:w="75" w:type="dxa"/>
              <w:bottom w:w="70" w:type="dxa"/>
              <w:right w:w="75" w:type="dxa"/>
            </w:tcMar>
          </w:tcPr>
          <w:p w14:paraId="1E77F6BD" w14:textId="77777777" w:rsidR="008867B5" w:rsidRDefault="00000000">
            <w:pPr>
              <w:jc w:val="center"/>
            </w:pPr>
            <w:r>
              <w:rPr>
                <w:rFonts w:eastAsia="Times New Roman"/>
                <w:b/>
                <w:sz w:val="17"/>
              </w:rPr>
              <w:t>Parameter</w:t>
            </w:r>
          </w:p>
        </w:tc>
        <w:tc>
          <w:tcPr>
            <w:tcW w:w="5979" w:type="dxa"/>
            <w:shd w:val="clear" w:color="auto" w:fill="D9E2F3"/>
            <w:tcMar>
              <w:top w:w="70" w:type="dxa"/>
              <w:left w:w="75" w:type="dxa"/>
              <w:bottom w:w="70" w:type="dxa"/>
              <w:right w:w="75" w:type="dxa"/>
            </w:tcMar>
          </w:tcPr>
          <w:p w14:paraId="7B4178AA" w14:textId="77777777" w:rsidR="008867B5" w:rsidRDefault="00000000">
            <w:pPr>
              <w:jc w:val="center"/>
            </w:pPr>
            <w:r>
              <w:rPr>
                <w:rFonts w:eastAsia="Times New Roman"/>
                <w:b/>
                <w:sz w:val="17"/>
              </w:rPr>
              <w:t>Frozen value</w:t>
            </w:r>
          </w:p>
        </w:tc>
      </w:tr>
      <w:tr w:rsidR="008867B5" w14:paraId="0607A761" w14:textId="77777777">
        <w:tc>
          <w:tcPr>
            <w:tcW w:w="3823" w:type="dxa"/>
            <w:tcMar>
              <w:top w:w="70" w:type="dxa"/>
              <w:left w:w="75" w:type="dxa"/>
              <w:bottom w:w="70" w:type="dxa"/>
              <w:right w:w="75" w:type="dxa"/>
            </w:tcMar>
          </w:tcPr>
          <w:p w14:paraId="4F945965" w14:textId="77777777" w:rsidR="008867B5" w:rsidRDefault="00000000">
            <w:r>
              <w:rPr>
                <w:rFonts w:eastAsia="Times New Roman"/>
                <w:sz w:val="17"/>
              </w:rPr>
              <w:t>Network / deployment</w:t>
            </w:r>
          </w:p>
        </w:tc>
        <w:tc>
          <w:tcPr>
            <w:tcW w:w="5979" w:type="dxa"/>
            <w:tcMar>
              <w:top w:w="70" w:type="dxa"/>
              <w:left w:w="75" w:type="dxa"/>
              <w:bottom w:w="70" w:type="dxa"/>
              <w:right w:w="75" w:type="dxa"/>
            </w:tcMar>
          </w:tcPr>
          <w:p w14:paraId="09365FD8" w14:textId="77777777" w:rsidR="008867B5" w:rsidRDefault="00000000">
            <w:pPr>
              <w:jc w:val="center"/>
            </w:pPr>
            <w:r>
              <w:rPr>
                <w:rFonts w:eastAsia="Times New Roman"/>
                <w:sz w:val="17"/>
              </w:rPr>
              <w:t>100 nodes; 150 m × 150 m; sink at (75,75) m</w:t>
            </w:r>
          </w:p>
        </w:tc>
      </w:tr>
      <w:tr w:rsidR="008867B5" w14:paraId="277B4649" w14:textId="77777777">
        <w:tc>
          <w:tcPr>
            <w:tcW w:w="3823" w:type="dxa"/>
            <w:tcMar>
              <w:top w:w="70" w:type="dxa"/>
              <w:left w:w="75" w:type="dxa"/>
              <w:bottom w:w="70" w:type="dxa"/>
              <w:right w:w="75" w:type="dxa"/>
            </w:tcMar>
          </w:tcPr>
          <w:p w14:paraId="6EACF9C5" w14:textId="77777777" w:rsidR="008867B5" w:rsidRDefault="00000000">
            <w:r>
              <w:rPr>
                <w:rFonts w:eastAsia="Times New Roman"/>
                <w:sz w:val="17"/>
              </w:rPr>
              <w:t>Initial energy / radio range</w:t>
            </w:r>
          </w:p>
        </w:tc>
        <w:tc>
          <w:tcPr>
            <w:tcW w:w="5979" w:type="dxa"/>
            <w:tcMar>
              <w:top w:w="70" w:type="dxa"/>
              <w:left w:w="75" w:type="dxa"/>
              <w:bottom w:w="70" w:type="dxa"/>
              <w:right w:w="75" w:type="dxa"/>
            </w:tcMar>
          </w:tcPr>
          <w:p w14:paraId="7CF6E9FB" w14:textId="77777777" w:rsidR="008867B5" w:rsidRDefault="00000000">
            <w:pPr>
              <w:jc w:val="center"/>
            </w:pPr>
            <w:r>
              <w:rPr>
                <w:rFonts w:eastAsia="Times New Roman"/>
                <w:sz w:val="17"/>
              </w:rPr>
              <w:t>0.5 J per node / 50 m</w:t>
            </w:r>
          </w:p>
        </w:tc>
      </w:tr>
      <w:tr w:rsidR="008867B5" w14:paraId="5CD293F8" w14:textId="77777777">
        <w:tc>
          <w:tcPr>
            <w:tcW w:w="3823" w:type="dxa"/>
            <w:tcMar>
              <w:top w:w="70" w:type="dxa"/>
              <w:left w:w="75" w:type="dxa"/>
              <w:bottom w:w="70" w:type="dxa"/>
              <w:right w:w="75" w:type="dxa"/>
            </w:tcMar>
          </w:tcPr>
          <w:p w14:paraId="3F441AFD" w14:textId="77777777" w:rsidR="008867B5" w:rsidRDefault="00000000">
            <w:r>
              <w:rPr>
                <w:rFonts w:eastAsia="Times New Roman"/>
                <w:sz w:val="17"/>
              </w:rPr>
              <w:t>Packet / data rate</w:t>
            </w:r>
          </w:p>
        </w:tc>
        <w:tc>
          <w:tcPr>
            <w:tcW w:w="5979" w:type="dxa"/>
            <w:tcMar>
              <w:top w:w="70" w:type="dxa"/>
              <w:left w:w="75" w:type="dxa"/>
              <w:bottom w:w="70" w:type="dxa"/>
              <w:right w:w="75" w:type="dxa"/>
            </w:tcMar>
          </w:tcPr>
          <w:p w14:paraId="32CC25CA" w14:textId="77777777" w:rsidR="008867B5" w:rsidRDefault="00000000">
            <w:pPr>
              <w:jc w:val="center"/>
            </w:pPr>
            <w:r>
              <w:rPr>
                <w:rFonts w:eastAsia="Times New Roman"/>
                <w:sz w:val="17"/>
              </w:rPr>
              <w:t>4000 bits / 250 kbps</w:t>
            </w:r>
          </w:p>
        </w:tc>
      </w:tr>
      <w:tr w:rsidR="008867B5" w14:paraId="56D93EDA" w14:textId="77777777">
        <w:tc>
          <w:tcPr>
            <w:tcW w:w="3823" w:type="dxa"/>
            <w:tcMar>
              <w:top w:w="70" w:type="dxa"/>
              <w:left w:w="75" w:type="dxa"/>
              <w:bottom w:w="70" w:type="dxa"/>
              <w:right w:w="75" w:type="dxa"/>
            </w:tcMar>
          </w:tcPr>
          <w:p w14:paraId="158365EA" w14:textId="77777777" w:rsidR="008867B5" w:rsidRDefault="00000000">
            <w:r>
              <w:rPr>
                <w:rFonts w:eastAsia="Times New Roman"/>
                <w:sz w:val="17"/>
              </w:rPr>
              <w:t>MAC retries</w:t>
            </w:r>
          </w:p>
        </w:tc>
        <w:tc>
          <w:tcPr>
            <w:tcW w:w="5979" w:type="dxa"/>
            <w:tcMar>
              <w:top w:w="70" w:type="dxa"/>
              <w:left w:w="75" w:type="dxa"/>
              <w:bottom w:w="70" w:type="dxa"/>
              <w:right w:w="75" w:type="dxa"/>
            </w:tcMar>
          </w:tcPr>
          <w:p w14:paraId="6CE98D29" w14:textId="77777777" w:rsidR="008867B5" w:rsidRDefault="00000000">
            <w:r>
              <w:t>3 retries; at most 4 transmission attempts per hop</w:t>
            </w:r>
          </w:p>
        </w:tc>
      </w:tr>
      <w:tr w:rsidR="008867B5" w14:paraId="353BF589" w14:textId="77777777">
        <w:tc>
          <w:tcPr>
            <w:tcW w:w="3823" w:type="dxa"/>
            <w:tcMar>
              <w:top w:w="70" w:type="dxa"/>
              <w:left w:w="75" w:type="dxa"/>
              <w:bottom w:w="70" w:type="dxa"/>
              <w:right w:w="75" w:type="dxa"/>
            </w:tcMar>
          </w:tcPr>
          <w:p w14:paraId="674D0CAE" w14:textId="77777777" w:rsidR="008867B5" w:rsidRDefault="00000000">
            <w:r>
              <w:rPr>
                <w:rFonts w:eastAsia="Times New Roman"/>
                <w:sz w:val="17"/>
              </w:rPr>
              <w:t>Traffic-class probabilities</w:t>
            </w:r>
          </w:p>
        </w:tc>
        <w:tc>
          <w:tcPr>
            <w:tcW w:w="5979" w:type="dxa"/>
            <w:tcMar>
              <w:top w:w="70" w:type="dxa"/>
              <w:left w:w="75" w:type="dxa"/>
              <w:bottom w:w="70" w:type="dxa"/>
              <w:right w:w="75" w:type="dxa"/>
            </w:tcMar>
          </w:tcPr>
          <w:p w14:paraId="11EC6719" w14:textId="77777777" w:rsidR="008867B5" w:rsidRDefault="00000000">
            <w:pPr>
              <w:jc w:val="center"/>
            </w:pPr>
            <w:r>
              <w:rPr>
                <w:rFonts w:eastAsia="Times New Roman"/>
                <w:sz w:val="17"/>
              </w:rPr>
              <w:t>[0.35, 0.45, 0.20]</w:t>
            </w:r>
          </w:p>
        </w:tc>
      </w:tr>
      <w:tr w:rsidR="008867B5" w14:paraId="15B18848" w14:textId="77777777">
        <w:tc>
          <w:tcPr>
            <w:tcW w:w="3823" w:type="dxa"/>
            <w:tcMar>
              <w:top w:w="70" w:type="dxa"/>
              <w:left w:w="75" w:type="dxa"/>
              <w:bottom w:w="70" w:type="dxa"/>
              <w:right w:w="75" w:type="dxa"/>
            </w:tcMar>
          </w:tcPr>
          <w:p w14:paraId="58475F3C" w14:textId="77777777" w:rsidR="008867B5" w:rsidRDefault="00000000">
            <w:r>
              <w:rPr>
                <w:rFonts w:eastAsia="Times New Roman"/>
                <w:sz w:val="17"/>
              </w:rPr>
              <w:t>Deadlines (ms)</w:t>
            </w:r>
          </w:p>
        </w:tc>
        <w:tc>
          <w:tcPr>
            <w:tcW w:w="5979" w:type="dxa"/>
            <w:tcMar>
              <w:top w:w="70" w:type="dxa"/>
              <w:left w:w="75" w:type="dxa"/>
              <w:bottom w:w="70" w:type="dxa"/>
              <w:right w:w="75" w:type="dxa"/>
            </w:tcMar>
          </w:tcPr>
          <w:p w14:paraId="451D722A" w14:textId="77777777" w:rsidR="008867B5" w:rsidRDefault="00000000">
            <w:pPr>
              <w:jc w:val="center"/>
            </w:pPr>
            <w:r>
              <w:rPr>
                <w:rFonts w:eastAsia="Times New Roman"/>
                <w:sz w:val="17"/>
              </w:rPr>
              <w:t>[90, 350, 1500]</w:t>
            </w:r>
          </w:p>
        </w:tc>
      </w:tr>
      <w:tr w:rsidR="008867B5" w14:paraId="6BEB0CA2" w14:textId="77777777">
        <w:tc>
          <w:tcPr>
            <w:tcW w:w="3823" w:type="dxa"/>
            <w:tcMar>
              <w:top w:w="70" w:type="dxa"/>
              <w:left w:w="75" w:type="dxa"/>
              <w:bottom w:w="70" w:type="dxa"/>
              <w:right w:w="75" w:type="dxa"/>
            </w:tcMar>
          </w:tcPr>
          <w:p w14:paraId="56C5EF85" w14:textId="77777777" w:rsidR="008867B5" w:rsidRDefault="00000000">
            <w:r>
              <w:rPr>
                <w:rFonts w:eastAsia="Times New Roman"/>
                <w:sz w:val="17"/>
              </w:rPr>
              <w:lastRenderedPageBreak/>
              <w:t>Target PDR</w:t>
            </w:r>
          </w:p>
        </w:tc>
        <w:tc>
          <w:tcPr>
            <w:tcW w:w="5979" w:type="dxa"/>
            <w:tcMar>
              <w:top w:w="70" w:type="dxa"/>
              <w:left w:w="75" w:type="dxa"/>
              <w:bottom w:w="70" w:type="dxa"/>
              <w:right w:w="75" w:type="dxa"/>
            </w:tcMar>
          </w:tcPr>
          <w:p w14:paraId="0282B875" w14:textId="77777777" w:rsidR="008867B5" w:rsidRDefault="00000000">
            <w:pPr>
              <w:jc w:val="center"/>
            </w:pPr>
            <w:r>
              <w:rPr>
                <w:rFonts w:eastAsia="Times New Roman"/>
                <w:sz w:val="17"/>
              </w:rPr>
              <w:t>[0.985, 0.96, 0.90]</w:t>
            </w:r>
          </w:p>
        </w:tc>
      </w:tr>
      <w:tr w:rsidR="008867B5" w14:paraId="157A9C10" w14:textId="77777777">
        <w:tc>
          <w:tcPr>
            <w:tcW w:w="3823" w:type="dxa"/>
            <w:tcMar>
              <w:top w:w="70" w:type="dxa"/>
              <w:left w:w="75" w:type="dxa"/>
              <w:bottom w:w="70" w:type="dxa"/>
              <w:right w:w="75" w:type="dxa"/>
            </w:tcMar>
          </w:tcPr>
          <w:p w14:paraId="3350A288" w14:textId="77777777" w:rsidR="008867B5" w:rsidRDefault="00000000">
            <w:r>
              <w:rPr>
                <w:rFonts w:eastAsia="Times New Roman"/>
                <w:sz w:val="17"/>
              </w:rPr>
              <w:t>Delay-violation budgets</w:t>
            </w:r>
          </w:p>
        </w:tc>
        <w:tc>
          <w:tcPr>
            <w:tcW w:w="5979" w:type="dxa"/>
            <w:tcMar>
              <w:top w:w="70" w:type="dxa"/>
              <w:left w:w="75" w:type="dxa"/>
              <w:bottom w:w="70" w:type="dxa"/>
              <w:right w:w="75" w:type="dxa"/>
            </w:tcMar>
          </w:tcPr>
          <w:p w14:paraId="37781998" w14:textId="77777777" w:rsidR="008867B5" w:rsidRDefault="00000000">
            <w:pPr>
              <w:jc w:val="center"/>
            </w:pPr>
            <w:r>
              <w:rPr>
                <w:rFonts w:eastAsia="Times New Roman"/>
                <w:sz w:val="17"/>
              </w:rPr>
              <w:t>[0.015, 0.04, 0.10]</w:t>
            </w:r>
          </w:p>
        </w:tc>
      </w:tr>
      <w:tr w:rsidR="008867B5" w14:paraId="69BACB88" w14:textId="77777777">
        <w:tc>
          <w:tcPr>
            <w:tcW w:w="3823" w:type="dxa"/>
            <w:tcMar>
              <w:top w:w="70" w:type="dxa"/>
              <w:left w:w="75" w:type="dxa"/>
              <w:bottom w:w="70" w:type="dxa"/>
              <w:right w:w="75" w:type="dxa"/>
            </w:tcMar>
          </w:tcPr>
          <w:p w14:paraId="1BC1BC00" w14:textId="77777777" w:rsidR="008867B5" w:rsidRDefault="00000000">
            <w:r>
              <w:rPr>
                <w:rFonts w:eastAsia="Times New Roman"/>
                <w:sz w:val="17"/>
              </w:rPr>
              <w:t>Malicious-node ratio</w:t>
            </w:r>
          </w:p>
        </w:tc>
        <w:tc>
          <w:tcPr>
            <w:tcW w:w="5979" w:type="dxa"/>
            <w:tcMar>
              <w:top w:w="70" w:type="dxa"/>
              <w:left w:w="75" w:type="dxa"/>
              <w:bottom w:w="70" w:type="dxa"/>
              <w:right w:w="75" w:type="dxa"/>
            </w:tcMar>
          </w:tcPr>
          <w:p w14:paraId="72560997" w14:textId="77777777" w:rsidR="008867B5" w:rsidRDefault="00000000">
            <w:pPr>
              <w:jc w:val="center"/>
            </w:pPr>
            <w:r>
              <w:rPr>
                <w:rFonts w:eastAsia="Times New Roman"/>
                <w:sz w:val="17"/>
              </w:rPr>
              <w:t>0.25</w:t>
            </w:r>
          </w:p>
        </w:tc>
      </w:tr>
      <w:tr w:rsidR="008867B5" w14:paraId="1BABF402" w14:textId="77777777">
        <w:tc>
          <w:tcPr>
            <w:tcW w:w="3823" w:type="dxa"/>
            <w:tcMar>
              <w:top w:w="70" w:type="dxa"/>
              <w:left w:w="75" w:type="dxa"/>
              <w:bottom w:w="70" w:type="dxa"/>
              <w:right w:w="75" w:type="dxa"/>
            </w:tcMar>
          </w:tcPr>
          <w:p w14:paraId="3E1F0CFA" w14:textId="77777777" w:rsidR="008867B5" w:rsidRDefault="00000000">
            <w:r>
              <w:rPr>
                <w:rFonts w:eastAsia="Times New Roman"/>
                <w:sz w:val="17"/>
              </w:rPr>
              <w:t>Selective-drop probability</w:t>
            </w:r>
          </w:p>
        </w:tc>
        <w:tc>
          <w:tcPr>
            <w:tcW w:w="5979" w:type="dxa"/>
            <w:tcMar>
              <w:top w:w="70" w:type="dxa"/>
              <w:left w:w="75" w:type="dxa"/>
              <w:bottom w:w="70" w:type="dxa"/>
              <w:right w:w="75" w:type="dxa"/>
            </w:tcMar>
          </w:tcPr>
          <w:p w14:paraId="4841B43A" w14:textId="77777777" w:rsidR="008867B5" w:rsidRDefault="00000000">
            <w:pPr>
              <w:jc w:val="center"/>
            </w:pPr>
            <w:r>
              <w:rPr>
                <w:rFonts w:eastAsia="Times New Roman"/>
                <w:sz w:val="17"/>
              </w:rPr>
              <w:t>0.65</w:t>
            </w:r>
          </w:p>
        </w:tc>
      </w:tr>
      <w:tr w:rsidR="008867B5" w14:paraId="697F3BF0" w14:textId="77777777">
        <w:tc>
          <w:tcPr>
            <w:tcW w:w="3823" w:type="dxa"/>
            <w:tcMar>
              <w:top w:w="70" w:type="dxa"/>
              <w:left w:w="75" w:type="dxa"/>
              <w:bottom w:w="70" w:type="dxa"/>
              <w:right w:w="75" w:type="dxa"/>
            </w:tcMar>
          </w:tcPr>
          <w:p w14:paraId="2EBCA986" w14:textId="77777777" w:rsidR="008867B5" w:rsidRDefault="00000000">
            <w:r>
              <w:rPr>
                <w:rFonts w:eastAsia="Times New Roman"/>
                <w:sz w:val="17"/>
              </w:rPr>
              <w:t>Candidate limit</w:t>
            </w:r>
          </w:p>
        </w:tc>
        <w:tc>
          <w:tcPr>
            <w:tcW w:w="5979" w:type="dxa"/>
            <w:tcMar>
              <w:top w:w="70" w:type="dxa"/>
              <w:left w:w="75" w:type="dxa"/>
              <w:bottom w:w="70" w:type="dxa"/>
              <w:right w:w="75" w:type="dxa"/>
            </w:tcMar>
          </w:tcPr>
          <w:p w14:paraId="16C04762" w14:textId="77777777" w:rsidR="008867B5" w:rsidRDefault="00000000">
            <w:pPr>
              <w:jc w:val="center"/>
            </w:pPr>
            <w:r>
              <w:rPr>
                <w:rFonts w:eastAsia="Times New Roman"/>
                <w:sz w:val="17"/>
              </w:rPr>
              <w:t>K=8</w:t>
            </w:r>
          </w:p>
        </w:tc>
      </w:tr>
      <w:tr w:rsidR="008867B5" w14:paraId="0E4AB782" w14:textId="77777777">
        <w:tc>
          <w:tcPr>
            <w:tcW w:w="3823" w:type="dxa"/>
            <w:tcMar>
              <w:top w:w="70" w:type="dxa"/>
              <w:left w:w="75" w:type="dxa"/>
              <w:bottom w:w="70" w:type="dxa"/>
              <w:right w:w="75" w:type="dxa"/>
            </w:tcMar>
          </w:tcPr>
          <w:p w14:paraId="512B4F03" w14:textId="77777777" w:rsidR="008867B5" w:rsidRDefault="00000000">
            <w:r>
              <w:rPr>
                <w:rFonts w:eastAsia="Times New Roman"/>
                <w:sz w:val="17"/>
              </w:rPr>
              <w:t>Hidden width / learning rate</w:t>
            </w:r>
          </w:p>
        </w:tc>
        <w:tc>
          <w:tcPr>
            <w:tcW w:w="5979" w:type="dxa"/>
            <w:tcMar>
              <w:top w:w="70" w:type="dxa"/>
              <w:left w:w="75" w:type="dxa"/>
              <w:bottom w:w="70" w:type="dxa"/>
              <w:right w:w="75" w:type="dxa"/>
            </w:tcMar>
          </w:tcPr>
          <w:p w14:paraId="0583045B" w14:textId="77777777" w:rsidR="008867B5" w:rsidRDefault="00000000">
            <w:pPr>
              <w:jc w:val="center"/>
            </w:pPr>
            <w:r>
              <w:rPr>
                <w:rFonts w:eastAsia="Times New Roman"/>
                <w:sz w:val="17"/>
              </w:rPr>
              <w:t>96 / 3 × 10⁻⁴</w:t>
            </w:r>
          </w:p>
        </w:tc>
      </w:tr>
      <w:tr w:rsidR="008867B5" w14:paraId="2111A4C7" w14:textId="77777777">
        <w:tc>
          <w:tcPr>
            <w:tcW w:w="3823" w:type="dxa"/>
            <w:tcMar>
              <w:top w:w="70" w:type="dxa"/>
              <w:left w:w="75" w:type="dxa"/>
              <w:bottom w:w="70" w:type="dxa"/>
              <w:right w:w="75" w:type="dxa"/>
            </w:tcMar>
          </w:tcPr>
          <w:p w14:paraId="636E9C4A" w14:textId="77777777" w:rsidR="008867B5" w:rsidRDefault="00000000">
            <w:r>
              <w:rPr>
                <w:rFonts w:eastAsia="Times New Roman"/>
                <w:sz w:val="17"/>
              </w:rPr>
              <w:t>PPO clip / entropy</w:t>
            </w:r>
          </w:p>
        </w:tc>
        <w:tc>
          <w:tcPr>
            <w:tcW w:w="5979" w:type="dxa"/>
            <w:tcMar>
              <w:top w:w="70" w:type="dxa"/>
              <w:left w:w="75" w:type="dxa"/>
              <w:bottom w:w="70" w:type="dxa"/>
              <w:right w:w="75" w:type="dxa"/>
            </w:tcMar>
          </w:tcPr>
          <w:p w14:paraId="256EA737" w14:textId="77777777" w:rsidR="008867B5" w:rsidRDefault="00000000">
            <w:pPr>
              <w:jc w:val="center"/>
            </w:pPr>
            <w:r>
              <w:rPr>
                <w:rFonts w:eastAsia="Times New Roman"/>
                <w:sz w:val="17"/>
              </w:rPr>
              <w:t>0.20 / 0.01</w:t>
            </w:r>
          </w:p>
        </w:tc>
      </w:tr>
      <w:tr w:rsidR="008867B5" w14:paraId="1C467865" w14:textId="77777777">
        <w:tc>
          <w:tcPr>
            <w:tcW w:w="3823" w:type="dxa"/>
            <w:tcMar>
              <w:top w:w="70" w:type="dxa"/>
              <w:left w:w="75" w:type="dxa"/>
              <w:bottom w:w="70" w:type="dxa"/>
              <w:right w:w="75" w:type="dxa"/>
            </w:tcMar>
          </w:tcPr>
          <w:p w14:paraId="3CEB17D2" w14:textId="77777777" w:rsidR="008867B5" w:rsidRDefault="00000000">
            <w:r>
              <w:t>Discount factor γ / GAE λ</w:t>
            </w:r>
          </w:p>
        </w:tc>
        <w:tc>
          <w:tcPr>
            <w:tcW w:w="5979" w:type="dxa"/>
            <w:tcMar>
              <w:top w:w="70" w:type="dxa"/>
              <w:left w:w="75" w:type="dxa"/>
              <w:bottom w:w="70" w:type="dxa"/>
              <w:right w:w="75" w:type="dxa"/>
            </w:tcMar>
          </w:tcPr>
          <w:p w14:paraId="21FDAF9A" w14:textId="77777777" w:rsidR="008867B5" w:rsidRDefault="00000000">
            <w:pPr>
              <w:jc w:val="center"/>
            </w:pPr>
            <w:r>
              <w:rPr>
                <w:rFonts w:eastAsia="Times New Roman"/>
                <w:sz w:val="17"/>
              </w:rPr>
              <w:t>0.99 / 0.95</w:t>
            </w:r>
          </w:p>
        </w:tc>
      </w:tr>
      <w:tr w:rsidR="008867B5" w14:paraId="1872B0D2" w14:textId="77777777">
        <w:tc>
          <w:tcPr>
            <w:tcW w:w="3823" w:type="dxa"/>
            <w:tcMar>
              <w:top w:w="70" w:type="dxa"/>
              <w:left w:w="75" w:type="dxa"/>
              <w:bottom w:w="70" w:type="dxa"/>
              <w:right w:w="75" w:type="dxa"/>
            </w:tcMar>
          </w:tcPr>
          <w:p w14:paraId="56857F2D" w14:textId="77777777" w:rsidR="008867B5" w:rsidRDefault="00000000">
            <w:r>
              <w:rPr>
                <w:rFonts w:eastAsia="Times New Roman"/>
                <w:sz w:val="17"/>
              </w:rPr>
              <w:t>Lagrange learning rate</w:t>
            </w:r>
          </w:p>
        </w:tc>
        <w:tc>
          <w:tcPr>
            <w:tcW w:w="5979" w:type="dxa"/>
            <w:tcMar>
              <w:top w:w="70" w:type="dxa"/>
              <w:left w:w="75" w:type="dxa"/>
              <w:bottom w:w="70" w:type="dxa"/>
              <w:right w:w="75" w:type="dxa"/>
            </w:tcMar>
          </w:tcPr>
          <w:p w14:paraId="5A6CBBEF" w14:textId="77777777" w:rsidR="008867B5" w:rsidRDefault="00000000">
            <w:pPr>
              <w:jc w:val="center"/>
            </w:pPr>
            <w:r>
              <w:rPr>
                <w:rFonts w:eastAsia="Times New Roman"/>
                <w:sz w:val="17"/>
              </w:rPr>
              <w:t>0.03</w:t>
            </w:r>
          </w:p>
        </w:tc>
      </w:tr>
      <w:tr w:rsidR="008867B5" w14:paraId="72B1DA93" w14:textId="77777777">
        <w:tc>
          <w:tcPr>
            <w:tcW w:w="3823" w:type="dxa"/>
            <w:tcMar>
              <w:top w:w="70" w:type="dxa"/>
              <w:left w:w="75" w:type="dxa"/>
              <w:bottom w:w="70" w:type="dxa"/>
              <w:right w:w="75" w:type="dxa"/>
            </w:tcMar>
          </w:tcPr>
          <w:p w14:paraId="02F61879" w14:textId="77777777" w:rsidR="008867B5" w:rsidRDefault="00000000">
            <w:r>
              <w:rPr>
                <w:rFonts w:eastAsia="Times New Roman"/>
                <w:sz w:val="17"/>
              </w:rPr>
              <w:t>Training per seed</w:t>
            </w:r>
          </w:p>
        </w:tc>
        <w:tc>
          <w:tcPr>
            <w:tcW w:w="5979" w:type="dxa"/>
            <w:tcMar>
              <w:top w:w="70" w:type="dxa"/>
              <w:left w:w="75" w:type="dxa"/>
              <w:bottom w:w="70" w:type="dxa"/>
              <w:right w:w="75" w:type="dxa"/>
            </w:tcMar>
          </w:tcPr>
          <w:p w14:paraId="36158591" w14:textId="77777777" w:rsidR="008867B5" w:rsidRDefault="00000000">
            <w:pPr>
              <w:jc w:val="center"/>
            </w:pPr>
            <w:r>
              <w:rPr>
                <w:rFonts w:eastAsia="Times New Roman"/>
                <w:sz w:val="17"/>
              </w:rPr>
              <w:t>8 updates x 50 episodes x 3 PPO epochs</w:t>
            </w:r>
          </w:p>
        </w:tc>
      </w:tr>
      <w:tr w:rsidR="008867B5" w14:paraId="47AFF5E1" w14:textId="77777777">
        <w:tc>
          <w:tcPr>
            <w:tcW w:w="3823" w:type="dxa"/>
            <w:tcMar>
              <w:top w:w="70" w:type="dxa"/>
              <w:left w:w="75" w:type="dxa"/>
              <w:bottom w:w="70" w:type="dxa"/>
              <w:right w:w="75" w:type="dxa"/>
            </w:tcMar>
          </w:tcPr>
          <w:p w14:paraId="2C1B3483" w14:textId="77777777" w:rsidR="008867B5" w:rsidRDefault="00000000">
            <w:r>
              <w:rPr>
                <w:rFonts w:eastAsia="Times New Roman"/>
                <w:sz w:val="17"/>
              </w:rPr>
              <w:t>Evaluation per seed</w:t>
            </w:r>
          </w:p>
        </w:tc>
        <w:tc>
          <w:tcPr>
            <w:tcW w:w="5979" w:type="dxa"/>
            <w:tcMar>
              <w:top w:w="70" w:type="dxa"/>
              <w:left w:w="75" w:type="dxa"/>
              <w:bottom w:w="70" w:type="dxa"/>
              <w:right w:w="75" w:type="dxa"/>
            </w:tcMar>
          </w:tcPr>
          <w:p w14:paraId="2ABA49DA" w14:textId="77777777" w:rsidR="008867B5" w:rsidRDefault="00000000">
            <w:pPr>
              <w:jc w:val="center"/>
            </w:pPr>
            <w:r>
              <w:rPr>
                <w:rFonts w:eastAsia="Times New Roman"/>
                <w:sz w:val="17"/>
              </w:rPr>
              <w:t>240 episodes; deterministic policy</w:t>
            </w:r>
          </w:p>
        </w:tc>
      </w:tr>
      <w:tr w:rsidR="008867B5" w14:paraId="7EAF2F3A" w14:textId="77777777">
        <w:tc>
          <w:tcPr>
            <w:tcW w:w="3823" w:type="dxa"/>
            <w:tcMar>
              <w:top w:w="70" w:type="dxa"/>
              <w:left w:w="75" w:type="dxa"/>
              <w:bottom w:w="70" w:type="dxa"/>
              <w:right w:w="75" w:type="dxa"/>
            </w:tcMar>
          </w:tcPr>
          <w:p w14:paraId="44788FBB" w14:textId="77777777" w:rsidR="008867B5" w:rsidRDefault="00000000">
            <w:r>
              <w:rPr>
                <w:rFonts w:eastAsia="Times New Roman"/>
                <w:sz w:val="17"/>
              </w:rPr>
              <w:t>Clustering / hierarchy / shield</w:t>
            </w:r>
          </w:p>
        </w:tc>
        <w:tc>
          <w:tcPr>
            <w:tcW w:w="5979" w:type="dxa"/>
            <w:tcMar>
              <w:top w:w="70" w:type="dxa"/>
              <w:left w:w="75" w:type="dxa"/>
              <w:bottom w:w="70" w:type="dxa"/>
              <w:right w:w="75" w:type="dxa"/>
            </w:tcMar>
          </w:tcPr>
          <w:p w14:paraId="602ECE5A" w14:textId="77777777" w:rsidR="008867B5" w:rsidRDefault="00000000">
            <w:pPr>
              <w:jc w:val="center"/>
            </w:pPr>
            <w:r>
              <w:rPr>
                <w:rFonts w:eastAsia="Times New Roman"/>
                <w:sz w:val="17"/>
              </w:rPr>
              <w:t>disabled / disabled / disabled</w:t>
            </w:r>
          </w:p>
        </w:tc>
      </w:tr>
    </w:tbl>
    <w:p w14:paraId="21B3D0CA" w14:textId="77777777" w:rsidR="008867B5" w:rsidRDefault="008867B5">
      <w:pPr>
        <w:spacing w:after="20"/>
      </w:pPr>
    </w:p>
    <w:p w14:paraId="0A5D8D82" w14:textId="77777777" w:rsidR="008867B5" w:rsidRDefault="00000000">
      <w:pPr>
        <w:keepNext/>
        <w:spacing w:before="40" w:after="100"/>
        <w:jc w:val="center"/>
      </w:pPr>
      <w:r>
        <w:rPr>
          <w:rFonts w:eastAsia="Times New Roman"/>
          <w:i/>
          <w:sz w:val="18"/>
        </w:rPr>
        <w:t>Table 3. Threat-model behavior and controller visibility.</w:t>
      </w:r>
    </w:p>
    <w:tbl>
      <w:tblPr>
        <w:tblStyle w:val="TableGrid"/>
        <w:tblW w:w="9802" w:type="dxa"/>
        <w:tblInd w:w="110" w:type="dxa"/>
        <w:tblLayout w:type="fixed"/>
        <w:tblCellMar>
          <w:top w:w="75" w:type="dxa"/>
          <w:left w:w="110" w:type="dxa"/>
          <w:bottom w:w="75" w:type="dxa"/>
          <w:right w:w="110" w:type="dxa"/>
        </w:tblCellMar>
        <w:tblLook w:val="04A0" w:firstRow="1" w:lastRow="0" w:firstColumn="1" w:lastColumn="0" w:noHBand="0" w:noVBand="1"/>
      </w:tblPr>
      <w:tblGrid>
        <w:gridCol w:w="2156"/>
        <w:gridCol w:w="3431"/>
        <w:gridCol w:w="4215"/>
      </w:tblGrid>
      <w:tr w:rsidR="008867B5" w14:paraId="7D35B72E" w14:textId="77777777">
        <w:trPr>
          <w:tblHeader/>
        </w:trPr>
        <w:tc>
          <w:tcPr>
            <w:tcW w:w="2156" w:type="dxa"/>
            <w:shd w:val="clear" w:color="auto" w:fill="D9E2F3"/>
            <w:tcMar>
              <w:top w:w="70" w:type="dxa"/>
              <w:left w:w="75" w:type="dxa"/>
              <w:bottom w:w="70" w:type="dxa"/>
              <w:right w:w="75" w:type="dxa"/>
            </w:tcMar>
          </w:tcPr>
          <w:p w14:paraId="420A6993" w14:textId="77777777" w:rsidR="008867B5" w:rsidRDefault="00000000">
            <w:pPr>
              <w:jc w:val="center"/>
            </w:pPr>
            <w:r>
              <w:rPr>
                <w:rFonts w:eastAsia="Times New Roman"/>
                <w:b/>
                <w:sz w:val="16"/>
              </w:rPr>
              <w:t>Component</w:t>
            </w:r>
          </w:p>
        </w:tc>
        <w:tc>
          <w:tcPr>
            <w:tcW w:w="3431" w:type="dxa"/>
            <w:shd w:val="clear" w:color="auto" w:fill="D9E2F3"/>
            <w:tcMar>
              <w:top w:w="70" w:type="dxa"/>
              <w:left w:w="75" w:type="dxa"/>
              <w:bottom w:w="70" w:type="dxa"/>
              <w:right w:w="75" w:type="dxa"/>
            </w:tcMar>
          </w:tcPr>
          <w:p w14:paraId="248112D5" w14:textId="77777777" w:rsidR="008867B5" w:rsidRDefault="00000000">
            <w:pPr>
              <w:jc w:val="center"/>
            </w:pPr>
            <w:r>
              <w:rPr>
                <w:rFonts w:eastAsia="Times New Roman"/>
                <w:b/>
                <w:sz w:val="16"/>
              </w:rPr>
              <w:t>Simulator behavior</w:t>
            </w:r>
          </w:p>
        </w:tc>
        <w:tc>
          <w:tcPr>
            <w:tcW w:w="4215" w:type="dxa"/>
            <w:shd w:val="clear" w:color="auto" w:fill="D9E2F3"/>
            <w:tcMar>
              <w:top w:w="70" w:type="dxa"/>
              <w:left w:w="75" w:type="dxa"/>
              <w:bottom w:w="70" w:type="dxa"/>
              <w:right w:w="75" w:type="dxa"/>
            </w:tcMar>
          </w:tcPr>
          <w:p w14:paraId="06BC3479" w14:textId="77777777" w:rsidR="008867B5" w:rsidRDefault="00000000">
            <w:pPr>
              <w:jc w:val="center"/>
            </w:pPr>
            <w:r>
              <w:rPr>
                <w:rFonts w:eastAsia="Times New Roman"/>
                <w:b/>
                <w:sz w:val="16"/>
              </w:rPr>
              <w:t>Controller-visible information</w:t>
            </w:r>
          </w:p>
        </w:tc>
      </w:tr>
      <w:tr w:rsidR="008867B5" w14:paraId="7D531E3F" w14:textId="77777777">
        <w:tc>
          <w:tcPr>
            <w:tcW w:w="2156" w:type="dxa"/>
            <w:tcMar>
              <w:top w:w="70" w:type="dxa"/>
              <w:left w:w="75" w:type="dxa"/>
              <w:bottom w:w="70" w:type="dxa"/>
              <w:right w:w="75" w:type="dxa"/>
            </w:tcMar>
          </w:tcPr>
          <w:p w14:paraId="10C16CE1" w14:textId="77777777" w:rsidR="008867B5" w:rsidRDefault="00000000">
            <w:r>
              <w:rPr>
                <w:rFonts w:eastAsia="Times New Roman"/>
                <w:sz w:val="16"/>
              </w:rPr>
              <w:t>Blackhole</w:t>
            </w:r>
          </w:p>
        </w:tc>
        <w:tc>
          <w:tcPr>
            <w:tcW w:w="3431" w:type="dxa"/>
            <w:tcMar>
              <w:top w:w="70" w:type="dxa"/>
              <w:left w:w="75" w:type="dxa"/>
              <w:bottom w:w="70" w:type="dxa"/>
              <w:right w:w="75" w:type="dxa"/>
            </w:tcMar>
          </w:tcPr>
          <w:p w14:paraId="677AAF4E" w14:textId="77777777" w:rsidR="008867B5" w:rsidRDefault="00000000">
            <w:pPr>
              <w:jc w:val="center"/>
            </w:pPr>
            <w:r>
              <w:rPr>
                <w:rFonts w:eastAsia="Times New Roman"/>
                <w:sz w:val="16"/>
              </w:rPr>
              <w:t>Malicious forwarder drops forwarding attempts</w:t>
            </w:r>
          </w:p>
        </w:tc>
        <w:tc>
          <w:tcPr>
            <w:tcW w:w="4215" w:type="dxa"/>
            <w:tcMar>
              <w:top w:w="70" w:type="dxa"/>
              <w:left w:w="75" w:type="dxa"/>
              <w:bottom w:w="70" w:type="dxa"/>
              <w:right w:w="75" w:type="dxa"/>
            </w:tcMar>
          </w:tcPr>
          <w:p w14:paraId="68A42CAF" w14:textId="77777777" w:rsidR="008867B5" w:rsidRDefault="00000000">
            <w:pPr>
              <w:jc w:val="center"/>
            </w:pPr>
            <w:r>
              <w:rPr>
                <w:rFonts w:eastAsia="Times New Roman"/>
                <w:sz w:val="16"/>
              </w:rPr>
              <w:t>No attack label; only posterior forwarding evidence</w:t>
            </w:r>
          </w:p>
        </w:tc>
      </w:tr>
      <w:tr w:rsidR="008867B5" w14:paraId="0F00FD3F" w14:textId="77777777">
        <w:tc>
          <w:tcPr>
            <w:tcW w:w="2156" w:type="dxa"/>
            <w:tcMar>
              <w:top w:w="70" w:type="dxa"/>
              <w:left w:w="75" w:type="dxa"/>
              <w:bottom w:w="70" w:type="dxa"/>
              <w:right w:w="75" w:type="dxa"/>
            </w:tcMar>
          </w:tcPr>
          <w:p w14:paraId="78BC4D92" w14:textId="77777777" w:rsidR="008867B5" w:rsidRDefault="00000000">
            <w:r>
              <w:rPr>
                <w:rFonts w:eastAsia="Times New Roman"/>
                <w:sz w:val="16"/>
              </w:rPr>
              <w:t>Selective drop</w:t>
            </w:r>
          </w:p>
        </w:tc>
        <w:tc>
          <w:tcPr>
            <w:tcW w:w="3431" w:type="dxa"/>
            <w:tcMar>
              <w:top w:w="70" w:type="dxa"/>
              <w:left w:w="75" w:type="dxa"/>
              <w:bottom w:w="70" w:type="dxa"/>
              <w:right w:w="75" w:type="dxa"/>
            </w:tcMar>
          </w:tcPr>
          <w:p w14:paraId="6AF8CF73" w14:textId="77777777" w:rsidR="008867B5" w:rsidRDefault="00000000">
            <w:pPr>
              <w:jc w:val="center"/>
            </w:pPr>
            <w:r>
              <w:rPr>
                <w:rFonts w:eastAsia="Times New Roman"/>
                <w:sz w:val="16"/>
              </w:rPr>
              <w:t>Drops with frozen probability 0.65</w:t>
            </w:r>
          </w:p>
        </w:tc>
        <w:tc>
          <w:tcPr>
            <w:tcW w:w="4215" w:type="dxa"/>
            <w:tcMar>
              <w:top w:w="70" w:type="dxa"/>
              <w:left w:w="75" w:type="dxa"/>
              <w:bottom w:w="70" w:type="dxa"/>
              <w:right w:w="75" w:type="dxa"/>
            </w:tcMar>
          </w:tcPr>
          <w:p w14:paraId="663B60E4" w14:textId="77777777" w:rsidR="008867B5" w:rsidRDefault="00000000">
            <w:pPr>
              <w:jc w:val="center"/>
            </w:pPr>
            <w:r>
              <w:rPr>
                <w:rFonts w:eastAsia="Times New Roman"/>
                <w:sz w:val="16"/>
              </w:rPr>
              <w:t>No attack label; posterior evidence only</w:t>
            </w:r>
          </w:p>
        </w:tc>
      </w:tr>
      <w:tr w:rsidR="008867B5" w14:paraId="2D03BC56" w14:textId="77777777">
        <w:tc>
          <w:tcPr>
            <w:tcW w:w="2156" w:type="dxa"/>
            <w:tcMar>
              <w:top w:w="70" w:type="dxa"/>
              <w:left w:w="75" w:type="dxa"/>
              <w:bottom w:w="70" w:type="dxa"/>
              <w:right w:w="75" w:type="dxa"/>
            </w:tcMar>
          </w:tcPr>
          <w:p w14:paraId="34001B60" w14:textId="77777777" w:rsidR="008867B5" w:rsidRDefault="00000000">
            <w:r>
              <w:rPr>
                <w:rFonts w:eastAsia="Times New Roman"/>
                <w:sz w:val="16"/>
              </w:rPr>
              <w:t>Flooding</w:t>
            </w:r>
          </w:p>
        </w:tc>
        <w:tc>
          <w:tcPr>
            <w:tcW w:w="3431" w:type="dxa"/>
            <w:tcMar>
              <w:top w:w="70" w:type="dxa"/>
              <w:left w:w="75" w:type="dxa"/>
              <w:bottom w:w="70" w:type="dxa"/>
              <w:right w:w="75" w:type="dxa"/>
            </w:tcMar>
          </w:tcPr>
          <w:p w14:paraId="03270247" w14:textId="77777777" w:rsidR="008867B5" w:rsidRDefault="00000000">
            <w:pPr>
              <w:jc w:val="center"/>
            </w:pPr>
            <w:r>
              <w:rPr>
                <w:rFonts w:eastAsia="Times New Roman"/>
                <w:sz w:val="16"/>
              </w:rPr>
              <w:t>Adds queue pressure / congestion</w:t>
            </w:r>
          </w:p>
        </w:tc>
        <w:tc>
          <w:tcPr>
            <w:tcW w:w="4215" w:type="dxa"/>
            <w:tcMar>
              <w:top w:w="70" w:type="dxa"/>
              <w:left w:w="75" w:type="dxa"/>
              <w:bottom w:w="70" w:type="dxa"/>
              <w:right w:w="75" w:type="dxa"/>
            </w:tcMar>
          </w:tcPr>
          <w:p w14:paraId="0A8F0D73" w14:textId="77777777" w:rsidR="008867B5" w:rsidRDefault="00000000">
            <w:pPr>
              <w:jc w:val="center"/>
            </w:pPr>
            <w:r>
              <w:rPr>
                <w:rFonts w:eastAsia="Times New Roman"/>
                <w:sz w:val="16"/>
              </w:rPr>
              <w:t>Queue and link effects are observable; attack type is not</w:t>
            </w:r>
          </w:p>
        </w:tc>
      </w:tr>
      <w:tr w:rsidR="008867B5" w14:paraId="3BE7BB1E" w14:textId="77777777">
        <w:tc>
          <w:tcPr>
            <w:tcW w:w="2156" w:type="dxa"/>
            <w:tcMar>
              <w:top w:w="70" w:type="dxa"/>
              <w:left w:w="75" w:type="dxa"/>
              <w:bottom w:w="70" w:type="dxa"/>
              <w:right w:w="75" w:type="dxa"/>
            </w:tcMar>
          </w:tcPr>
          <w:p w14:paraId="035D0BA0" w14:textId="77777777" w:rsidR="008867B5" w:rsidRDefault="00000000">
            <w:r>
              <w:rPr>
                <w:rFonts w:eastAsia="Times New Roman"/>
                <w:sz w:val="16"/>
              </w:rPr>
              <w:t>Attack truth</w:t>
            </w:r>
          </w:p>
        </w:tc>
        <w:tc>
          <w:tcPr>
            <w:tcW w:w="3431" w:type="dxa"/>
            <w:tcMar>
              <w:top w:w="70" w:type="dxa"/>
              <w:left w:w="75" w:type="dxa"/>
              <w:bottom w:w="70" w:type="dxa"/>
              <w:right w:w="75" w:type="dxa"/>
            </w:tcMar>
          </w:tcPr>
          <w:p w14:paraId="23939BEE" w14:textId="77777777" w:rsidR="008867B5" w:rsidRDefault="00000000">
            <w:pPr>
              <w:jc w:val="center"/>
            </w:pPr>
            <w:r>
              <w:rPr>
                <w:rFonts w:eastAsia="Times New Roman"/>
                <w:sz w:val="16"/>
              </w:rPr>
              <w:t>Evaluator-only malicious-node metadata</w:t>
            </w:r>
          </w:p>
        </w:tc>
        <w:tc>
          <w:tcPr>
            <w:tcW w:w="4215" w:type="dxa"/>
            <w:tcMar>
              <w:top w:w="70" w:type="dxa"/>
              <w:left w:w="75" w:type="dxa"/>
              <w:bottom w:w="70" w:type="dxa"/>
              <w:right w:w="75" w:type="dxa"/>
            </w:tcMar>
          </w:tcPr>
          <w:p w14:paraId="70D1CE64" w14:textId="77777777" w:rsidR="008867B5" w:rsidRDefault="00000000">
            <w:pPr>
              <w:jc w:val="center"/>
            </w:pPr>
            <w:r>
              <w:rPr>
                <w:rFonts w:eastAsia="Times New Roman"/>
                <w:sz w:val="16"/>
              </w:rPr>
              <w:t>Never exposed to policy or risk estimator</w:t>
            </w:r>
          </w:p>
        </w:tc>
      </w:tr>
    </w:tbl>
    <w:p w14:paraId="44023574" w14:textId="77777777" w:rsidR="008867B5" w:rsidRDefault="008867B5">
      <w:pPr>
        <w:spacing w:after="20"/>
      </w:pPr>
    </w:p>
    <w:p w14:paraId="23C98EE4" w14:textId="77777777" w:rsidR="008867B5" w:rsidRDefault="00000000">
      <w:pPr>
        <w:pStyle w:val="Heading2"/>
      </w:pPr>
      <w:r>
        <w:rPr>
          <w:rFonts w:ascii="Times New Roman" w:eastAsia="Times New Roman" w:hAnsi="Times New Roman"/>
          <w:color w:val="000000"/>
        </w:rPr>
        <w:t>3.2 Virtual QoS debt</w:t>
      </w:r>
    </w:p>
    <w:p w14:paraId="067B7BF3" w14:textId="77777777" w:rsidR="008867B5" w:rsidRDefault="00000000">
      <w:pPr>
        <w:spacing w:after="100" w:line="259" w:lineRule="auto"/>
        <w:jc w:val="both"/>
      </w:pPr>
      <w:r>
        <w:rPr>
          <w:rFonts w:eastAsia="Times New Roman"/>
        </w:rPr>
        <w:t xml:space="preserve">For each traffic class </w:t>
      </w:r>
      <m:oMath>
        <m:r>
          <w:rPr>
            <w:rFonts w:ascii="Cambria Math" w:hAnsi="Cambria Math"/>
            <w:sz w:val="22"/>
          </w:rPr>
          <m:t>c</m:t>
        </m:r>
      </m:oMath>
      <w:r>
        <w:rPr>
          <w:rFonts w:eastAsia="Times New Roman"/>
        </w:rPr>
        <w:t xml:space="preserve">, separate virtual queues track deadline-violation and packet-loss pressure. Let </w:t>
      </w:r>
      <m:oMath>
        <m:r>
          <w:rPr>
            <w:rFonts w:ascii="Cambria Math" w:hAnsi="Cambria Math"/>
            <w:sz w:val="22"/>
          </w:rPr>
          <m:t>u</m:t>
        </m:r>
      </m:oMath>
      <w:r>
        <w:rPr>
          <w:rFonts w:eastAsia="Times New Roman"/>
        </w:rPr>
        <w:t xml:space="preserve"> ∈ {d, ℓ} identify the deadline and loss channels, respectively. The index </w:t>
      </w:r>
      <m:oMath>
        <m:r>
          <w:rPr>
            <w:rFonts w:ascii="Cambria Math" w:hAnsi="Cambria Math"/>
            <w:sz w:val="22"/>
          </w:rPr>
          <m:t>n</m:t>
        </m:r>
      </m:oMath>
      <w:r>
        <w:rPr>
          <w:rFonts w:eastAsia="Times New Roman"/>
        </w:rPr>
        <w:t xml:space="preserve"> counts completed packets of class </w:t>
      </w:r>
      <m:oMath>
        <m:r>
          <w:rPr>
            <w:rFonts w:ascii="Cambria Math" w:hAnsi="Cambria Math"/>
            <w:sz w:val="22"/>
          </w:rPr>
          <m:t>c</m:t>
        </m:r>
      </m:oMath>
      <w:r>
        <w:rPr>
          <w:rFonts w:eastAsia="Times New Roman"/>
        </w:rPr>
        <w:t>; only that class is updated at its packet termination:</w:t>
      </w:r>
    </w:p>
    <w:p w14:paraId="4A4ED8D1" w14:textId="77777777" w:rsidR="008867B5" w:rsidRDefault="00000000">
      <w:pPr>
        <w:pStyle w:val="Equation"/>
        <w:keepLines/>
        <w:tabs>
          <w:tab w:val="center" w:pos="4901"/>
          <w:tab w:val="right" w:pos="9802"/>
        </w:tabs>
        <w:spacing w:before="80" w:after="140"/>
      </w:pPr>
      <w:r>
        <w:tab/>
      </w:r>
      <m:oMath>
        <m:sSubSup>
          <m:sSubSupPr>
            <m:ctrlPr/>
          </m:sSubSupPr>
          <m:e>
            <m:r>
              <m:t>Z</m:t>
            </m:r>
          </m:e>
          <m:sub>
            <m:r>
              <m:t>c</m:t>
            </m:r>
          </m:sub>
          <m:sup>
            <m:d>
              <m:dPr>
                <m:ctrlPr/>
              </m:dPr>
              <m:e>
                <m:r>
                  <m:t>u</m:t>
                </m:r>
              </m:e>
            </m:d>
          </m:sup>
        </m:sSubSup>
        <m:d>
          <m:dPr>
            <m:ctrlPr/>
          </m:dPr>
          <m:e>
            <m:r>
              <m:t>n</m:t>
            </m:r>
            <m:r>
              <m:rPr>
                <m:nor/>
              </m:rPr>
              <m:t xml:space="preserve"> + 1</m:t>
            </m:r>
          </m:e>
        </m:d>
        <m:r>
          <m:rPr>
            <m:nor/>
          </m:rPr>
          <m:t xml:space="preserve"> = max</m:t>
        </m:r>
        <m:d>
          <m:dPr>
            <m:begChr m:val="{"/>
            <m:endChr m:val="}"/>
            <m:ctrlPr/>
          </m:dPr>
          <m:e>
            <m:r>
              <m:rPr>
                <m:nor/>
              </m:rPr>
              <m:t xml:space="preserve">0, </m:t>
            </m:r>
            <m:sSubSup>
              <m:sSubSupPr>
                <m:ctrlPr/>
              </m:sSubSupPr>
              <m:e>
                <m:r>
                  <m:t>Z</m:t>
                </m:r>
              </m:e>
              <m:sub>
                <m:r>
                  <m:t>c</m:t>
                </m:r>
              </m:sub>
              <m:sup>
                <m:d>
                  <m:dPr>
                    <m:ctrlPr/>
                  </m:dPr>
                  <m:e>
                    <m:r>
                      <m:t>u</m:t>
                    </m:r>
                  </m:e>
                </m:d>
              </m:sup>
            </m:sSubSup>
            <m:d>
              <m:dPr>
                <m:ctrlPr/>
              </m:dPr>
              <m:e>
                <m:r>
                  <m:t>n</m:t>
                </m:r>
              </m:e>
            </m:d>
            <m:r>
              <m:rPr>
                <m:nor/>
              </m:rPr>
              <m:t xml:space="preserve"> + </m:t>
            </m:r>
            <m:sSubSup>
              <m:sSubSupPr>
                <m:ctrlPr/>
              </m:sSubSupPr>
              <m:e>
                <m:r>
                  <m:t>C</m:t>
                </m:r>
              </m:e>
              <m:sub>
                <m:r>
                  <m:t>c</m:t>
                </m:r>
              </m:sub>
              <m:sup>
                <m:d>
                  <m:dPr>
                    <m:ctrlPr/>
                  </m:dPr>
                  <m:e>
                    <m:r>
                      <m:t>u</m:t>
                    </m:r>
                  </m:e>
                </m:d>
              </m:sup>
            </m:sSubSup>
            <m:d>
              <m:dPr>
                <m:ctrlPr/>
              </m:dPr>
              <m:e>
                <m:r>
                  <m:t>n</m:t>
                </m:r>
              </m:e>
            </m:d>
            <m:r>
              <m:rPr>
                <m:nor/>
              </m:rPr>
              <m:t xml:space="preserve"> - </m:t>
            </m:r>
            <m:sSubSup>
              <m:sSubSupPr>
                <m:ctrlPr/>
              </m:sSubSupPr>
              <m:e>
                <m:r>
                  <m:t>b</m:t>
                </m:r>
              </m:e>
              <m:sub>
                <m:r>
                  <m:t>c</m:t>
                </m:r>
              </m:sub>
              <m:sup>
                <m:d>
                  <m:dPr>
                    <m:ctrlPr/>
                  </m:dPr>
                  <m:e>
                    <m:r>
                      <m:t>u</m:t>
                    </m:r>
                  </m:e>
                </m:d>
              </m:sup>
            </m:sSubSup>
          </m:e>
        </m:d>
        <m:r>
          <m:rPr>
            <m:nor/>
          </m:rPr>
          <m:t xml:space="preserve">,   </m:t>
        </m:r>
        <m:r>
          <m:t>u</m:t>
        </m:r>
        <m:r>
          <m:rPr>
            <m:nor/>
          </m:rPr>
          <m:t xml:space="preserve"> ∈ {d, l}.</m:t>
        </m:r>
      </m:oMath>
      <w:r>
        <w:tab/>
      </w:r>
      <w:r>
        <w:rPr>
          <w:rFonts w:ascii="Times New Roman" w:eastAsia="Times New Roman" w:hAnsi="Times New Roman"/>
          <w:sz w:val="21"/>
        </w:rPr>
        <w:t>(1)</w:t>
      </w:r>
    </w:p>
    <w:p w14:paraId="4DE0A4F7" w14:textId="77777777" w:rsidR="008867B5" w:rsidRDefault="00000000">
      <w:pPr>
        <w:spacing w:after="100" w:line="259" w:lineRule="auto"/>
        <w:jc w:val="both"/>
      </w:pPr>
      <w:r>
        <w:rPr>
          <w:rFonts w:eastAsia="Times New Roman"/>
        </w:rPr>
        <w:t xml:space="preserve">The binary event </w:t>
      </w:r>
      <m:oMath>
        <m:sSubSup>
          <m:sSubSupPr>
            <m:ctrlPr>
              <w:rPr>
                <w:rFonts w:ascii="Cambria Math" w:hAnsi="Cambria Math"/>
              </w:rPr>
            </m:ctrlPr>
          </m:sSubSupPr>
          <m:e>
            <m:r>
              <w:rPr>
                <w:rFonts w:ascii="Cambria Math" w:hAnsi="Cambria Math"/>
                <w:sz w:val="22"/>
              </w:rPr>
              <m:t>C</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rPr>
        <w:t xml:space="preserve"> equals one for the corresponding terminal violation, as defined in Section 3.4. Before entering the policy state, each debt is mapped to </w:t>
      </w:r>
      <m:oMath>
        <m:f>
          <m:fPr>
            <m:ctrlPr>
              <w:rPr>
                <w:rFonts w:ascii="Cambria Math" w:hAnsi="Cambria Math"/>
              </w:rPr>
            </m:ctrlPr>
          </m:fPr>
          <m:num>
            <m:sSubSup>
              <m:sSubSupPr>
                <m:ctrlPr>
                  <w:rPr>
                    <w:rFonts w:ascii="Cambria Math" w:hAnsi="Cambria Math"/>
                  </w:rPr>
                </m:ctrlPr>
              </m:sSubSupPr>
              <m:e>
                <m:r>
                  <w:rPr>
                    <w:rFonts w:ascii="Cambria Math" w:hAnsi="Cambria Math"/>
                    <w:sz w:val="22"/>
                  </w:rPr>
                  <m:t>Z</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num>
          <m:den>
            <m:r>
              <m:rPr>
                <m:nor/>
              </m:rPr>
              <w:rPr>
                <w:rFonts w:ascii="Cambria Math" w:hAnsi="Cambria Math"/>
                <w:sz w:val="22"/>
              </w:rPr>
              <m:t xml:space="preserve">1 + </m:t>
            </m:r>
            <m:sSubSup>
              <m:sSubSupPr>
                <m:ctrlPr>
                  <w:rPr>
                    <w:rFonts w:ascii="Cambria Math" w:hAnsi="Cambria Math"/>
                  </w:rPr>
                </m:ctrlPr>
              </m:sSubSupPr>
              <m:e>
                <m:r>
                  <w:rPr>
                    <w:rFonts w:ascii="Cambria Math" w:hAnsi="Cambria Math"/>
                    <w:sz w:val="22"/>
                  </w:rPr>
                  <m:t>Z</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den>
        </m:f>
      </m:oMath>
      <w:r>
        <w:rPr>
          <w:rFonts w:eastAsia="Times New Roman"/>
        </w:rPr>
        <w:t>. The six transformed debts retain the ordering of accumulated QoS pressure while bounding the input scale. Debts from other classes remain unchanged at that termination. These virtual queues provide memory across packet episodes; they do not impose a hard per-packet delivery guarantee [13].</w:t>
      </w:r>
    </w:p>
    <w:p w14:paraId="3E2565CE" w14:textId="77777777" w:rsidR="008867B5" w:rsidRDefault="00000000">
      <w:pPr>
        <w:pStyle w:val="Heading2"/>
      </w:pPr>
      <w:r>
        <w:rPr>
          <w:rFonts w:ascii="Times New Roman" w:eastAsia="Times New Roman" w:hAnsi="Times New Roman"/>
          <w:color w:val="000000"/>
        </w:rPr>
        <w:t>3.3 Label-free Bayesian forwarding risk</w:t>
      </w:r>
    </w:p>
    <w:p w14:paraId="3BBF7404" w14:textId="77777777" w:rsidR="008867B5" w:rsidRDefault="00000000">
      <w:pPr>
        <w:spacing w:after="100" w:line="259" w:lineRule="auto"/>
        <w:jc w:val="both"/>
      </w:pPr>
      <w:r>
        <w:rPr>
          <w:rFonts w:eastAsia="Times New Roman"/>
        </w:rPr>
        <w:t xml:space="preserve">Every sensor starts with a Beta(1, 1) forwarding-trust prior. A forwarding observation at sensor </w:t>
      </w:r>
      <m:oMath>
        <m:r>
          <w:rPr>
            <w:rFonts w:ascii="Cambria Math" w:hAnsi="Cambria Math"/>
            <w:sz w:val="22"/>
          </w:rPr>
          <m:t>i</m:t>
        </m:r>
      </m:oMath>
      <w:r>
        <w:rPr>
          <w:rFonts w:eastAsia="Times New Roman"/>
        </w:rPr>
        <w:t xml:space="preserve"> has weight </w:t>
      </w:r>
      <m:oMath>
        <m:sSub>
          <m:sSubPr>
            <m:ctrlPr>
              <w:rPr>
                <w:rFonts w:ascii="Cambria Math" w:hAnsi="Cambria Math"/>
              </w:rPr>
            </m:ctrlPr>
          </m:sSubPr>
          <m:e>
            <m:r>
              <w:rPr>
                <w:rFonts w:ascii="Cambria Math" w:hAnsi="Cambria Math"/>
                <w:sz w:val="22"/>
              </w:rPr>
              <m:t>w</m:t>
            </m:r>
          </m:e>
          <m:sub>
            <m:r>
              <w:rPr>
                <w:rFonts w:ascii="Cambria Math" w:hAnsi="Cambria Math"/>
                <w:sz w:val="22"/>
              </w:rPr>
              <m:t>i</m:t>
            </m:r>
          </m:sub>
        </m:sSub>
        <m:r>
          <m:rPr>
            <m:nor/>
          </m:rPr>
          <w:rPr>
            <w:rFonts w:ascii="Cambria Math" w:hAnsi="Cambria Math"/>
            <w:sz w:val="22"/>
          </w:rPr>
          <m:t xml:space="preserve"> = clip(</m:t>
        </m:r>
        <m:sSubSup>
          <m:sSubSupPr>
            <m:ctrlPr>
              <w:rPr>
                <w:rFonts w:ascii="Cambria Math" w:hAnsi="Cambria Math"/>
              </w:rPr>
            </m:ctrlPr>
          </m:sSubSupPr>
          <m:e>
            <m:r>
              <w:rPr>
                <w:rFonts w:ascii="Cambria Math" w:hAnsi="Cambria Math"/>
                <w:sz w:val="22"/>
              </w:rPr>
              <m:t>PDR</m:t>
            </m:r>
          </m:e>
          <m:sub>
            <m:r>
              <w:rPr>
                <w:rFonts w:ascii="Cambria Math" w:hAnsi="Cambria Math"/>
                <w:sz w:val="22"/>
              </w:rPr>
              <m:t>i</m:t>
            </m:r>
          </m:sub>
          <m:sup>
            <m:r>
              <m:rPr>
                <m:nor/>
              </m:rPr>
              <w:rPr>
                <w:rFonts w:ascii="Cambria Math" w:hAnsi="Cambria Math"/>
                <w:sz w:val="22"/>
              </w:rPr>
              <m:t>exp</m:t>
            </m:r>
          </m:sup>
        </m:sSubSup>
        <m:r>
          <m:rPr>
            <m:nor/>
          </m:rPr>
          <w:rPr>
            <w:rFonts w:ascii="Cambria Math" w:hAnsi="Cambria Math"/>
            <w:sz w:val="22"/>
          </w:rPr>
          <m:t>, 0.05, 1)</m:t>
        </m:r>
      </m:oMath>
      <w:r>
        <w:rPr>
          <w:rFonts w:eastAsia="Times New Roman"/>
        </w:rPr>
        <w:t xml:space="preserve">. Success adds this weight to </w:t>
      </w:r>
      <m:oMath>
        <m:sSub>
          <m:sSubPr>
            <m:ctrlPr>
              <w:rPr>
                <w:rFonts w:ascii="Cambria Math" w:hAnsi="Cambria Math"/>
              </w:rPr>
            </m:ctrlPr>
          </m:sSubPr>
          <m:e>
            <m:r>
              <w:rPr>
                <w:rFonts w:ascii="Cambria Math" w:hAnsi="Cambria Math"/>
                <w:sz w:val="22"/>
              </w:rPr>
              <m:t>α</m:t>
            </m:r>
          </m:e>
          <m:sub>
            <m:r>
              <w:rPr>
                <w:rFonts w:ascii="Cambria Math" w:hAnsi="Cambria Math"/>
                <w:sz w:val="22"/>
              </w:rPr>
              <m:t>i</m:t>
            </m:r>
          </m:sub>
        </m:sSub>
      </m:oMath>
      <w:r>
        <w:rPr>
          <w:rFonts w:eastAsia="Times New Roman"/>
        </w:rPr>
        <w:t xml:space="preserve">; failure adds it to </w:t>
      </w:r>
      <m:oMath>
        <m:sSub>
          <m:sSubPr>
            <m:ctrlPr>
              <w:rPr>
                <w:rFonts w:ascii="Cambria Math" w:hAnsi="Cambria Math"/>
              </w:rPr>
            </m:ctrlPr>
          </m:sSubPr>
          <m:e>
            <m:r>
              <w:rPr>
                <w:rFonts w:ascii="Cambria Math" w:hAnsi="Cambria Math"/>
                <w:sz w:val="22"/>
              </w:rPr>
              <m:t>β</m:t>
            </m:r>
          </m:e>
          <m:sub>
            <m:r>
              <w:rPr>
                <w:rFonts w:ascii="Cambria Math" w:hAnsi="Cambria Math"/>
                <w:sz w:val="22"/>
              </w:rPr>
              <m:t>i</m:t>
            </m:r>
          </m:sub>
        </m:sSub>
      </m:oMath>
      <w:r>
        <w:rPr>
          <w:rFonts w:eastAsia="Times New Roman"/>
        </w:rPr>
        <w:t xml:space="preserve">. The posterior mean and standard deviation are </w:t>
      </w:r>
      <m:oMath>
        <m:sSub>
          <m:sSubPr>
            <m:ctrlPr>
              <w:rPr>
                <w:rFonts w:ascii="Cambria Math" w:hAnsi="Cambria Math"/>
              </w:rPr>
            </m:ctrlPr>
          </m:sSubPr>
          <m:e>
            <m:r>
              <w:rPr>
                <w:rFonts w:ascii="Cambria Math" w:hAnsi="Cambria Math"/>
                <w:sz w:val="22"/>
              </w:rPr>
              <m:t>μ</m:t>
            </m:r>
          </m:e>
          <m:sub>
            <m:r>
              <w:rPr>
                <w:rFonts w:ascii="Cambria Math" w:hAnsi="Cambria Math"/>
                <w:sz w:val="22"/>
              </w:rPr>
              <m:t>i</m:t>
            </m:r>
          </m:sub>
        </m:sSub>
        <m:r>
          <m:rPr>
            <m:nor/>
          </m:rPr>
          <w:rPr>
            <w:rFonts w:ascii="Cambria Math" w:hAnsi="Cambria Math"/>
            <w:sz w:val="22"/>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2"/>
                  </w:rPr>
                  <m:t>α</m:t>
                </m:r>
              </m:e>
              <m:sub>
                <m:r>
                  <w:rPr>
                    <w:rFonts w:ascii="Cambria Math" w:hAnsi="Cambria Math"/>
                    <w:sz w:val="22"/>
                  </w:rPr>
                  <m:t>i</m:t>
                </m:r>
              </m:sub>
            </m:sSub>
          </m:num>
          <m:den>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den>
        </m:f>
      </m:oMath>
      <w:r>
        <w:rPr>
          <w:rFonts w:eastAsia="Times New Roman"/>
        </w:rPr>
        <w:t xml:space="preserve"> and </w:t>
      </w:r>
      <m:oMath>
        <m:sSub>
          <m:sSubPr>
            <m:ctrlPr>
              <w:rPr>
                <w:rFonts w:ascii="Cambria Math" w:hAnsi="Cambria Math"/>
              </w:rPr>
            </m:ctrlPr>
          </m:sSubPr>
          <m:e>
            <m:r>
              <w:rPr>
                <w:rFonts w:ascii="Cambria Math" w:hAnsi="Cambria Math"/>
                <w:sz w:val="22"/>
              </w:rPr>
              <m:t>σ</m:t>
            </m:r>
          </m:e>
          <m:sub>
            <m:r>
              <w:rPr>
                <w:rFonts w:ascii="Cambria Math" w:hAnsi="Cambria Math"/>
                <w:sz w:val="22"/>
              </w:rPr>
              <m:t>i</m:t>
            </m:r>
          </m:sub>
        </m:sSub>
      </m:oMath>
      <w:r>
        <w:rPr>
          <w:rFonts w:eastAsia="Times New Roman"/>
        </w:rPr>
        <w:t xml:space="preserve">, respectively. For rate excess </w:t>
      </w:r>
      <m:oMath>
        <m:sSub>
          <m:sSubPr>
            <m:ctrlPr>
              <w:rPr>
                <w:rFonts w:ascii="Cambria Math" w:hAnsi="Cambria Math"/>
              </w:rPr>
            </m:ctrlPr>
          </m:sSubPr>
          <m:e>
            <m:r>
              <w:rPr>
                <w:rFonts w:ascii="Cambria Math" w:hAnsi="Cambria Math"/>
                <w:sz w:val="22"/>
              </w:rPr>
              <m:t>x</m:t>
            </m:r>
          </m:e>
          <m:sub>
            <m:r>
              <w:rPr>
                <w:rFonts w:ascii="Cambria Math" w:hAnsi="Cambria Math"/>
                <w:sz w:val="22"/>
              </w:rPr>
              <m:t>i</m:t>
            </m:r>
          </m:sub>
        </m:sSub>
        <m:r>
          <m:rPr>
            <m:nor/>
          </m:rPr>
          <w:rPr>
            <w:rFonts w:ascii="Cambria Math" w:hAnsi="Cambria Math"/>
            <w:sz w:val="22"/>
          </w:rPr>
          <m:t xml:space="preserve"> = clip((</m:t>
        </m:r>
        <m:sSub>
          <m:sSubPr>
            <m:ctrlPr>
              <w:rPr>
                <w:rFonts w:ascii="Cambria Math" w:hAnsi="Cambria Math"/>
              </w:rPr>
            </m:ctrlPr>
          </m:sSubPr>
          <m:e>
            <m:r>
              <w:rPr>
                <w:rFonts w:ascii="Cambria Math" w:hAnsi="Cambria Math"/>
                <w:sz w:val="22"/>
              </w:rPr>
              <m:t>q</m:t>
            </m:r>
          </m:e>
          <m:sub>
            <m:r>
              <w:rPr>
                <w:rFonts w:ascii="Cambria Math" w:hAnsi="Cambria Math"/>
                <w:sz w:val="22"/>
              </w:rPr>
              <m:t>i</m:t>
            </m:r>
          </m:sub>
        </m:sSub>
        <m:r>
          <m:rPr>
            <m:nor/>
          </m:rPr>
          <w:rPr>
            <w:rFonts w:ascii="Cambria Math" w:hAnsi="Cambria Math"/>
            <w:sz w:val="22"/>
          </w:rPr>
          <m:t xml:space="preserve"> - 0.4)/0.6, 0, 1)</m:t>
        </m:r>
      </m:oMath>
      <w:r>
        <w:rPr>
          <w:rFonts w:eastAsia="Times New Roman"/>
        </w:rPr>
        <w:t xml:space="preserve">, the slow-state refresh applies </w:t>
      </w:r>
      <m:oMath>
        <m:sSub>
          <m:sSubPr>
            <m:ctrlPr>
              <w:rPr>
                <w:rFonts w:ascii="Cambria Math" w:hAnsi="Cambria Math"/>
              </w:rPr>
            </m:ctrlPr>
          </m:sSubPr>
          <m:e>
            <m:r>
              <w:rPr>
                <w:rFonts w:ascii="Cambria Math" w:hAnsi="Cambria Math"/>
                <w:sz w:val="22"/>
              </w:rPr>
              <m:t>a</m:t>
            </m:r>
          </m:e>
          <m:sub>
            <m:r>
              <w:rPr>
                <w:rFonts w:ascii="Cambria Math" w:hAnsi="Cambria Math"/>
                <w:sz w:val="22"/>
              </w:rPr>
              <m:t>i</m:t>
            </m:r>
          </m:sub>
        </m:sSub>
        <m:r>
          <m:rPr>
            <m:nor/>
          </m:rPr>
          <w:rPr>
            <w:rFonts w:ascii="Cambria Math" w:hAnsi="Cambria Math"/>
            <w:sz w:val="22"/>
          </w:rPr>
          <m:t xml:space="preserve"> ← 0.85</m:t>
        </m:r>
        <m:sSub>
          <m:sSubPr>
            <m:ctrlPr>
              <w:rPr>
                <w:rFonts w:ascii="Cambria Math" w:hAnsi="Cambria Math"/>
              </w:rPr>
            </m:ctrlPr>
          </m:sSubPr>
          <m:e>
            <m:r>
              <w:rPr>
                <w:rFonts w:ascii="Cambria Math" w:hAnsi="Cambria Math"/>
                <w:sz w:val="22"/>
              </w:rPr>
              <m:t>a</m:t>
            </m:r>
          </m:e>
          <m:sub>
            <m:r>
              <w:rPr>
                <w:rFonts w:ascii="Cambria Math" w:hAnsi="Cambria Math"/>
                <w:sz w:val="22"/>
              </w:rPr>
              <m:t>i</m:t>
            </m:r>
          </m:sub>
        </m:sSub>
        <m:r>
          <m:rPr>
            <m:nor/>
          </m:rPr>
          <w:rPr>
            <w:rFonts w:ascii="Cambria Math" w:hAnsi="Cambria Math"/>
            <w:sz w:val="22"/>
          </w:rPr>
          <m:t xml:space="preserve"> + 0.15</m:t>
        </m:r>
        <m:sSub>
          <m:sSubPr>
            <m:ctrlPr>
              <w:rPr>
                <w:rFonts w:ascii="Cambria Math" w:hAnsi="Cambria Math"/>
              </w:rPr>
            </m:ctrlPr>
          </m:sSubPr>
          <m:e>
            <m:r>
              <w:rPr>
                <w:rFonts w:ascii="Cambria Math" w:hAnsi="Cambria Math"/>
                <w:sz w:val="22"/>
              </w:rPr>
              <m:t>x</m:t>
            </m:r>
          </m:e>
          <m:sub>
            <m:r>
              <w:rPr>
                <w:rFonts w:ascii="Cambria Math" w:hAnsi="Cambria Math"/>
                <w:sz w:val="22"/>
              </w:rPr>
              <m:t>i</m:t>
            </m:r>
          </m:sub>
        </m:sSub>
      </m:oMath>
      <w:r>
        <w:rPr>
          <w:rFonts w:eastAsia="Times New Roman"/>
        </w:rPr>
        <w:t>. The mean risk and uncertainty-adjusted score are</w:t>
      </w:r>
    </w:p>
    <w:p w14:paraId="3AD291AC" w14:textId="77777777" w:rsidR="008867B5" w:rsidRDefault="00000000">
      <w:pPr>
        <w:pStyle w:val="Equation"/>
        <w:keepLines/>
        <w:tabs>
          <w:tab w:val="center" w:pos="4901"/>
          <w:tab w:val="right" w:pos="9802"/>
        </w:tabs>
        <w:spacing w:before="80" w:after="140"/>
      </w:pPr>
      <w:r>
        <w:tab/>
      </w:r>
      <m:oMath>
        <m:sSub>
          <m:sSubPr>
            <m:ctrlPr/>
          </m:sSubPr>
          <m:e>
            <m:r>
              <m:t>ρ</m:t>
            </m:r>
          </m:e>
          <m:sub>
            <m:r>
              <m:t>i</m:t>
            </m:r>
          </m:sub>
        </m:sSub>
        <m:r>
          <m:rPr>
            <m:nor/>
          </m:rPr>
          <m:t xml:space="preserve"> = 0.75</m:t>
        </m:r>
        <m:d>
          <m:dPr>
            <m:ctrlPr/>
          </m:dPr>
          <m:e>
            <m:r>
              <m:rPr>
                <m:nor/>
              </m:rPr>
              <m:t xml:space="preserve">1 - </m:t>
            </m:r>
            <m:sSub>
              <m:sSubPr>
                <m:ctrlPr/>
              </m:sSubPr>
              <m:e>
                <m:r>
                  <m:t>μ</m:t>
                </m:r>
              </m:e>
              <m:sub>
                <m:r>
                  <m:t>i</m:t>
                </m:r>
              </m:sub>
            </m:sSub>
          </m:e>
        </m:d>
        <m:r>
          <m:rPr>
            <m:nor/>
          </m:rPr>
          <m:t xml:space="preserve"> + 0.25</m:t>
        </m:r>
        <m:sSub>
          <m:sSubPr>
            <m:ctrlPr/>
          </m:sSubPr>
          <m:e>
            <m:r>
              <m:t>a</m:t>
            </m:r>
          </m:e>
          <m:sub>
            <m:r>
              <m:t>i</m:t>
            </m:r>
          </m:sub>
        </m:sSub>
        <m:r>
          <m:rPr>
            <m:nor/>
          </m:rPr>
          <m:t>,</m:t>
        </m:r>
      </m:oMath>
      <w:r>
        <w:tab/>
      </w:r>
      <w:r>
        <w:rPr>
          <w:rFonts w:ascii="Times New Roman" w:eastAsia="Times New Roman" w:hAnsi="Times New Roman"/>
          <w:sz w:val="21"/>
        </w:rPr>
        <w:t>(2)</w:t>
      </w:r>
    </w:p>
    <w:p w14:paraId="3B2B539E" w14:textId="77777777" w:rsidR="008867B5" w:rsidRDefault="00000000">
      <w:pPr>
        <w:pStyle w:val="Equation"/>
        <w:keepLines/>
        <w:tabs>
          <w:tab w:val="center" w:pos="4901"/>
          <w:tab w:val="right" w:pos="9802"/>
        </w:tabs>
        <w:spacing w:before="80" w:after="140"/>
      </w:pPr>
      <w:r>
        <w:tab/>
      </w:r>
      <m:oMath>
        <m:sSubSup>
          <m:sSubSupPr>
            <m:ctrlPr/>
          </m:sSubSupPr>
          <m:e>
            <m:r>
              <m:t>ρ</m:t>
            </m:r>
          </m:e>
          <m:sub>
            <m:r>
              <m:t>i</m:t>
            </m:r>
          </m:sub>
          <m:sup>
            <m:r>
              <m:rPr>
                <m:nor/>
              </m:rPr>
              <m:t>UCB</m:t>
            </m:r>
          </m:sup>
        </m:sSubSup>
        <m:r>
          <m:rPr>
            <m:nor/>
          </m:rPr>
          <m:t xml:space="preserve"> = clip</m:t>
        </m:r>
        <m:d>
          <m:dPr>
            <m:ctrlPr/>
          </m:dPr>
          <m:e>
            <m:sSub>
              <m:sSubPr>
                <m:ctrlPr/>
              </m:sSubPr>
              <m:e>
                <m:r>
                  <m:t>ρ</m:t>
                </m:r>
              </m:e>
              <m:sub>
                <m:r>
                  <m:t>i</m:t>
                </m:r>
              </m:sub>
            </m:sSub>
            <m:r>
              <m:rPr>
                <m:nor/>
              </m:rPr>
              <m:t xml:space="preserve"> + 1.645 · 0.75</m:t>
            </m:r>
            <m:sSub>
              <m:sSubPr>
                <m:ctrlPr/>
              </m:sSubPr>
              <m:e>
                <m:r>
                  <m:t>σ</m:t>
                </m:r>
              </m:e>
              <m:sub>
                <m:r>
                  <m:t>i</m:t>
                </m:r>
              </m:sub>
            </m:sSub>
            <m:r>
              <m:rPr>
                <m:nor/>
              </m:rPr>
              <m:t>, 0, 1</m:t>
            </m:r>
          </m:e>
        </m:d>
        <m:r>
          <m:rPr>
            <m:nor/>
          </m:rPr>
          <m:t>.</m:t>
        </m:r>
      </m:oMath>
      <w:r>
        <w:tab/>
      </w:r>
      <w:r>
        <w:rPr>
          <w:rFonts w:ascii="Times New Roman" w:eastAsia="Times New Roman" w:hAnsi="Times New Roman"/>
          <w:sz w:val="21"/>
        </w:rPr>
        <w:t>(3)</w:t>
      </w:r>
    </w:p>
    <w:p w14:paraId="0833AFF7" w14:textId="77777777" w:rsidR="008867B5" w:rsidRDefault="00000000">
      <w:pPr>
        <w:spacing w:after="100" w:line="259" w:lineRule="auto"/>
        <w:jc w:val="both"/>
      </w:pPr>
      <w:r>
        <w:rPr>
          <w:rFonts w:eastAsia="Times New Roman"/>
        </w:rPr>
        <w:lastRenderedPageBreak/>
        <w:t xml:space="preserve">Here </w:t>
      </w:r>
      <m:oMath>
        <m:sSub>
          <m:sSubPr>
            <m:ctrlPr>
              <w:rPr>
                <w:rFonts w:ascii="Cambria Math" w:hAnsi="Cambria Math"/>
              </w:rPr>
            </m:ctrlPr>
          </m:sSubPr>
          <m:e>
            <m:r>
              <w:rPr>
                <w:rFonts w:ascii="Cambria Math" w:hAnsi="Cambria Math"/>
                <w:sz w:val="22"/>
              </w:rPr>
              <m:t>q</m:t>
            </m:r>
          </m:e>
          <m:sub>
            <m:r>
              <w:rPr>
                <w:rFonts w:ascii="Cambria Math" w:hAnsi="Cambria Math"/>
                <w:sz w:val="22"/>
              </w:rPr>
              <m:t>i</m:t>
            </m:r>
          </m:sub>
        </m:sSub>
      </m:oMath>
      <w:r>
        <w:rPr>
          <w:rFonts w:eastAsia="Times New Roman"/>
        </w:rPr>
        <w:t xml:space="preserve"> is normalized queue pressure and </w:t>
      </w:r>
      <m:oMath>
        <m:sSub>
          <m:sSubPr>
            <m:ctrlPr>
              <w:rPr>
                <w:rFonts w:ascii="Cambria Math" w:hAnsi="Cambria Math"/>
              </w:rPr>
            </m:ctrlPr>
          </m:sSubPr>
          <m:e>
            <m:r>
              <w:rPr>
                <w:rFonts w:ascii="Cambria Math" w:hAnsi="Cambria Math"/>
                <w:sz w:val="22"/>
              </w:rPr>
              <m:t>a</m:t>
            </m:r>
          </m:e>
          <m:sub>
            <m:r>
              <w:rPr>
                <w:rFonts w:ascii="Cambria Math" w:hAnsi="Cambria Math"/>
                <w:sz w:val="22"/>
              </w:rPr>
              <m:t>i</m:t>
            </m:r>
          </m:sub>
        </m:sSub>
      </m:oMath>
      <w:r>
        <w:rPr>
          <w:rFonts w:eastAsia="Times New Roman"/>
        </w:rPr>
        <w:t xml:space="preserve"> is its smoothed excess-rate signal. The standard deviation follows the Beta variance </w:t>
      </w:r>
      <m:oMath>
        <m:sSup>
          <m:sSupPr>
            <m:ctrlPr>
              <w:rPr>
                <w:rFonts w:ascii="Cambria Math" w:hAnsi="Cambria Math"/>
              </w:rPr>
            </m:ctrlPr>
          </m:sSupPr>
          <m:e>
            <m:sSub>
              <m:sSubPr>
                <m:ctrlPr>
                  <w:rPr>
                    <w:rFonts w:ascii="Cambria Math" w:hAnsi="Cambria Math"/>
                  </w:rPr>
                </m:ctrlPr>
              </m:sSubPr>
              <m:e>
                <m:r>
                  <w:rPr>
                    <w:rFonts w:ascii="Cambria Math" w:hAnsi="Cambria Math"/>
                    <w:sz w:val="22"/>
                  </w:rPr>
                  <m:t>σ</m:t>
                </m:r>
              </m:e>
              <m:sub>
                <m:r>
                  <w:rPr>
                    <w:rFonts w:ascii="Cambria Math" w:hAnsi="Cambria Math"/>
                    <w:sz w:val="22"/>
                  </w:rPr>
                  <m:t>i</m:t>
                </m:r>
              </m:sub>
            </m:sSub>
          </m:e>
          <m:sup>
            <m:r>
              <w:rPr>
                <w:rFonts w:ascii="Cambria Math" w:hAnsi="Cambria Math"/>
                <w:sz w:val="22"/>
              </w:rPr>
              <m:t>2</m:t>
            </m:r>
          </m:sup>
        </m:sSup>
        <m:r>
          <m:rPr>
            <m:nor/>
          </m:rPr>
          <w:rPr>
            <w:rFonts w:ascii="Cambria Math" w:hAnsi="Cambria Math"/>
            <w:sz w:val="22"/>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2"/>
                  </w:rPr>
                  <m:t>α</m:t>
                </m:r>
              </m:e>
              <m:sub>
                <m:r>
                  <w:rPr>
                    <w:rFonts w:ascii="Cambria Math" w:hAnsi="Cambria Math"/>
                    <w:sz w:val="22"/>
                  </w:rPr>
                  <m:t>i</m:t>
                </m:r>
              </m:sub>
            </m:sSub>
            <m:sSub>
              <m:sSubPr>
                <m:ctrlPr>
                  <w:rPr>
                    <w:rFonts w:ascii="Cambria Math" w:hAnsi="Cambria Math"/>
                  </w:rPr>
                </m:ctrlPr>
              </m:sSubPr>
              <m:e>
                <m:r>
                  <w:rPr>
                    <w:rFonts w:ascii="Cambria Math" w:hAnsi="Cambria Math"/>
                    <w:sz w:val="22"/>
                  </w:rPr>
                  <m:t>β</m:t>
                </m:r>
              </m:e>
              <m:sub>
                <m:r>
                  <w:rPr>
                    <w:rFonts w:ascii="Cambria Math" w:hAnsi="Cambria Math"/>
                    <w:sz w:val="22"/>
                  </w:rPr>
                  <m:t>i</m:t>
                </m:r>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e>
                </m:d>
              </m:e>
              <m:sup>
                <m:r>
                  <w:rPr>
                    <w:rFonts w:ascii="Cambria Math" w:hAnsi="Cambria Math"/>
                    <w:sz w:val="22"/>
                  </w:rPr>
                  <m:t>2</m:t>
                </m:r>
              </m:sup>
            </m:sSup>
            <m:d>
              <m:dPr>
                <m:ctrlPr>
                  <w:rPr>
                    <w:rFonts w:ascii="Cambria Math" w:hAnsi="Cambria Math"/>
                  </w:rPr>
                </m:ctrlPr>
              </m:dPr>
              <m:e>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r>
                  <m:rPr>
                    <m:nor/>
                  </m:rPr>
                  <w:rPr>
                    <w:rFonts w:ascii="Cambria Math" w:hAnsi="Cambria Math"/>
                    <w:sz w:val="22"/>
                  </w:rPr>
                  <m:t xml:space="preserve"> + 1</m:t>
                </m:r>
              </m:e>
            </m:d>
          </m:den>
        </m:f>
      </m:oMath>
      <w:r>
        <w:rPr>
          <w:rFonts w:eastAsia="Times New Roman"/>
        </w:rPr>
        <w:t>. Both risk quantities enter the candidate state. Forwarding evidence updates the current transmitting sensor after an attempted hop; attack identity never enters this estimator. The UCB term is an uncertainty-aware routing score, not a calibrated intrusion probability or a supervised IDS prediction.</w:t>
      </w:r>
    </w:p>
    <w:p w14:paraId="41F248DC" w14:textId="77777777" w:rsidR="008867B5" w:rsidRDefault="00000000">
      <w:pPr>
        <w:pStyle w:val="Heading2"/>
      </w:pPr>
      <w:r>
        <w:rPr>
          <w:rFonts w:ascii="Times New Roman" w:eastAsia="Times New Roman" w:hAnsi="Times New Roman"/>
          <w:color w:val="000000"/>
        </w:rPr>
        <w:t>3.4 Constrained routing objective</w:t>
      </w:r>
    </w:p>
    <w:p w14:paraId="06E1E742" w14:textId="77777777" w:rsidR="008867B5" w:rsidRDefault="00000000">
      <w:pPr>
        <w:spacing w:after="100" w:line="259" w:lineRule="auto"/>
        <w:jc w:val="both"/>
      </w:pPr>
      <w:r>
        <w:rPr>
          <w:rFonts w:eastAsia="Times New Roman"/>
        </w:rPr>
        <w:t xml:space="preserve">Let </w:t>
      </w:r>
      <m:oMath>
        <m:sSub>
          <m:sSubPr>
            <m:ctrlPr>
              <w:rPr>
                <w:rFonts w:ascii="Cambria Math" w:hAnsi="Cambria Math"/>
              </w:rPr>
            </m:ctrlPr>
          </m:sSubPr>
          <m:e>
            <m:r>
              <w:rPr>
                <w:rFonts w:ascii="Cambria Math" w:hAnsi="Cambria Math"/>
                <w:sz w:val="22"/>
              </w:rPr>
              <m:t>π</m:t>
            </m:r>
          </m:e>
          <m:sub>
            <m:r>
              <w:rPr>
                <w:rFonts w:ascii="Cambria Math" w:hAnsi="Cambria Math"/>
                <w:sz w:val="22"/>
              </w:rPr>
              <m:t>θ</m:t>
            </m:r>
          </m:sub>
        </m:sSub>
      </m:oMath>
      <w:r>
        <w:rPr>
          <w:rFonts w:eastAsia="Times New Roman"/>
        </w:rPr>
        <w:t xml:space="preserve"> denote the next-hop policy. Consider a packet from class </w:t>
      </w:r>
      <m:oMath>
        <m:r>
          <w:rPr>
            <w:rFonts w:ascii="Cambria Math" w:hAnsi="Cambria Math"/>
            <w:sz w:val="22"/>
          </w:rPr>
          <m:t>c</m:t>
        </m:r>
      </m:oMath>
      <w:r>
        <w:rPr>
          <w:rFonts w:eastAsia="Times New Roman"/>
        </w:rPr>
        <w:t xml:space="preserve"> with deadline </w:t>
      </w:r>
      <m:oMath>
        <m:sSub>
          <m:sSubPr>
            <m:ctrlPr>
              <w:rPr>
                <w:rFonts w:ascii="Cambria Math" w:hAnsi="Cambria Math"/>
              </w:rPr>
            </m:ctrlPr>
          </m:sSubPr>
          <m:e>
            <m:r>
              <w:rPr>
                <w:rFonts w:ascii="Cambria Math" w:hAnsi="Cambria Math"/>
                <w:sz w:val="22"/>
              </w:rPr>
              <m:t>D</m:t>
            </m:r>
          </m:e>
          <m:sub>
            <m:r>
              <w:rPr>
                <w:rFonts w:ascii="Cambria Math" w:hAnsi="Cambria Math"/>
                <w:sz w:val="22"/>
              </w:rPr>
              <m:t>c</m:t>
            </m:r>
          </m:sub>
        </m:sSub>
      </m:oMath>
      <w:r>
        <w:rPr>
          <w:rFonts w:eastAsia="Times New Roman"/>
        </w:rPr>
        <w:t>. Let D denote its observed end-to-end delay. The terminal costs are</w:t>
      </w:r>
    </w:p>
    <w:p w14:paraId="23717F75" w14:textId="77777777" w:rsidR="008867B5" w:rsidRDefault="00000000">
      <w:pPr>
        <w:pStyle w:val="Equation"/>
        <w:keepLines/>
        <w:tabs>
          <w:tab w:val="center" w:pos="4901"/>
          <w:tab w:val="right" w:pos="9802"/>
        </w:tabs>
        <w:spacing w:before="80" w:after="140"/>
      </w:pPr>
      <w:r>
        <w:tab/>
      </w:r>
      <m:oMath>
        <m:eqArr>
          <m:eqArrPr>
            <m:ctrlPr/>
          </m:eqArrPr>
          <m:e>
            <m:sSubSup>
              <m:sSubSupPr>
                <m:ctrlPr/>
              </m:sSubSupPr>
              <m:e>
                <m:r>
                  <m:t>C</m:t>
                </m:r>
              </m:e>
              <m:sub>
                <m:r>
                  <m:t>c</m:t>
                </m:r>
              </m:sub>
              <m:sup>
                <m:d>
                  <m:dPr>
                    <m:ctrlPr/>
                  </m:dPr>
                  <m:e>
                    <m:r>
                      <m:t>d</m:t>
                    </m:r>
                  </m:e>
                </m:d>
              </m:sup>
            </m:sSubSup>
            <m:r>
              <m:rPr>
                <m:nor/>
              </m:rPr>
              <m:t xml:space="preserve"> = 1</m:t>
            </m:r>
            <m:d>
              <m:dPr>
                <m:begChr m:val="{"/>
                <m:endChr m:val="}"/>
                <m:ctrlPr/>
              </m:dPr>
              <m:e>
                <m:r>
                  <m:rPr>
                    <m:nor/>
                  </m:rPr>
                  <m:t xml:space="preserve">not delivered or delivered with </m:t>
                </m:r>
                <m:r>
                  <m:t>D</m:t>
                </m:r>
                <m:r>
                  <m:rPr>
                    <m:nor/>
                  </m:rPr>
                  <m:t xml:space="preserve"> &gt; </m:t>
                </m:r>
                <m:sSub>
                  <m:sSubPr>
                    <m:ctrlPr/>
                  </m:sSubPr>
                  <m:e>
                    <m:r>
                      <m:t>D</m:t>
                    </m:r>
                  </m:e>
                  <m:sub>
                    <m:r>
                      <m:t>c</m:t>
                    </m:r>
                  </m:sub>
                </m:sSub>
              </m:e>
            </m:d>
            <m:r>
              <m:rPr>
                <m:nor/>
              </m:rPr>
              <m:t>,</m:t>
            </m:r>
          </m:e>
          <m:e>
            <m:sSubSup>
              <m:sSubSupPr>
                <m:ctrlPr/>
              </m:sSubSupPr>
              <m:e>
                <m:r>
                  <m:t>C</m:t>
                </m:r>
              </m:e>
              <m:sub>
                <m:r>
                  <m:t>c</m:t>
                </m:r>
              </m:sub>
              <m:sup>
                <m:d>
                  <m:dPr>
                    <m:ctrlPr/>
                  </m:dPr>
                  <m:e>
                    <m:r>
                      <m:rPr>
                        <m:scr m:val="script"/>
                      </m:rPr>
                      <m:t>l</m:t>
                    </m:r>
                  </m:e>
                </m:d>
              </m:sup>
            </m:sSubSup>
            <m:r>
              <m:rPr>
                <m:nor/>
              </m:rPr>
              <m:t xml:space="preserve"> = 1</m:t>
            </m:r>
            <m:d>
              <m:dPr>
                <m:begChr m:val="{"/>
                <m:endChr m:val="}"/>
                <m:ctrlPr/>
              </m:dPr>
              <m:e>
                <m:r>
                  <m:rPr>
                    <m:nor/>
                  </m:rPr>
                  <m:t>not delivered</m:t>
                </m:r>
              </m:e>
            </m:d>
            <m:r>
              <m:rPr>
                <m:nor/>
              </m:rPr>
              <m:t>.</m:t>
            </m:r>
          </m:e>
        </m:eqArr>
      </m:oMath>
    </w:p>
    <w:p w14:paraId="543372FC" w14:textId="77777777" w:rsidR="008867B5" w:rsidRDefault="00000000">
      <w:pPr>
        <w:spacing w:after="100" w:line="259" w:lineRule="auto"/>
        <w:jc w:val="both"/>
      </w:pPr>
      <w:r>
        <w:t>Loss therefore contributes to both channels. Continuing transitions have zero terminal costs. The six-element implementation vector stores the active class at positions 2c and 2c + 1. Delay-violation budgets are [0.015, 0.04, 0.10], and loss budgets are the complements of the target PDRs: [0.015, 0.04, 0.10]. The constrained scalar objective is</w:t>
      </w:r>
    </w:p>
    <w:p w14:paraId="54CF1253" w14:textId="77777777" w:rsidR="008867B5" w:rsidRDefault="00000000">
      <w:pPr>
        <w:pStyle w:val="Equation"/>
        <w:keepLines/>
        <w:tabs>
          <w:tab w:val="center" w:pos="4901"/>
          <w:tab w:val="right" w:pos="9802"/>
        </w:tabs>
        <w:spacing w:before="80" w:after="140"/>
      </w:pPr>
      <w:r>
        <w:tab/>
      </w:r>
      <m:oMath>
        <m:eqArr>
          <m:eqArrPr>
            <m:ctrlPr/>
          </m:eqArrPr>
          <m:e>
            <m:sSub>
              <m:sSubPr>
                <m:ctrlPr/>
              </m:sSubPr>
              <m:e>
                <m:r>
                  <m:rPr>
                    <m:nor/>
                  </m:rPr>
                  <m:t>max</m:t>
                </m:r>
              </m:e>
              <m:sub>
                <m:r>
                  <m:t>θ</m:t>
                </m:r>
              </m:sub>
            </m:sSub>
            <m:r>
              <m:rPr>
                <m:nor/>
              </m:rPr>
              <m:t xml:space="preserve">  </m:t>
            </m:r>
            <m:sSub>
              <m:sSubPr>
                <m:ctrlPr/>
              </m:sSubPr>
              <m:e>
                <m:r>
                  <m:t>J</m:t>
                </m:r>
              </m:e>
              <m:sub>
                <m:r>
                  <m:t>R</m:t>
                </m:r>
              </m:sub>
            </m:sSub>
            <m:d>
              <m:dPr>
                <m:ctrlPr/>
              </m:dPr>
              <m:e>
                <m:r>
                  <m:t>θ</m:t>
                </m:r>
              </m:e>
            </m:d>
            <m:r>
              <m:rPr>
                <m:nor/>
              </m:rPr>
              <m:t xml:space="preserve"> = </m:t>
            </m:r>
            <m:sSub>
              <m:sSubPr>
                <m:ctrlPr/>
              </m:sSubPr>
              <m:e>
                <m:r>
                  <m:rPr>
                    <m:nor/>
                  </m:rPr>
                  <m:t>E</m:t>
                </m:r>
              </m:e>
              <m:sub>
                <m:sSub>
                  <m:sSubPr>
                    <m:ctrlPr/>
                  </m:sSubPr>
                  <m:e>
                    <m:r>
                      <m:t>π</m:t>
                    </m:r>
                  </m:e>
                  <m:sub>
                    <m:r>
                      <m:t>θ</m:t>
                    </m:r>
                  </m:sub>
                </m:sSub>
              </m:sub>
            </m:sSub>
            <m:d>
              <m:dPr>
                <m:begChr m:val="["/>
                <m:endChr m:val="]"/>
                <m:ctrlPr/>
              </m:dPr>
              <m:e>
                <m:nary>
                  <m:naryPr>
                    <m:chr m:val="∑"/>
                    <m:limLoc m:val="subSup"/>
                    <m:ctrlPr/>
                  </m:naryPr>
                  <m:sub>
                    <m:r>
                      <m:t>t</m:t>
                    </m:r>
                    <m:r>
                      <m:rPr>
                        <m:nor/>
                      </m:rPr>
                      <m:t xml:space="preserve"> = 0</m:t>
                    </m:r>
                  </m:sub>
                  <m:sup>
                    <m:r>
                      <m:t>T</m:t>
                    </m:r>
                    <m:r>
                      <m:rPr>
                        <m:nor/>
                      </m:rPr>
                      <m:t xml:space="preserve"> - 1</m:t>
                    </m:r>
                  </m:sup>
                  <m:e>
                    <m:sSup>
                      <m:sSupPr>
                        <m:ctrlPr/>
                      </m:sSupPr>
                      <m:e>
                        <m:r>
                          <m:t>γ</m:t>
                        </m:r>
                      </m:e>
                      <m:sup>
                        <m:r>
                          <m:t>t</m:t>
                        </m:r>
                      </m:sup>
                    </m:sSup>
                    <m:sSub>
                      <m:sSubPr>
                        <m:ctrlPr/>
                      </m:sSubPr>
                      <m:e>
                        <m:r>
                          <m:t>r</m:t>
                        </m:r>
                      </m:e>
                      <m:sub>
                        <m:r>
                          <m:t>t</m:t>
                        </m:r>
                      </m:sub>
                    </m:sSub>
                  </m:e>
                </m:nary>
              </m:e>
            </m:d>
            <m:r>
              <m:rPr>
                <m:nor/>
              </m:rPr>
              <m:t>,</m:t>
            </m:r>
          </m:e>
          <m:e>
            <m:r>
              <m:rPr>
                <m:nor/>
              </m:rPr>
              <m:t xml:space="preserve">subject to  </m:t>
            </m:r>
            <m:sSubSup>
              <m:sSubSupPr>
                <m:ctrlPr/>
              </m:sSubSupPr>
              <m:e>
                <m:r>
                  <m:t>J</m:t>
                </m:r>
              </m:e>
              <m:sub>
                <m:r>
                  <m:t>c</m:t>
                </m:r>
              </m:sub>
              <m:sup>
                <m:d>
                  <m:dPr>
                    <m:ctrlPr/>
                  </m:dPr>
                  <m:e>
                    <m:r>
                      <m:t>u</m:t>
                    </m:r>
                  </m:e>
                </m:d>
              </m:sup>
            </m:sSubSup>
            <m:d>
              <m:dPr>
                <m:ctrlPr/>
              </m:dPr>
              <m:e>
                <m:r>
                  <m:t>θ</m:t>
                </m:r>
              </m:e>
            </m:d>
            <m:r>
              <m:rPr>
                <m:nor/>
              </m:rPr>
              <m:t xml:space="preserve"> = </m:t>
            </m:r>
            <m:sSub>
              <m:sSubPr>
                <m:ctrlPr/>
              </m:sSubPr>
              <m:e>
                <m:r>
                  <m:rPr>
                    <m:nor/>
                  </m:rPr>
                  <m:t>E</m:t>
                </m:r>
              </m:e>
              <m:sub>
                <m:sSub>
                  <m:sSubPr>
                    <m:ctrlPr/>
                  </m:sSubPr>
                  <m:e>
                    <m:r>
                      <m:t>π</m:t>
                    </m:r>
                  </m:e>
                  <m:sub>
                    <m:r>
                      <m:t>θ</m:t>
                    </m:r>
                  </m:sub>
                </m:sSub>
              </m:sub>
            </m:sSub>
            <m:d>
              <m:dPr>
                <m:begChr m:val="["/>
                <m:endChr m:val="]"/>
                <m:ctrlPr/>
              </m:dPr>
              <m:e>
                <m:sSubSup>
                  <m:sSubSupPr>
                    <m:ctrlPr/>
                  </m:sSubSupPr>
                  <m:e>
                    <m:r>
                      <m:t>C</m:t>
                    </m:r>
                  </m:e>
                  <m:sub>
                    <m:r>
                      <m:t>c</m:t>
                    </m:r>
                  </m:sub>
                  <m:sup>
                    <m:d>
                      <m:dPr>
                        <m:ctrlPr/>
                      </m:dPr>
                      <m:e>
                        <m:r>
                          <m:t>u</m:t>
                        </m:r>
                      </m:e>
                    </m:d>
                  </m:sup>
                </m:sSubSup>
                <m:r>
                  <m:rPr>
                    <m:nor/>
                  </m:rPr>
                  <m:t xml:space="preserve"> | class = </m:t>
                </m:r>
                <m:r>
                  <m:t>c</m:t>
                </m:r>
              </m:e>
            </m:d>
            <m:r>
              <m:rPr>
                <m:nor/>
              </m:rPr>
              <m:t xml:space="preserve"> ≤ </m:t>
            </m:r>
            <m:sSubSup>
              <m:sSubSupPr>
                <m:ctrlPr/>
              </m:sSubSupPr>
              <m:e>
                <m:r>
                  <m:t>b</m:t>
                </m:r>
              </m:e>
              <m:sub>
                <m:r>
                  <m:t>c</m:t>
                </m:r>
              </m:sub>
              <m:sup>
                <m:d>
                  <m:dPr>
                    <m:ctrlPr/>
                  </m:dPr>
                  <m:e>
                    <m:r>
                      <m:t>u</m:t>
                    </m:r>
                  </m:e>
                </m:d>
              </m:sup>
            </m:sSubSup>
            <m:r>
              <m:rPr>
                <m:nor/>
              </m:rPr>
              <m:t>,</m:t>
            </m:r>
          </m:e>
          <m:e>
            <m:r>
              <m:t>c</m:t>
            </m:r>
            <m:r>
              <m:rPr>
                <m:nor/>
              </m:rPr>
              <m:t xml:space="preserve"> ∈ {0, 1, 2},   </m:t>
            </m:r>
            <m:r>
              <m:t>u</m:t>
            </m:r>
            <m:r>
              <m:rPr>
                <m:nor/>
              </m:rPr>
              <m:t xml:space="preserve"> ∈ {d, l}.</m:t>
            </m:r>
          </m:e>
        </m:eqArr>
      </m:oMath>
      <w:r>
        <w:tab/>
      </w:r>
      <w:r>
        <w:rPr>
          <w:rFonts w:ascii="Times New Roman" w:eastAsia="Times New Roman" w:hAnsi="Times New Roman"/>
          <w:sz w:val="21"/>
        </w:rPr>
        <w:t>(4)</w:t>
      </w:r>
    </w:p>
    <w:p w14:paraId="26FEDFC2" w14:textId="77777777" w:rsidR="008867B5" w:rsidRDefault="00000000">
      <w:pPr>
        <w:spacing w:after="100" w:line="259" w:lineRule="auto"/>
        <w:jc w:val="both"/>
      </w:pPr>
      <w:r>
        <w:rPr>
          <w:rFonts w:eastAsia="Times New Roman"/>
        </w:rPr>
        <w:t xml:space="preserve">The expectation in each constraint is conditioned on the packet class; a global average over all traffic would dilute the class-specific budget. Here </w:t>
      </w:r>
      <m:oMath>
        <m:r>
          <w:rPr>
            <w:rFonts w:ascii="Cambria Math" w:hAnsi="Cambria Math"/>
            <w:sz w:val="22"/>
          </w:rPr>
          <m:t>T</m:t>
        </m:r>
      </m:oMath>
      <w:r>
        <w:rPr>
          <w:rFonts w:eastAsia="Times New Roman"/>
        </w:rPr>
        <w:t xml:space="preserve"> is the number of forwarding decisions in the packet episode, and </w:t>
      </w:r>
      <m:oMath>
        <m:r>
          <w:rPr>
            <w:rFonts w:ascii="Cambria Math" w:hAnsi="Cambria Math"/>
            <w:sz w:val="22"/>
          </w:rPr>
          <m:t>γ</m:t>
        </m:r>
      </m:oMath>
      <w:r>
        <w:rPr>
          <w:rFonts w:eastAsia="Times New Roman"/>
        </w:rPr>
        <w:t xml:space="preserve"> = 0.99. The training routine estimates each class/channel rate from completed packets of that class in the current batch. Absent classes do not trigger multiplier updates. Section 4.5 specifies the projected update and its order relative to PPO.</w:t>
      </w:r>
    </w:p>
    <w:p w14:paraId="1ADAD4A5" w14:textId="77777777" w:rsidR="008867B5" w:rsidRDefault="00000000">
      <w:pPr>
        <w:spacing w:after="100" w:line="259" w:lineRule="auto"/>
        <w:jc w:val="both"/>
      </w:pPr>
      <w:r>
        <w:rPr>
          <w:rFonts w:eastAsia="Times New Roman"/>
        </w:rPr>
        <w:t xml:space="preserve">PPO uses reward and cost generalized advantages. With </w:t>
      </w:r>
      <m:oMath>
        <m:sSup>
          <m:sSupPr>
            <m:ctrlPr>
              <w:rPr>
                <w:rFonts w:ascii="Cambria Math" w:hAnsi="Cambria Math"/>
              </w:rPr>
            </m:ctrlPr>
          </m:sSupPr>
          <m:e>
            <m:r>
              <w:rPr>
                <w:rFonts w:ascii="Cambria Math" w:hAnsi="Cambria Math"/>
                <w:sz w:val="22"/>
              </w:rPr>
              <m:t>Ā</m:t>
            </m:r>
          </m:e>
          <m:sup>
            <m:r>
              <w:rPr>
                <w:rFonts w:ascii="Cambria Math" w:hAnsi="Cambria Math"/>
                <w:sz w:val="22"/>
              </w:rPr>
              <m:t>R</m:t>
            </m:r>
          </m:sup>
        </m:sSup>
      </m:oMath>
      <w:r>
        <w:rPr>
          <w:rFonts w:eastAsia="Times New Roman"/>
        </w:rPr>
        <w:t xml:space="preserve"> denoting the reward advantage after the batch-standardization rule in Section 4.5, the combined advantage is</w:t>
      </w:r>
    </w:p>
    <w:p w14:paraId="581C7623" w14:textId="77777777" w:rsidR="008867B5" w:rsidRDefault="00000000">
      <w:pPr>
        <w:pStyle w:val="Equation"/>
        <w:keepLines/>
        <w:tabs>
          <w:tab w:val="center" w:pos="4901"/>
          <w:tab w:val="right" w:pos="9802"/>
        </w:tabs>
        <w:spacing w:before="80" w:after="140"/>
      </w:pPr>
      <w:r>
        <w:tab/>
      </w:r>
      <m:oMath>
        <m:sSubSup>
          <m:sSubSupPr>
            <m:ctrlPr/>
          </m:sSubSupPr>
          <m:e>
            <m:r>
              <m:t>A</m:t>
            </m:r>
          </m:e>
          <m:sub>
            <m:r>
              <m:t>t</m:t>
            </m:r>
          </m:sub>
          <m:sup>
            <m:r>
              <m:rPr>
                <m:nor/>
              </m:rPr>
              <m:t>CPPO</m:t>
            </m:r>
          </m:sup>
        </m:sSubSup>
        <m:r>
          <m:rPr>
            <m:nor/>
          </m:rPr>
          <m:t xml:space="preserve"> = </m:t>
        </m:r>
        <m:sSubSup>
          <m:sSubSupPr>
            <m:ctrlPr/>
          </m:sSubSupPr>
          <m:e>
            <m:r>
              <m:t>Ā</m:t>
            </m:r>
          </m:e>
          <m:sub>
            <m:r>
              <m:t>t</m:t>
            </m:r>
          </m:sub>
          <m:sup>
            <m:r>
              <m:t>R</m:t>
            </m:r>
          </m:sup>
        </m:sSubSup>
        <m:r>
          <m:rPr>
            <m:nor/>
          </m:rPr>
          <m:t xml:space="preserve"> - </m:t>
        </m:r>
        <m:nary>
          <m:naryPr>
            <m:chr m:val="∑"/>
            <m:limLoc m:val="subSup"/>
            <m:ctrlPr/>
          </m:naryPr>
          <m:sub>
            <m:r>
              <m:rPr>
                <m:nor/>
              </m:rPr>
              <m:t>c = 0</m:t>
            </m:r>
          </m:sub>
          <m:sup>
            <m:r>
              <m:t>2</m:t>
            </m:r>
          </m:sup>
          <m:e>
            <m:d>
              <m:dPr>
                <m:begChr m:val="["/>
                <m:endChr m:val="]"/>
                <m:ctrlPr/>
              </m:dPr>
              <m:e>
                <m:sSubSup>
                  <m:sSubSupPr>
                    <m:ctrlPr/>
                  </m:sSubSupPr>
                  <m:e>
                    <m:r>
                      <m:t>λ</m:t>
                    </m:r>
                  </m:e>
                  <m:sub>
                    <m:r>
                      <m:t>c</m:t>
                    </m:r>
                  </m:sub>
                  <m:sup>
                    <m:d>
                      <m:dPr>
                        <m:ctrlPr/>
                      </m:dPr>
                      <m:e>
                        <m:r>
                          <m:t>d</m:t>
                        </m:r>
                      </m:e>
                    </m:d>
                  </m:sup>
                </m:sSubSup>
                <m:sSubSup>
                  <m:sSubSupPr>
                    <m:ctrlPr/>
                  </m:sSubSupPr>
                  <m:e>
                    <m:r>
                      <m:t>A</m:t>
                    </m:r>
                  </m:e>
                  <m:sub>
                    <m:r>
                      <m:t>t,c</m:t>
                    </m:r>
                  </m:sub>
                  <m:sup>
                    <m:d>
                      <m:dPr>
                        <m:ctrlPr/>
                      </m:dPr>
                      <m:e>
                        <m:r>
                          <m:t>d</m:t>
                        </m:r>
                      </m:e>
                    </m:d>
                  </m:sup>
                </m:sSubSup>
                <m:r>
                  <m:rPr>
                    <m:nor/>
                  </m:rPr>
                  <m:t xml:space="preserve"> + </m:t>
                </m:r>
                <m:sSubSup>
                  <m:sSubSupPr>
                    <m:ctrlPr/>
                  </m:sSubSupPr>
                  <m:e>
                    <m:r>
                      <m:t>λ</m:t>
                    </m:r>
                  </m:e>
                  <m:sub>
                    <m:r>
                      <m:t>c</m:t>
                    </m:r>
                  </m:sub>
                  <m:sup>
                    <m:d>
                      <m:dPr>
                        <m:ctrlPr/>
                      </m:dPr>
                      <m:e>
                        <m:r>
                          <m:rPr>
                            <m:scr m:val="script"/>
                          </m:rPr>
                          <m:t>l</m:t>
                        </m:r>
                      </m:e>
                    </m:d>
                  </m:sup>
                </m:sSubSup>
                <m:sSubSup>
                  <m:sSubSupPr>
                    <m:ctrlPr/>
                  </m:sSubSupPr>
                  <m:e>
                    <m:r>
                      <m:t>A</m:t>
                    </m:r>
                  </m:e>
                  <m:sub>
                    <m:r>
                      <m:t>t,c</m:t>
                    </m:r>
                  </m:sub>
                  <m:sup>
                    <m:d>
                      <m:dPr>
                        <m:ctrlPr/>
                      </m:dPr>
                      <m:e>
                        <m:r>
                          <m:rPr>
                            <m:scr m:val="script"/>
                          </m:rPr>
                          <m:t>l</m:t>
                        </m:r>
                      </m:e>
                    </m:d>
                  </m:sup>
                </m:sSubSup>
              </m:e>
            </m:d>
          </m:e>
        </m:nary>
        <m:r>
          <m:rPr>
            <m:nor/>
          </m:rPr>
          <m:t>.</m:t>
        </m:r>
      </m:oMath>
      <w:r>
        <w:tab/>
      </w:r>
      <w:r>
        <w:rPr>
          <w:rFonts w:ascii="Times New Roman" w:eastAsia="Times New Roman" w:hAnsi="Times New Roman"/>
          <w:sz w:val="21"/>
        </w:rPr>
        <w:t>(5)</w:t>
      </w:r>
    </w:p>
    <w:p w14:paraId="56ECFF65" w14:textId="77777777" w:rsidR="008867B5" w:rsidRDefault="00000000">
      <w:pPr>
        <w:spacing w:after="100" w:line="259" w:lineRule="auto"/>
        <w:jc w:val="both"/>
      </w:pPr>
      <w:r>
        <w:rPr>
          <w:rFonts w:eastAsia="Times New Roman"/>
        </w:rPr>
        <w:t>Equation (4) states the routing objective and class-specific service targets. Equation (5) is the implemented PPO training surrogate: it combines standardized reward advantages with unstandardized, discounted cost advantages. The projected multipliers respond to undiscounted terminal violation rates. This procedure provides a penalty-based approximation to constrained learning; it does not establish exact feasibility of Eq. (4) [8–10,13].</w:t>
      </w:r>
    </w:p>
    <w:p w14:paraId="5D0EA7FF" w14:textId="77777777" w:rsidR="008867B5" w:rsidRDefault="00000000">
      <w:pPr>
        <w:pStyle w:val="Heading1"/>
        <w:pageBreakBefore/>
      </w:pPr>
      <w:r>
        <w:rPr>
          <w:rFonts w:ascii="Times New Roman" w:eastAsia="Times New Roman" w:hAnsi="Times New Roman"/>
          <w:color w:val="000000"/>
        </w:rPr>
        <w:lastRenderedPageBreak/>
        <w:t>4. Proposed LA-CPPO routing architecture</w:t>
      </w:r>
    </w:p>
    <w:p w14:paraId="164FC778" w14:textId="77777777" w:rsidR="008867B5" w:rsidRDefault="00000000">
      <w:pPr>
        <w:spacing w:after="100" w:line="259" w:lineRule="auto"/>
        <w:jc w:val="both"/>
      </w:pPr>
      <w:r>
        <w:rPr>
          <w:rFonts w:eastAsia="Times New Roman"/>
        </w:rPr>
        <w:t>LA-CPPO maps a packet context and a bounded set of neighboring candidates to a next-hop action. Figure 1 shows how the persistent network state, class-specific QoS debt and online forwarding-risk estimates enter that decision. Shared candidate encoders produce the actor logits, while a symmetric masked pool supplies the reward and cost critics. Packet outcomes update the observed state online; batches of completed episodes drive the policy, critic and multiplier updates during training.</w:t>
      </w:r>
    </w:p>
    <w:p w14:paraId="0DA3F44E" w14:textId="77777777" w:rsidR="008867B5" w:rsidRDefault="00000000">
      <w:pPr>
        <w:keepNext/>
        <w:spacing w:after="100" w:line="259" w:lineRule="auto"/>
        <w:jc w:val="center"/>
      </w:pPr>
      <w:r>
        <w:rPr>
          <w:noProof/>
        </w:rPr>
        <w:drawing>
          <wp:inline distT="0" distB="0" distL="0" distR="0" wp14:anchorId="3AF5732B" wp14:editId="754FFC0E">
            <wp:extent cx="6080760" cy="32937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A_CPPO_architecture_corrected.png"/>
                    <pic:cNvPicPr/>
                  </pic:nvPicPr>
                  <pic:blipFill>
                    <a:blip r:embed="rId8"/>
                    <a:stretch>
                      <a:fillRect/>
                    </a:stretch>
                  </pic:blipFill>
                  <pic:spPr>
                    <a:xfrm>
                      <a:off x="0" y="0"/>
                      <a:ext cx="6080760" cy="3293745"/>
                    </a:xfrm>
                    <a:prstGeom prst="rect">
                      <a:avLst/>
                    </a:prstGeom>
                  </pic:spPr>
                </pic:pic>
              </a:graphicData>
            </a:graphic>
          </wp:inline>
        </w:drawing>
      </w:r>
    </w:p>
    <w:p w14:paraId="65E0002B" w14:textId="77777777" w:rsidR="008867B5" w:rsidRDefault="00000000">
      <w:pPr>
        <w:pStyle w:val="Caption"/>
        <w:jc w:val="center"/>
      </w:pPr>
      <w:r>
        <w:rPr>
          <w:rFonts w:eastAsia="Times New Roman"/>
          <w:b w:val="0"/>
          <w:i/>
          <w:color w:val="000000"/>
        </w:rPr>
        <w:t>Fig. 1. Routing architecture and constrained training procedure for LA-CPPO.</w:t>
      </w:r>
    </w:p>
    <w:p w14:paraId="5D73556D" w14:textId="77777777" w:rsidR="008867B5" w:rsidRDefault="00000000">
      <w:pPr>
        <w:pStyle w:val="Heading2"/>
      </w:pPr>
      <w:r>
        <w:rPr>
          <w:rFonts w:ascii="Times New Roman" w:eastAsia="Times New Roman" w:hAnsi="Times New Roman"/>
          <w:color w:val="000000"/>
        </w:rPr>
        <w:t>4.1 Packet context and candidate preselection</w:t>
      </w:r>
    </w:p>
    <w:p w14:paraId="2CA10E57" w14:textId="77777777" w:rsidR="008867B5" w:rsidRDefault="00000000">
      <w:pPr>
        <w:spacing w:after="100" w:line="259" w:lineRule="auto"/>
        <w:jc w:val="both"/>
      </w:pPr>
      <w:r>
        <w:rPr>
          <w:rFonts w:eastAsia="Times New Roman"/>
        </w:rPr>
        <w:t xml:space="preserve">For each forwarding decision </w:t>
      </w:r>
      <m:oMath>
        <m:r>
          <w:rPr>
            <w:rFonts w:ascii="Cambria Math" w:hAnsi="Cambria Math"/>
            <w:sz w:val="22"/>
          </w:rPr>
          <m:t>t</m:t>
        </m:r>
      </m:oMath>
      <w:r>
        <w:rPr>
          <w:rFonts w:eastAsia="Times New Roman"/>
        </w:rPr>
        <w:t xml:space="preserve">, we represent the observation by a context vector </w:t>
      </w:r>
      <m:oMath>
        <m:r>
          <w:rPr>
            <w:rFonts w:ascii="Cambria Math" w:hAnsi="Cambria Math"/>
            <w:sz w:val="22"/>
          </w:rPr>
          <m:t>x</m:t>
        </m:r>
        <m:r>
          <m:rPr>
            <m:nor/>
          </m:rPr>
          <w:rPr>
            <w:rFonts w:ascii="Cambria Math" w:hAnsi="Cambria Math"/>
            <w:sz w:val="22"/>
          </w:rPr>
          <m:t xml:space="preserve"> ∈ </m:t>
        </m:r>
        <m:sSup>
          <m:sSupPr>
            <m:ctrlPr>
              <w:rPr>
                <w:rFonts w:ascii="Cambria Math" w:hAnsi="Cambria Math"/>
              </w:rPr>
            </m:ctrlPr>
          </m:sSupPr>
          <m:e>
            <m:r>
              <m:rPr>
                <m:nor/>
              </m:rPr>
              <w:rPr>
                <w:rFonts w:ascii="Cambria Math" w:hAnsi="Cambria Math"/>
                <w:sz w:val="22"/>
              </w:rPr>
              <m:t>R</m:t>
            </m:r>
          </m:e>
          <m:sup>
            <m:r>
              <w:rPr>
                <w:rFonts w:ascii="Cambria Math" w:hAnsi="Cambria Math"/>
                <w:sz w:val="22"/>
              </w:rPr>
              <m:t>13</m:t>
            </m:r>
          </m:sup>
        </m:sSup>
      </m:oMath>
      <w:r>
        <w:rPr>
          <w:rFonts w:eastAsia="Times New Roman"/>
        </w:rPr>
        <w:t xml:space="preserve">, a candidate matrix </w:t>
      </w:r>
      <m:oMath>
        <m:r>
          <w:rPr>
            <w:rFonts w:ascii="Cambria Math" w:hAnsi="Cambria Math"/>
            <w:sz w:val="22"/>
          </w:rPr>
          <m:t>H</m:t>
        </m:r>
        <m:r>
          <m:rPr>
            <m:nor/>
          </m:rPr>
          <w:rPr>
            <w:rFonts w:ascii="Cambria Math" w:hAnsi="Cambria Math"/>
            <w:sz w:val="22"/>
          </w:rPr>
          <m:t xml:space="preserve"> ∈ </m:t>
        </m:r>
        <m:sSup>
          <m:sSupPr>
            <m:ctrlPr>
              <w:rPr>
                <w:rFonts w:ascii="Cambria Math" w:hAnsi="Cambria Math"/>
              </w:rPr>
            </m:ctrlPr>
          </m:sSupPr>
          <m:e>
            <m:r>
              <m:rPr>
                <m:nor/>
              </m:rPr>
              <w:rPr>
                <w:rFonts w:ascii="Cambria Math" w:hAnsi="Cambria Math"/>
                <w:sz w:val="22"/>
              </w:rPr>
              <m:t>R</m:t>
            </m:r>
          </m:e>
          <m:sup>
            <m:r>
              <m:rPr>
                <m:nor/>
              </m:rPr>
              <w:rPr>
                <w:rFonts w:ascii="Cambria Math" w:hAnsi="Cambria Math"/>
                <w:sz w:val="22"/>
              </w:rPr>
              <m:t>8 × 10</m:t>
            </m:r>
          </m:sup>
        </m:sSup>
      </m:oMath>
      <w:r>
        <w:rPr>
          <w:rFonts w:eastAsia="Times New Roman"/>
        </w:rPr>
        <w:t xml:space="preserve">, and an eight-slot binary mask </w:t>
      </w:r>
      <m:oMath>
        <m:r>
          <w:rPr>
            <w:rFonts w:ascii="Cambria Math" w:hAnsi="Cambria Math"/>
            <w:sz w:val="22"/>
          </w:rPr>
          <m:t>m</m:t>
        </m:r>
      </m:oMath>
      <w:r>
        <w:rPr>
          <w:rFonts w:eastAsia="Times New Roman"/>
        </w:rPr>
        <w:t>. The context records the current energy fraction and queue pressure, sink distance relative to the deployment diagonal, remaining slack relative to the class deadline, a three-class one-hot vector, and six transformed QoS debts. We serialize the context and candidates into 93 values for batching, while retaining their distinct mathematical roles.</w:t>
      </w:r>
    </w:p>
    <w:p w14:paraId="39AFEDFB" w14:textId="77777777" w:rsidR="008867B5" w:rsidRDefault="00000000">
      <w:pPr>
        <w:spacing w:after="100" w:line="259" w:lineRule="auto"/>
        <w:jc w:val="both"/>
      </w:pPr>
      <w:r>
        <w:rPr>
          <w:rFonts w:eastAsia="Times New Roman"/>
        </w:rPr>
        <w:t>A candidate row records ten quantities: a sink indicator, residual-energy fraction, link PDR, normalized RSSI, queue pressure, normalized sink progress, mean posterior risk, risk-UCB, expected retries, and expected hop delay. We clip energy fractions and RSSI to [0, 1], with RSSI transformed as clip((RSSI + 110)/60, 0, 1). Sink progress is divided by the radio range and clipped to [−1, 1]. Expected retries use min(1/max(PDR, 10⁻³) − 1, 4)/4, and the delay feature is clip(expected hop delay/class deadline, 0, 2)/2. For a sink candidate, energy is one and queue/risk entries are zero. These transforms use fixed physical scales or ratios; their limits are not fitted through dataset-dependent min–max normalization.</w:t>
      </w:r>
    </w:p>
    <w:p w14:paraId="2D498FE0" w14:textId="77777777" w:rsidR="008867B5" w:rsidRDefault="00000000">
      <w:pPr>
        <w:spacing w:after="100" w:line="259" w:lineRule="auto"/>
        <w:jc w:val="both"/>
      </w:pPr>
      <w:r>
        <w:rPr>
          <w:rFonts w:eastAsia="Times New Roman"/>
        </w:rPr>
        <w:t xml:space="preserve">Preselection considers alive, reachable neighbors that have not yet been visited, adding the sink when it is reachable. Candidate </w:t>
      </w:r>
      <m:oMath>
        <m:r>
          <w:rPr>
            <w:rFonts w:ascii="Cambria Math" w:hAnsi="Cambria Math"/>
            <w:sz w:val="22"/>
          </w:rPr>
          <m:t>j</m:t>
        </m:r>
      </m:oMath>
      <w:r>
        <w:rPr>
          <w:rFonts w:eastAsia="Times New Roman"/>
        </w:rPr>
        <w:t xml:space="preserve"> is ranked using</w:t>
      </w:r>
    </w:p>
    <w:p w14:paraId="7A21481B" w14:textId="77777777" w:rsidR="008867B5" w:rsidRDefault="00000000">
      <w:pPr>
        <w:pStyle w:val="Equation"/>
        <w:keepLines/>
        <w:tabs>
          <w:tab w:val="center" w:pos="4901"/>
          <w:tab w:val="right" w:pos="9802"/>
        </w:tabs>
        <w:spacing w:before="80" w:after="140"/>
      </w:pPr>
      <w:r>
        <w:tab/>
      </w:r>
      <m:oMath>
        <m:sSub>
          <m:sSubPr>
            <m:ctrlPr/>
          </m:sSubPr>
          <m:e>
            <m:r>
              <m:t>s</m:t>
            </m:r>
          </m:e>
          <m:sub>
            <m:r>
              <m:t>j</m:t>
            </m:r>
          </m:sub>
        </m:sSub>
        <m:r>
          <m:rPr>
            <m:nor/>
          </m:rPr>
          <m:t xml:space="preserve"> = 1.25</m:t>
        </m:r>
        <m:sSub>
          <m:sSubPr>
            <m:ctrlPr/>
          </m:sSubPr>
          <m:e>
            <m:r>
              <m:t>p</m:t>
            </m:r>
          </m:e>
          <m:sub>
            <m:r>
              <m:t>j</m:t>
            </m:r>
          </m:sub>
        </m:sSub>
        <m:r>
          <m:rPr>
            <m:nor/>
          </m:rPr>
          <m:t xml:space="preserve"> + 0.75</m:t>
        </m:r>
        <m:sSub>
          <m:sSubPr>
            <m:ctrlPr/>
          </m:sSubPr>
          <m:e>
            <m:r>
              <m:rPr>
                <m:nor/>
              </m:rPr>
              <m:t>PDR</m:t>
            </m:r>
          </m:e>
          <m:sub>
            <m:r>
              <m:t>j</m:t>
            </m:r>
          </m:sub>
        </m:sSub>
        <m:r>
          <m:rPr>
            <m:nor/>
          </m:rPr>
          <m:t xml:space="preserve"> + 0.25</m:t>
        </m:r>
        <m:sSub>
          <m:sSubPr>
            <m:ctrlPr/>
          </m:sSubPr>
          <m:e>
            <m:r>
              <m:t>e</m:t>
            </m:r>
          </m:e>
          <m:sub>
            <m:r>
              <m:t>j</m:t>
            </m:r>
          </m:sub>
        </m:sSub>
        <m:r>
          <m:rPr>
            <m:nor/>
          </m:rPr>
          <m:t xml:space="preserve"> - 0.55</m:t>
        </m:r>
        <m:sSubSup>
          <m:sSubSupPr>
            <m:ctrlPr/>
          </m:sSubSupPr>
          <m:e>
            <m:r>
              <m:t>ρ</m:t>
            </m:r>
          </m:e>
          <m:sub>
            <m:r>
              <m:t>j</m:t>
            </m:r>
          </m:sub>
          <m:sup>
            <m:r>
              <m:rPr>
                <m:nor/>
              </m:rPr>
              <m:t>UCB</m:t>
            </m:r>
          </m:sup>
        </m:sSubSup>
        <m:r>
          <m:rPr>
            <m:nor/>
          </m:rPr>
          <m:t xml:space="preserve"> - 0.20</m:t>
        </m:r>
        <m:sSub>
          <m:sSubPr>
            <m:ctrlPr/>
          </m:sSubPr>
          <m:e>
            <m:r>
              <m:t>q</m:t>
            </m:r>
          </m:e>
          <m:sub>
            <m:r>
              <m:t>j</m:t>
            </m:r>
          </m:sub>
        </m:sSub>
        <m:r>
          <m:rPr>
            <m:nor/>
          </m:rPr>
          <m:t>.</m:t>
        </m:r>
      </m:oMath>
      <w:r>
        <w:tab/>
      </w:r>
      <w:r>
        <w:rPr>
          <w:rFonts w:ascii="Times New Roman" w:eastAsia="Times New Roman" w:hAnsi="Times New Roman"/>
          <w:sz w:val="21"/>
        </w:rPr>
        <w:t>(6)</w:t>
      </w:r>
    </w:p>
    <w:p w14:paraId="69D83BCD" w14:textId="77777777" w:rsidR="008867B5" w:rsidRDefault="00000000">
      <w:pPr>
        <w:spacing w:after="100" w:line="259" w:lineRule="auto"/>
        <w:jc w:val="both"/>
      </w:pPr>
      <w:r>
        <w:rPr>
          <w:rFonts w:eastAsia="Times New Roman"/>
        </w:rPr>
        <w:t xml:space="preserve">In this score, </w:t>
      </w:r>
      <m:oMath>
        <m:sSub>
          <m:sSubPr>
            <m:ctrlPr>
              <w:rPr>
                <w:rFonts w:ascii="Cambria Math" w:hAnsi="Cambria Math"/>
              </w:rPr>
            </m:ctrlPr>
          </m:sSubPr>
          <m:e>
            <m:r>
              <w:rPr>
                <w:rFonts w:ascii="Cambria Math" w:hAnsi="Cambria Math"/>
                <w:sz w:val="22"/>
              </w:rPr>
              <m:t>p</m:t>
            </m:r>
          </m:e>
          <m:sub>
            <m:r>
              <w:rPr>
                <w:rFonts w:ascii="Cambria Math" w:hAnsi="Cambria Math"/>
                <w:sz w:val="22"/>
              </w:rPr>
              <m:t>j</m:t>
            </m:r>
          </m:sub>
        </m:sSub>
      </m:oMath>
      <w:r>
        <w:rPr>
          <w:rFonts w:eastAsia="Times New Roman"/>
        </w:rPr>
        <w:t xml:space="preserve"> measures the reduction in sink distance divided by the radio range, </w:t>
      </w:r>
      <m:oMath>
        <m:sSub>
          <m:sSubPr>
            <m:ctrlPr>
              <w:rPr>
                <w:rFonts w:ascii="Cambria Math" w:hAnsi="Cambria Math"/>
              </w:rPr>
            </m:ctrlPr>
          </m:sSubPr>
          <m:e>
            <m:r>
              <w:rPr>
                <w:rFonts w:ascii="Cambria Math" w:hAnsi="Cambria Math"/>
                <w:sz w:val="22"/>
              </w:rPr>
              <m:t>e</m:t>
            </m:r>
          </m:e>
          <m:sub>
            <m:r>
              <w:rPr>
                <w:rFonts w:ascii="Cambria Math" w:hAnsi="Cambria Math"/>
                <w:sz w:val="22"/>
              </w:rPr>
              <m:t>j</m:t>
            </m:r>
          </m:sub>
        </m:sSub>
      </m:oMath>
      <w:r>
        <w:rPr>
          <w:rFonts w:eastAsia="Times New Roman"/>
        </w:rPr>
        <w:t xml:space="preserve"> is the residual-energy fraction, and </w:t>
      </w:r>
      <m:oMath>
        <m:sSub>
          <m:sSubPr>
            <m:ctrlPr>
              <w:rPr>
                <w:rFonts w:ascii="Cambria Math" w:hAnsi="Cambria Math"/>
              </w:rPr>
            </m:ctrlPr>
          </m:sSubPr>
          <m:e>
            <m:r>
              <w:rPr>
                <w:rFonts w:ascii="Cambria Math" w:hAnsi="Cambria Math"/>
                <w:sz w:val="22"/>
              </w:rPr>
              <m:t>q</m:t>
            </m:r>
          </m:e>
          <m:sub>
            <m:r>
              <w:rPr>
                <w:rFonts w:ascii="Cambria Math" w:hAnsi="Cambria Math"/>
                <w:sz w:val="22"/>
              </w:rPr>
              <m:t>j</m:t>
            </m:r>
          </m:sub>
        </m:sSub>
      </m:oMath>
      <w:r>
        <w:rPr>
          <w:rFonts w:eastAsia="Times New Roman"/>
        </w:rPr>
        <w:t xml:space="preserve"> is candidate queue pressure. We retain the eight highest-scoring candidates and zero-pad and mask any missing rows. The ranking determines which next-hop options are available; the actor makes the final choice. </w:t>
      </w:r>
      <w:r>
        <w:rPr>
          <w:rFonts w:eastAsia="Times New Roman"/>
        </w:rPr>
        <w:lastRenderedPageBreak/>
        <w:t>The mask excludes unavailable slots after physical and visited-node filtering. The environment enforces the 22-hop limit at termination, without an additional learned or security mask.</w:t>
      </w:r>
    </w:p>
    <w:p w14:paraId="277B1B63" w14:textId="77777777" w:rsidR="008867B5" w:rsidRDefault="00000000">
      <w:pPr>
        <w:pStyle w:val="Heading2"/>
      </w:pPr>
      <w:r>
        <w:rPr>
          <w:rFonts w:ascii="Times New Roman" w:eastAsia="Times New Roman" w:hAnsi="Times New Roman"/>
          <w:color w:val="000000"/>
        </w:rPr>
        <w:t>4.2 Shared local-attention actor</w:t>
      </w:r>
    </w:p>
    <w:p w14:paraId="38D67EBB" w14:textId="77777777" w:rsidR="008867B5" w:rsidRDefault="00000000">
      <w:pPr>
        <w:spacing w:after="100" w:line="259" w:lineRule="auto"/>
        <w:jc w:val="both"/>
      </w:pPr>
      <w:r>
        <w:rPr>
          <w:rFonts w:eastAsia="Times New Roman"/>
        </w:rPr>
        <w:t xml:space="preserve">The context encoder </w:t>
      </w:r>
      <m:oMath>
        <m:sSub>
          <m:sSubPr>
            <m:ctrlPr>
              <w:rPr>
                <w:rFonts w:ascii="Cambria Math" w:hAnsi="Cambria Math"/>
              </w:rPr>
            </m:ctrlPr>
          </m:sSubPr>
          <m:e>
            <m:r>
              <w:rPr>
                <w:rFonts w:ascii="Cambria Math" w:hAnsi="Cambria Math"/>
                <w:sz w:val="22"/>
              </w:rPr>
              <m:t>f</m:t>
            </m:r>
          </m:e>
          <m:sub>
            <m:r>
              <w:rPr>
                <w:rFonts w:ascii="Cambria Math" w:hAnsi="Cambria Math"/>
                <w:sz w:val="22"/>
              </w:rPr>
              <m:t>x</m:t>
            </m:r>
          </m:sub>
        </m:sSub>
      </m:oMath>
      <w:r>
        <w:rPr>
          <w:rFonts w:eastAsia="Times New Roman"/>
        </w:rPr>
        <w:t xml:space="preserve"> and shared candidate encoder </w:t>
      </w:r>
      <m:oMath>
        <m:sSub>
          <m:sSubPr>
            <m:ctrlPr>
              <w:rPr>
                <w:rFonts w:ascii="Cambria Math" w:hAnsi="Cambria Math"/>
              </w:rPr>
            </m:ctrlPr>
          </m:sSubPr>
          <m:e>
            <m:r>
              <w:rPr>
                <w:rFonts w:ascii="Cambria Math" w:hAnsi="Cambria Math"/>
                <w:sz w:val="22"/>
              </w:rPr>
              <m:t>f</m:t>
            </m:r>
          </m:e>
          <m:sub>
            <m:r>
              <w:rPr>
                <w:rFonts w:ascii="Cambria Math" w:hAnsi="Cambria Math"/>
                <w:sz w:val="22"/>
              </w:rPr>
              <m:t>h</m:t>
            </m:r>
          </m:sub>
        </m:sSub>
      </m:oMath>
      <w:r>
        <w:rPr>
          <w:rFonts w:eastAsia="Times New Roman"/>
        </w:rPr>
        <w:t xml:space="preserve"> each contain two affine layers with tanh activations and hidden width </w:t>
      </w:r>
      <m:oMath>
        <m:r>
          <w:rPr>
            <w:rFonts w:ascii="Cambria Math" w:hAnsi="Cambria Math"/>
            <w:sz w:val="22"/>
          </w:rPr>
          <m:t>d</m:t>
        </m:r>
      </m:oMath>
      <w:r>
        <w:rPr>
          <w:rFonts w:eastAsia="Times New Roman"/>
        </w:rPr>
        <w:t xml:space="preserve"> = 96. The context query and candidate keys use bias-free linear projections. A candidate-wise bias network has widths 96 → 48 → 1 with a tanh hidden activation. Candidate </w:t>
      </w:r>
      <m:oMath>
        <m:r>
          <w:rPr>
            <w:rFonts w:ascii="Cambria Math" w:hAnsi="Cambria Math"/>
            <w:sz w:val="22"/>
          </w:rPr>
          <m:t>j</m:t>
        </m:r>
      </m:oMath>
      <w:r>
        <w:rPr>
          <w:rFonts w:eastAsia="Times New Roman"/>
        </w:rPr>
        <w:t xml:space="preserve"> receives the unmasked logit</w:t>
      </w:r>
    </w:p>
    <w:p w14:paraId="17C896A4" w14:textId="77777777" w:rsidR="008867B5" w:rsidRDefault="00000000">
      <w:pPr>
        <w:pStyle w:val="Equation"/>
        <w:keepLines/>
        <w:tabs>
          <w:tab w:val="center" w:pos="4901"/>
          <w:tab w:val="right" w:pos="9802"/>
        </w:tabs>
        <w:spacing w:before="80" w:after="140"/>
      </w:pPr>
      <w:r>
        <w:tab/>
      </w:r>
      <m:oMath>
        <m:sSub>
          <m:sSubPr>
            <m:ctrlPr/>
          </m:sSubPr>
          <m:e>
            <m:r>
              <m:rPr>
                <m:scr m:val="script"/>
              </m:rPr>
              <m:t>l</m:t>
            </m:r>
          </m:e>
          <m:sub>
            <m:r>
              <m:t>j</m:t>
            </m:r>
          </m:sub>
        </m:sSub>
        <m:r>
          <m:rPr>
            <m:nor/>
          </m:rPr>
          <m:t xml:space="preserve"> = </m:t>
        </m:r>
        <m:f>
          <m:fPr>
            <m:ctrlPr/>
          </m:fPr>
          <m:num>
            <m:d>
              <m:dPr>
                <m:begChr m:val="⟨"/>
                <m:endChr m:val="⟩"/>
                <m:ctrlPr/>
              </m:dPr>
              <m:e>
                <m:sSub>
                  <m:sSubPr>
                    <m:ctrlPr/>
                  </m:sSubPr>
                  <m:e>
                    <m:r>
                      <m:t>W</m:t>
                    </m:r>
                  </m:e>
                  <m:sub>
                    <m:r>
                      <m:t>q</m:t>
                    </m:r>
                  </m:sub>
                </m:sSub>
                <m:sSub>
                  <m:sSubPr>
                    <m:ctrlPr/>
                  </m:sSubPr>
                  <m:e>
                    <m:r>
                      <m:t>f</m:t>
                    </m:r>
                  </m:e>
                  <m:sub>
                    <m:r>
                      <m:t>x</m:t>
                    </m:r>
                  </m:sub>
                </m:sSub>
                <m:r>
                  <m:rPr>
                    <m:nor/>
                  </m:rPr>
                  <m:t xml:space="preserve">(x), </m:t>
                </m:r>
                <m:sSub>
                  <m:sSubPr>
                    <m:ctrlPr/>
                  </m:sSubPr>
                  <m:e>
                    <m:r>
                      <m:t>W</m:t>
                    </m:r>
                  </m:e>
                  <m:sub>
                    <m:r>
                      <m:t>k</m:t>
                    </m:r>
                  </m:sub>
                </m:sSub>
                <m:sSub>
                  <m:sSubPr>
                    <m:ctrlPr/>
                  </m:sSubPr>
                  <m:e>
                    <m:r>
                      <m:t>f</m:t>
                    </m:r>
                  </m:e>
                  <m:sub>
                    <m:r>
                      <m:t>h</m:t>
                    </m:r>
                  </m:sub>
                </m:sSub>
                <m:d>
                  <m:dPr>
                    <m:ctrlPr/>
                  </m:dPr>
                  <m:e>
                    <m:sSub>
                      <m:sSubPr>
                        <m:ctrlPr/>
                      </m:sSubPr>
                      <m:e>
                        <m:r>
                          <m:t>h</m:t>
                        </m:r>
                      </m:e>
                      <m:sub>
                        <m:r>
                          <m:t>j</m:t>
                        </m:r>
                      </m:sub>
                    </m:sSub>
                  </m:e>
                </m:d>
              </m:e>
            </m:d>
          </m:num>
          <m:den>
            <m:rad>
              <m:radPr>
                <m:degHide m:val="1"/>
                <m:ctrlPr/>
              </m:radPr>
              <m:deg/>
              <m:e>
                <m:r>
                  <m:t>d</m:t>
                </m:r>
              </m:e>
            </m:rad>
          </m:den>
        </m:f>
        <m:r>
          <m:rPr>
            <m:nor/>
          </m:rPr>
          <m:t xml:space="preserve"> + </m:t>
        </m:r>
        <m:sSub>
          <m:sSubPr>
            <m:ctrlPr/>
          </m:sSubPr>
          <m:e>
            <m:r>
              <m:t>b</m:t>
            </m:r>
          </m:e>
          <m:sub>
            <m:r>
              <m:rPr>
                <m:nor/>
              </m:rPr>
              <m:t>act</m:t>
            </m:r>
          </m:sub>
        </m:sSub>
        <m:d>
          <m:dPr>
            <m:ctrlPr/>
          </m:dPr>
          <m:e>
            <m:sSub>
              <m:sSubPr>
                <m:ctrlPr/>
              </m:sSubPr>
              <m:e>
                <m:r>
                  <m:t>f</m:t>
                </m:r>
              </m:e>
              <m:sub>
                <m:r>
                  <m:t>h</m:t>
                </m:r>
              </m:sub>
            </m:sSub>
            <m:d>
              <m:dPr>
                <m:ctrlPr/>
              </m:dPr>
              <m:e>
                <m:sSub>
                  <m:sSubPr>
                    <m:ctrlPr/>
                  </m:sSubPr>
                  <m:e>
                    <m:r>
                      <m:t>h</m:t>
                    </m:r>
                  </m:e>
                  <m:sub>
                    <m:r>
                      <m:t>j</m:t>
                    </m:r>
                  </m:sub>
                </m:sSub>
              </m:e>
            </m:d>
          </m:e>
        </m:d>
        <m:r>
          <m:rPr>
            <m:nor/>
          </m:rPr>
          <m:t>.</m:t>
        </m:r>
      </m:oMath>
      <w:r>
        <w:tab/>
      </w:r>
      <w:r>
        <w:rPr>
          <w:rFonts w:ascii="Times New Roman" w:eastAsia="Times New Roman" w:hAnsi="Times New Roman"/>
          <w:sz w:val="21"/>
        </w:rPr>
        <w:t>(7)</w:t>
      </w:r>
    </w:p>
    <w:p w14:paraId="0547C8BB" w14:textId="77777777" w:rsidR="008867B5" w:rsidRDefault="00000000">
      <w:pPr>
        <w:spacing w:after="100" w:line="259" w:lineRule="auto"/>
        <w:jc w:val="both"/>
      </w:pPr>
      <w:r>
        <w:rPr>
          <w:rFonts w:eastAsia="Times New Roman"/>
        </w:rPr>
        <w:t xml:space="preserve">All rows share the same encoding, projection and bias parameters. Masked slots receive logit −10⁹ before softmax. During training, the action is sampled from this categorical distribution; evaluation chooses its argmax. The bias function </w:t>
      </w:r>
      <m:oMath>
        <m:sSub>
          <m:sSubPr>
            <m:ctrlPr>
              <w:rPr>
                <w:rFonts w:ascii="Cambria Math" w:hAnsi="Cambria Math"/>
              </w:rPr>
            </m:ctrlPr>
          </m:sSubPr>
          <m:e>
            <m:r>
              <w:rPr>
                <w:rFonts w:ascii="Cambria Math" w:hAnsi="Cambria Math"/>
                <w:sz w:val="22"/>
              </w:rPr>
              <m:t>b</m:t>
            </m:r>
          </m:e>
          <m:sub>
            <m:r>
              <m:rPr>
                <m:nor/>
              </m:rPr>
              <w:rPr>
                <w:rFonts w:ascii="Cambria Math" w:hAnsi="Cambria Math"/>
                <w:sz w:val="22"/>
              </w:rPr>
              <m:t>act</m:t>
            </m:r>
          </m:sub>
        </m:sSub>
      </m:oMath>
      <w:r>
        <w:rPr>
          <w:rFonts w:eastAsia="Times New Roman"/>
        </w:rPr>
        <w:t xml:space="preserve"> is distinct from the QoS budgets </w:t>
      </w:r>
      <m:oMath>
        <m:sSubSup>
          <m:sSubSupPr>
            <m:ctrlPr>
              <w:rPr>
                <w:rFonts w:ascii="Cambria Math" w:hAnsi="Cambria Math"/>
              </w:rPr>
            </m:ctrlPr>
          </m:sSubSupPr>
          <m:e>
            <m:r>
              <w:rPr>
                <w:rFonts w:ascii="Cambria Math" w:hAnsi="Cambria Math"/>
                <w:sz w:val="22"/>
              </w:rPr>
              <m:t>b</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rPr>
        <w:t>. No node identifier, cluster role, attack label or global topology embedding enters the actor.</w:t>
      </w:r>
    </w:p>
    <w:p w14:paraId="2DEC556C" w14:textId="77777777" w:rsidR="008867B5" w:rsidRDefault="00000000">
      <w:pPr>
        <w:pStyle w:val="Heading2"/>
      </w:pPr>
      <w:r>
        <w:rPr>
          <w:rFonts w:ascii="Times New Roman" w:eastAsia="Times New Roman" w:hAnsi="Times New Roman"/>
          <w:color w:val="000000"/>
        </w:rPr>
        <w:t>4.3 Invariant critics and representation properties</w:t>
      </w:r>
    </w:p>
    <w:p w14:paraId="5E95DF82" w14:textId="77777777" w:rsidR="008867B5" w:rsidRDefault="00000000">
      <w:pPr>
        <w:spacing w:after="100" w:line="259" w:lineRule="auto"/>
        <w:jc w:val="both"/>
      </w:pPr>
      <w:r>
        <w:rPr>
          <w:rFonts w:eastAsia="Times New Roman"/>
        </w:rPr>
        <w:t xml:space="preserve">The critics use the masked mean </w:t>
      </w:r>
      <m:oMath>
        <m:r>
          <w:rPr>
            <w:rFonts w:ascii="Cambria Math" w:hAnsi="Cambria Math"/>
            <w:sz w:val="22"/>
          </w:rPr>
          <m:t>g</m:t>
        </m:r>
      </m:oMath>
      <w:r>
        <w:rPr>
          <w:rFonts w:eastAsia="Times New Roman"/>
        </w:rPr>
        <w:t xml:space="preserve"> of the encoded candidate rows:</w:t>
      </w:r>
    </w:p>
    <w:p w14:paraId="36AC5ECF" w14:textId="77777777" w:rsidR="008867B5" w:rsidRDefault="00000000">
      <w:pPr>
        <w:pStyle w:val="Equation"/>
        <w:keepLines/>
        <w:tabs>
          <w:tab w:val="center" w:pos="4901"/>
          <w:tab w:val="right" w:pos="9802"/>
        </w:tabs>
        <w:spacing w:before="80" w:after="140"/>
      </w:pPr>
      <w:r>
        <w:tab/>
      </w:r>
      <m:oMath>
        <m:r>
          <m:t>g</m:t>
        </m:r>
        <m:r>
          <m:rPr>
            <m:nor/>
          </m:rPr>
          <m:t xml:space="preserve">(H, m) = </m:t>
        </m:r>
        <m:f>
          <m:fPr>
            <m:ctrlPr/>
          </m:fPr>
          <m:num>
            <m:nary>
              <m:naryPr>
                <m:chr m:val="∑"/>
                <m:limLoc m:val="subSup"/>
                <m:ctrlPr/>
              </m:naryPr>
              <m:sub>
                <m:r>
                  <m:rPr>
                    <m:nor/>
                  </m:rPr>
                  <m:t>j = 1</m:t>
                </m:r>
              </m:sub>
              <m:sup>
                <m:r>
                  <m:t>K</m:t>
                </m:r>
              </m:sup>
              <m:e>
                <m:sSub>
                  <m:sSubPr>
                    <m:ctrlPr/>
                  </m:sSubPr>
                  <m:e>
                    <m:r>
                      <m:t>m</m:t>
                    </m:r>
                  </m:e>
                  <m:sub>
                    <m:r>
                      <m:t>j</m:t>
                    </m:r>
                  </m:sub>
                </m:sSub>
                <m:sSub>
                  <m:sSubPr>
                    <m:ctrlPr/>
                  </m:sSubPr>
                  <m:e>
                    <m:r>
                      <m:t>f</m:t>
                    </m:r>
                  </m:e>
                  <m:sub>
                    <m:r>
                      <m:t>h</m:t>
                    </m:r>
                  </m:sub>
                </m:sSub>
                <m:d>
                  <m:dPr>
                    <m:ctrlPr/>
                  </m:dPr>
                  <m:e>
                    <m:sSub>
                      <m:sSubPr>
                        <m:ctrlPr/>
                      </m:sSubPr>
                      <m:e>
                        <m:r>
                          <m:t>h</m:t>
                        </m:r>
                      </m:e>
                      <m:sub>
                        <m:r>
                          <m:t>j</m:t>
                        </m:r>
                      </m:sub>
                    </m:sSub>
                  </m:e>
                </m:d>
              </m:e>
            </m:nary>
          </m:num>
          <m:den>
            <m:r>
              <m:rPr>
                <m:nor/>
              </m:rPr>
              <m:t>max</m:t>
            </m:r>
            <m:d>
              <m:dPr>
                <m:ctrlPr/>
              </m:dPr>
              <m:e>
                <m:r>
                  <m:rPr>
                    <m:nor/>
                  </m:rPr>
                  <m:t xml:space="preserve">1, </m:t>
                </m:r>
                <m:nary>
                  <m:naryPr>
                    <m:chr m:val="∑"/>
                    <m:limLoc m:val="subSup"/>
                    <m:ctrlPr/>
                  </m:naryPr>
                  <m:sub>
                    <m:r>
                      <m:rPr>
                        <m:nor/>
                      </m:rPr>
                      <m:t>j = 1</m:t>
                    </m:r>
                  </m:sub>
                  <m:sup>
                    <m:r>
                      <m:t>K</m:t>
                    </m:r>
                  </m:sup>
                  <m:e>
                    <m:sSub>
                      <m:sSubPr>
                        <m:ctrlPr/>
                      </m:sSubPr>
                      <m:e>
                        <m:r>
                          <m:t>m</m:t>
                        </m:r>
                      </m:e>
                      <m:sub>
                        <m:r>
                          <m:t>j</m:t>
                        </m:r>
                      </m:sub>
                    </m:sSub>
                  </m:e>
                </m:nary>
              </m:e>
            </m:d>
          </m:den>
        </m:f>
        <m:r>
          <m:rPr>
            <m:nor/>
          </m:rPr>
          <m:t>.</m:t>
        </m:r>
      </m:oMath>
    </w:p>
    <w:p w14:paraId="0DBE0A36" w14:textId="77777777" w:rsidR="008867B5" w:rsidRDefault="00000000">
      <w:pPr>
        <w:spacing w:after="100" w:line="259" w:lineRule="auto"/>
        <w:jc w:val="both"/>
      </w:pPr>
      <w:r>
        <w:rPr>
          <w:rFonts w:eastAsia="Times New Roman"/>
        </w:rPr>
        <w:t xml:space="preserve">We concatenate </w:t>
      </w:r>
      <m:oMath>
        <m:sSub>
          <m:sSubPr>
            <m:ctrlPr>
              <w:rPr>
                <w:rFonts w:ascii="Cambria Math" w:hAnsi="Cambria Math"/>
              </w:rPr>
            </m:ctrlPr>
          </m:sSubPr>
          <m:e>
            <m:r>
              <w:rPr>
                <w:rFonts w:ascii="Cambria Math" w:hAnsi="Cambria Math"/>
                <w:sz w:val="22"/>
              </w:rPr>
              <m:t>f</m:t>
            </m:r>
          </m:e>
          <m:sub>
            <m:r>
              <w:rPr>
                <w:rFonts w:ascii="Cambria Math" w:hAnsi="Cambria Math"/>
                <w:sz w:val="22"/>
              </w:rPr>
              <m:t>x</m:t>
            </m:r>
          </m:sub>
        </m:sSub>
        <m:r>
          <m:rPr>
            <m:nor/>
          </m:rPr>
          <w:rPr>
            <w:rFonts w:ascii="Cambria Math" w:hAnsi="Cambria Math"/>
            <w:sz w:val="22"/>
          </w:rPr>
          <m:t>(x)</m:t>
        </m:r>
      </m:oMath>
      <w:r>
        <w:rPr>
          <w:rFonts w:eastAsia="Times New Roman"/>
        </w:rPr>
        <w:t xml:space="preserve"> with </w:t>
      </w:r>
      <m:oMath>
        <m:r>
          <w:rPr>
            <w:rFonts w:ascii="Cambria Math" w:hAnsi="Cambria Math"/>
            <w:sz w:val="22"/>
          </w:rPr>
          <m:t>g</m:t>
        </m:r>
      </m:oMath>
      <w:r>
        <w:rPr>
          <w:rFonts w:eastAsia="Times New Roman"/>
        </w:rPr>
        <w:t xml:space="preserve"> to form a 192-dimensional input to the critic’s 96-unit tanh layer. Separate linear heads produce one reward value and six cost values. Applying the same permutation matrix </w:t>
      </w:r>
      <m:oMath>
        <m:r>
          <w:rPr>
            <w:rFonts w:ascii="Cambria Math" w:hAnsi="Cambria Math"/>
            <w:sz w:val="22"/>
          </w:rPr>
          <m:t>P</m:t>
        </m:r>
      </m:oMath>
      <w:r>
        <w:rPr>
          <w:rFonts w:eastAsia="Times New Roman"/>
        </w:rPr>
        <w:t xml:space="preserve"> to the candidate rows and mask gives the following identities through shared row operations and symmetric pooling:</w:t>
      </w:r>
    </w:p>
    <w:p w14:paraId="4E9A7961" w14:textId="77777777" w:rsidR="008867B5" w:rsidRDefault="00000000">
      <w:pPr>
        <w:pStyle w:val="Equation"/>
        <w:keepLines/>
        <w:tabs>
          <w:tab w:val="center" w:pos="4901"/>
          <w:tab w:val="right" w:pos="9802"/>
        </w:tabs>
        <w:spacing w:before="80" w:after="140"/>
      </w:pPr>
      <w:r>
        <w:tab/>
      </w:r>
      <m:oMath>
        <m:eqArr>
          <m:eqArrPr>
            <m:ctrlPr/>
          </m:eqArrPr>
          <m:e>
            <m:r>
              <m:t>L</m:t>
            </m:r>
            <m:r>
              <m:rPr>
                <m:nor/>
              </m:rPr>
              <m:t>(x, PH, Pm) = P</m:t>
            </m:r>
            <m:r>
              <m:t>L</m:t>
            </m:r>
            <m:r>
              <m:rPr>
                <m:nor/>
              </m:rPr>
              <m:t>(x, H, m),</m:t>
            </m:r>
          </m:e>
          <m:e>
            <m:r>
              <m:t>V</m:t>
            </m:r>
            <m:r>
              <m:rPr>
                <m:nor/>
              </m:rPr>
              <m:t xml:space="preserve">(x, PH, Pm) = </m:t>
            </m:r>
            <m:r>
              <m:t>V</m:t>
            </m:r>
            <m:r>
              <m:rPr>
                <m:nor/>
              </m:rPr>
              <m:t>(x, H, m).</m:t>
            </m:r>
          </m:e>
        </m:eqArr>
      </m:oMath>
    </w:p>
    <w:p w14:paraId="172F6E2F" w14:textId="77777777" w:rsidR="008867B5" w:rsidRDefault="00000000">
      <w:pPr>
        <w:spacing w:after="100" w:line="259" w:lineRule="auto"/>
        <w:jc w:val="both"/>
      </w:pPr>
      <w:r>
        <w:rPr>
          <w:rFonts w:eastAsia="Times New Roman"/>
        </w:rPr>
        <w:t>Reordering the selected candidates therefore reorders the logits and masked action probabilities in the same way. The reward value and all six cost values remain unchanged. These identities apply after the candidate set has been selected. Ties can still affect node choice: deterministic argmax tie-breaking and selection at the top-K boundary need not preserve the chosen node after reordering. The representation property alone establishes neither network-size transfer nor superiority at equal capacity [11,12]. Encoding and scoring grow linearly with K at fixed hidden width; the model does not use all-pairs candidate self-attention.</w:t>
      </w:r>
    </w:p>
    <w:p w14:paraId="11A2C2CA" w14:textId="77777777" w:rsidR="008867B5" w:rsidRDefault="00000000">
      <w:pPr>
        <w:pStyle w:val="Heading2"/>
      </w:pPr>
      <w:r>
        <w:rPr>
          <w:rFonts w:ascii="Times New Roman" w:eastAsia="Times New Roman" w:hAnsi="Times New Roman"/>
          <w:color w:val="000000"/>
        </w:rPr>
        <w:t>4.4 Hop reward and terminal-event handling</w:t>
      </w:r>
    </w:p>
    <w:p w14:paraId="2C177E53" w14:textId="77777777" w:rsidR="008867B5" w:rsidRDefault="00000000">
      <w:pPr>
        <w:spacing w:after="100" w:line="259" w:lineRule="auto"/>
        <w:jc w:val="both"/>
      </w:pPr>
      <w:r>
        <w:rPr>
          <w:rFonts w:eastAsia="Times New Roman"/>
        </w:rPr>
        <w:t xml:space="preserve">Once an attempted hop passes action validation, </w:t>
      </w:r>
      <m:oMath>
        <m:sSub>
          <m:sSubPr>
            <m:ctrlPr>
              <w:rPr>
                <w:rFonts w:ascii="Cambria Math" w:hAnsi="Cambria Math"/>
              </w:rPr>
            </m:ctrlPr>
          </m:sSubPr>
          <m:e>
            <m:r>
              <w:rPr>
                <w:rFonts w:ascii="Cambria Math" w:hAnsi="Cambria Math"/>
                <w:sz w:val="22"/>
              </w:rPr>
              <m:t>Δd</m:t>
            </m:r>
          </m:e>
          <m:sub>
            <m:r>
              <w:rPr>
                <w:rFonts w:ascii="Cambria Math" w:hAnsi="Cambria Math"/>
                <w:sz w:val="22"/>
              </w:rPr>
              <m:t>t</m:t>
            </m:r>
          </m:sub>
        </m:sSub>
      </m:oMath>
      <w:r>
        <w:rPr>
          <w:rFonts w:eastAsia="Times New Roman"/>
        </w:rPr>
        <w:t xml:space="preserve"> denotes progress toward the sink in metres, </w:t>
      </w:r>
      <m:oMath>
        <m:r>
          <w:rPr>
            <w:rFonts w:ascii="Cambria Math" w:hAnsi="Cambria Math"/>
            <w:sz w:val="22"/>
          </w:rPr>
          <m:t>R</m:t>
        </m:r>
      </m:oMath>
      <w:r>
        <w:rPr>
          <w:rFonts w:eastAsia="Times New Roman"/>
        </w:rPr>
        <w:t xml:space="preserve"> = 50 m is the radio range, </w:t>
      </w:r>
      <m:oMath>
        <m:sSub>
          <m:sSubPr>
            <m:ctrlPr>
              <w:rPr>
                <w:rFonts w:ascii="Cambria Math" w:hAnsi="Cambria Math"/>
              </w:rPr>
            </m:ctrlPr>
          </m:sSubPr>
          <m:e>
            <m:r>
              <w:rPr>
                <w:rFonts w:ascii="Cambria Math" w:hAnsi="Cambria Math"/>
                <w:sz w:val="22"/>
              </w:rPr>
              <m:t>n</m:t>
            </m:r>
          </m:e>
          <m:sub>
            <m:r>
              <w:rPr>
                <w:rFonts w:ascii="Cambria Math" w:hAnsi="Cambria Math"/>
                <w:sz w:val="22"/>
              </w:rPr>
              <m:t>t</m:t>
            </m:r>
          </m:sub>
        </m:sSub>
      </m:oMath>
      <w:r>
        <w:rPr>
          <w:rFonts w:eastAsia="Times New Roman"/>
        </w:rPr>
        <w:t xml:space="preserve"> is the number of transmission attempts, and </w:t>
      </w:r>
      <m:oMath>
        <m:sSub>
          <m:sSubPr>
            <m:ctrlPr>
              <w:rPr>
                <w:rFonts w:ascii="Cambria Math" w:hAnsi="Cambria Math"/>
              </w:rPr>
            </m:ctrlPr>
          </m:sSubPr>
          <m:e>
            <m:r>
              <w:rPr>
                <w:rFonts w:ascii="Cambria Math" w:hAnsi="Cambria Math"/>
                <w:sz w:val="22"/>
              </w:rPr>
              <m:t>d</m:t>
            </m:r>
          </m:e>
          <m:sub>
            <m:r>
              <w:rPr>
                <w:rFonts w:ascii="Cambria Math" w:hAnsi="Cambria Math"/>
                <w:sz w:val="22"/>
              </w:rPr>
              <m:t>t</m:t>
            </m:r>
          </m:sub>
        </m:sSub>
      </m:oMath>
      <w:r>
        <w:rPr>
          <w:rFonts w:eastAsia="Times New Roman"/>
        </w:rPr>
        <w:t xml:space="preserve"> is the hop distance. The base reward is</w:t>
      </w:r>
    </w:p>
    <w:p w14:paraId="1C55FFCF" w14:textId="77777777" w:rsidR="008867B5" w:rsidRDefault="00000000">
      <w:pPr>
        <w:pStyle w:val="Equation"/>
        <w:keepLines/>
        <w:tabs>
          <w:tab w:val="center" w:pos="4901"/>
          <w:tab w:val="right" w:pos="9802"/>
        </w:tabs>
        <w:spacing w:before="80" w:after="140"/>
      </w:pPr>
      <w:r>
        <w:tab/>
      </w:r>
      <m:oMath>
        <m:eqArr>
          <m:eqArrPr>
            <m:ctrlPr/>
          </m:eqArrPr>
          <m:e>
            <m:sSubSup>
              <m:sSubSupPr>
                <m:ctrlPr/>
              </m:sSubSupPr>
              <m:e>
                <m:r>
                  <m:t>r</m:t>
                </m:r>
              </m:e>
              <m:sub>
                <m:r>
                  <m:t>t</m:t>
                </m:r>
              </m:sub>
              <m:sup>
                <m:r>
                  <m:rPr>
                    <m:nor/>
                  </m:rPr>
                  <m:t>hop</m:t>
                </m:r>
              </m:sup>
            </m:sSubSup>
            <m:r>
              <m:rPr>
                <m:nor/>
              </m:rPr>
              <m:t xml:space="preserve"> = 0.90 clip</m:t>
            </m:r>
            <m:d>
              <m:dPr>
                <m:ctrlPr/>
              </m:dPr>
              <m:e>
                <m:f>
                  <m:fPr>
                    <m:ctrlPr/>
                  </m:fPr>
                  <m:num>
                    <m:sSub>
                      <m:sSubPr>
                        <m:ctrlPr/>
                      </m:sSubPr>
                      <m:e>
                        <m:r>
                          <m:t>Δd</m:t>
                        </m:r>
                      </m:e>
                      <m:sub>
                        <m:r>
                          <m:t>t</m:t>
                        </m:r>
                      </m:sub>
                    </m:sSub>
                  </m:num>
                  <m:den>
                    <m:r>
                      <m:t>R</m:t>
                    </m:r>
                  </m:den>
                </m:f>
                <m:r>
                  <m:rPr>
                    <m:nor/>
                  </m:rPr>
                  <m:t>, -1, 1</m:t>
                </m:r>
              </m:e>
            </m:d>
            <m:r>
              <m:rPr>
                <m:nor/>
              </m:rPr>
              <m:t xml:space="preserve"> - 0.20</m:t>
            </m:r>
            <m:sSub>
              <m:sSubPr>
                <m:ctrlPr/>
              </m:sSubPr>
              <m:e>
                <m:r>
                  <m:t>q</m:t>
                </m:r>
              </m:e>
              <m:sub>
                <m:r>
                  <m:t>t</m:t>
                </m:r>
              </m:sub>
            </m:sSub>
            <m:r>
              <m:rPr>
                <m:nor/>
              </m:rPr>
              <m:t xml:space="preserve"> - 0.35</m:t>
            </m:r>
            <m:f>
              <m:fPr>
                <m:ctrlPr/>
              </m:fPr>
              <m:num>
                <m:sSub>
                  <m:sSubPr>
                    <m:ctrlPr/>
                  </m:sSubPr>
                  <m:e>
                    <m:r>
                      <m:t>n</m:t>
                    </m:r>
                  </m:e>
                  <m:sub>
                    <m:r>
                      <m:t>t</m:t>
                    </m:r>
                  </m:sub>
                </m:sSub>
                <m:sSub>
                  <m:sSubPr>
                    <m:ctrlPr/>
                  </m:sSubPr>
                  <m:e>
                    <m:r>
                      <m:t>E</m:t>
                    </m:r>
                  </m:e>
                  <m:sub>
                    <m:r>
                      <m:rPr>
                        <m:nor/>
                      </m:rPr>
                      <m:t>tx</m:t>
                    </m:r>
                  </m:sub>
                </m:sSub>
                <m:d>
                  <m:dPr>
                    <m:ctrlPr/>
                  </m:dPr>
                  <m:e>
                    <m:sSub>
                      <m:sSubPr>
                        <m:ctrlPr/>
                      </m:sSubPr>
                      <m:e>
                        <m:r>
                          <m:t>d</m:t>
                        </m:r>
                      </m:e>
                      <m:sub>
                        <m:r>
                          <m:t>t</m:t>
                        </m:r>
                      </m:sub>
                    </m:sSub>
                  </m:e>
                </m:d>
              </m:num>
              <m:den>
                <m:sSub>
                  <m:sSubPr>
                    <m:ctrlPr/>
                  </m:sSubPr>
                  <m:e>
                    <m:r>
                      <m:t>E</m:t>
                    </m:r>
                  </m:e>
                  <m:sub>
                    <m:r>
                      <m:t>0</m:t>
                    </m:r>
                  </m:sub>
                </m:sSub>
              </m:den>
            </m:f>
          </m:e>
          <m:e>
            <m:r>
              <m:rPr>
                <m:nor/>
              </m:rPr>
              <m:t xml:space="preserve">- 0.45 </m:t>
            </m:r>
            <m:sSub>
              <m:sSubPr>
                <m:ctrlPr/>
              </m:sSubPr>
              <m:e>
                <m:r>
                  <m:rPr>
                    <m:nor/>
                  </m:rPr>
                  <m:t>1</m:t>
                </m:r>
              </m:e>
              <m:sub>
                <m:d>
                  <m:dPr>
                    <m:begChr m:val="{"/>
                    <m:endChr m:val="}"/>
                    <m:ctrlPr/>
                  </m:dPr>
                  <m:e>
                    <m:sSub>
                      <m:sSubPr>
                        <m:ctrlPr/>
                      </m:sSubPr>
                      <m:e>
                        <m:r>
                          <m:t>a</m:t>
                        </m:r>
                      </m:e>
                      <m:sub>
                        <m:r>
                          <m:t>t</m:t>
                        </m:r>
                      </m:sub>
                    </m:sSub>
                    <m:r>
                      <m:rPr>
                        <m:nor/>
                      </m:rPr>
                      <m:t xml:space="preserve"> ≠ sink</m:t>
                    </m:r>
                  </m:e>
                </m:d>
              </m:sub>
            </m:sSub>
            <m:sSubSup>
              <m:sSubSupPr>
                <m:ctrlPr/>
              </m:sSubSupPr>
              <m:e>
                <m:r>
                  <m:t>ρ</m:t>
                </m:r>
              </m:e>
              <m:sub>
                <m:sSub>
                  <m:sSubPr>
                    <m:ctrlPr/>
                  </m:sSubPr>
                  <m:e>
                    <m:r>
                      <m:t>a</m:t>
                    </m:r>
                  </m:e>
                  <m:sub>
                    <m:r>
                      <m:t>t</m:t>
                    </m:r>
                  </m:sub>
                </m:sSub>
              </m:sub>
              <m:sup>
                <m:r>
                  <m:rPr>
                    <m:nor/>
                  </m:rPr>
                  <m:t>UCB</m:t>
                </m:r>
              </m:sup>
            </m:sSubSup>
            <m:r>
              <m:rPr>
                <m:nor/>
              </m:rPr>
              <m:t xml:space="preserve"> - 0.04 max</m:t>
            </m:r>
            <m:d>
              <m:dPr>
                <m:ctrlPr/>
              </m:dPr>
              <m:e>
                <m:sSub>
                  <m:sSubPr>
                    <m:ctrlPr/>
                  </m:sSubPr>
                  <m:e>
                    <m:r>
                      <m:t>n</m:t>
                    </m:r>
                  </m:e>
                  <m:sub>
                    <m:r>
                      <m:t>t</m:t>
                    </m:r>
                  </m:sub>
                </m:sSub>
                <m:r>
                  <m:rPr>
                    <m:nor/>
                  </m:rPr>
                  <m:t xml:space="preserve"> - 1, 0</m:t>
                </m:r>
              </m:e>
            </m:d>
            <m:r>
              <m:rPr>
                <m:nor/>
              </m:rPr>
              <m:t>.</m:t>
            </m:r>
          </m:e>
        </m:eqArr>
      </m:oMath>
      <w:r>
        <w:tab/>
      </w:r>
      <w:r>
        <w:rPr>
          <w:rFonts w:ascii="Times New Roman" w:eastAsia="Times New Roman" w:hAnsi="Times New Roman"/>
          <w:sz w:val="21"/>
        </w:rPr>
        <w:t>(8)</w:t>
      </w:r>
    </w:p>
    <w:p w14:paraId="2A4370E2" w14:textId="77777777" w:rsidR="008867B5" w:rsidRDefault="00000000">
      <w:pPr>
        <w:spacing w:after="100" w:line="259" w:lineRule="auto"/>
        <w:jc w:val="both"/>
      </w:pPr>
      <w:r>
        <w:rPr>
          <w:rFonts w:eastAsia="Times New Roman"/>
        </w:rPr>
        <w:t xml:space="preserve">The selected target is </w:t>
      </w:r>
      <m:oMath>
        <m:sSub>
          <m:sSubPr>
            <m:ctrlPr>
              <w:rPr>
                <w:rFonts w:ascii="Cambria Math" w:hAnsi="Cambria Math"/>
              </w:rPr>
            </m:ctrlPr>
          </m:sSubPr>
          <m:e>
            <m:r>
              <w:rPr>
                <w:rFonts w:ascii="Cambria Math" w:hAnsi="Cambria Math"/>
                <w:sz w:val="22"/>
              </w:rPr>
              <m:t>a</m:t>
            </m:r>
          </m:e>
          <m:sub>
            <m:r>
              <w:rPr>
                <w:rFonts w:ascii="Cambria Math" w:hAnsi="Cambria Math"/>
                <w:sz w:val="22"/>
              </w:rPr>
              <m:t>t</m:t>
            </m:r>
          </m:sub>
        </m:sSub>
      </m:oMath>
      <w:r>
        <w:rPr>
          <w:rFonts w:eastAsia="Times New Roman"/>
        </w:rPr>
        <w:t xml:space="preserve">, the transmitting node’s queue pressure is </w:t>
      </w:r>
      <m:oMath>
        <m:sSub>
          <m:sSubPr>
            <m:ctrlPr>
              <w:rPr>
                <w:rFonts w:ascii="Cambria Math" w:hAnsi="Cambria Math"/>
              </w:rPr>
            </m:ctrlPr>
          </m:sSubPr>
          <m:e>
            <m:r>
              <w:rPr>
                <w:rFonts w:ascii="Cambria Math" w:hAnsi="Cambria Math"/>
                <w:sz w:val="22"/>
              </w:rPr>
              <m:t>q</m:t>
            </m:r>
          </m:e>
          <m:sub>
            <m:r>
              <w:rPr>
                <w:rFonts w:ascii="Cambria Math" w:hAnsi="Cambria Math"/>
                <w:sz w:val="22"/>
              </w:rPr>
              <m:t>t</m:t>
            </m:r>
          </m:sub>
        </m:sSub>
      </m:oMath>
      <w:r>
        <w:rPr>
          <w:rFonts w:eastAsia="Times New Roman"/>
        </w:rPr>
        <w:t xml:space="preserve">, and </w:t>
      </w:r>
      <m:oMath>
        <m:sSub>
          <m:sSubPr>
            <m:ctrlPr>
              <w:rPr>
                <w:rFonts w:ascii="Cambria Math" w:hAnsi="Cambria Math"/>
              </w:rPr>
            </m:ctrlPr>
          </m:sSubPr>
          <m:e>
            <m:r>
              <w:rPr>
                <w:rFonts w:ascii="Cambria Math" w:hAnsi="Cambria Math"/>
                <w:sz w:val="22"/>
              </w:rPr>
              <m:t>E</m:t>
            </m:r>
          </m:e>
          <m:sub>
            <m:r>
              <w:rPr>
                <w:rFonts w:ascii="Cambria Math" w:hAnsi="Cambria Math"/>
                <w:sz w:val="22"/>
              </w:rPr>
              <m:t>0</m:t>
            </m:r>
          </m:sub>
        </m:sSub>
      </m:oMath>
      <w:r>
        <w:rPr>
          <w:rFonts w:eastAsia="Times New Roman"/>
        </w:rPr>
        <w:t xml:space="preserve"> = 0.5 J. The term </w:t>
      </w:r>
      <m:oMath>
        <m:sSub>
          <m:sSubPr>
            <m:ctrlPr>
              <w:rPr>
                <w:rFonts w:ascii="Cambria Math" w:hAnsi="Cambria Math"/>
              </w:rPr>
            </m:ctrlPr>
          </m:sSubPr>
          <m:e>
            <m:r>
              <m:rPr>
                <m:nor/>
              </m:rPr>
              <w:rPr>
                <w:rFonts w:ascii="Cambria Math" w:hAnsi="Cambria Math"/>
                <w:sz w:val="22"/>
              </w:rPr>
              <m:t>E</m:t>
            </m:r>
          </m:e>
          <m:sub>
            <m:r>
              <m:rPr>
                <m:nor/>
              </m:rPr>
              <w:rPr>
                <w:rFonts w:ascii="Cambria Math" w:hAnsi="Cambria Math"/>
                <w:sz w:val="22"/>
              </w:rPr>
              <m:t>tx</m:t>
            </m:r>
          </m:sub>
        </m:sSub>
        <m:d>
          <m:dPr>
            <m:ctrlPr>
              <w:rPr>
                <w:rFonts w:ascii="Cambria Math" w:hAnsi="Cambria Math"/>
              </w:rPr>
            </m:ctrlPr>
          </m:dPr>
          <m:e>
            <m:sSub>
              <m:sSubPr>
                <m:ctrlPr>
                  <w:rPr>
                    <w:rFonts w:ascii="Cambria Math" w:hAnsi="Cambria Math"/>
                  </w:rPr>
                </m:ctrlPr>
              </m:sSubPr>
              <m:e>
                <m:r>
                  <w:rPr>
                    <w:rFonts w:ascii="Cambria Math" w:hAnsi="Cambria Math"/>
                    <w:sz w:val="22"/>
                  </w:rPr>
                  <m:t>d</m:t>
                </m:r>
              </m:e>
              <m:sub>
                <m:r>
                  <w:rPr>
                    <w:rFonts w:ascii="Cambria Math" w:hAnsi="Cambria Math"/>
                    <w:sz w:val="22"/>
                  </w:rPr>
                  <m:t>t</m:t>
                </m:r>
              </m:sub>
            </m:sSub>
          </m:e>
        </m:d>
      </m:oMath>
      <w:r>
        <w:rPr>
          <w:rFonts w:eastAsia="Times New Roman"/>
        </w:rPr>
        <w:t xml:space="preserve"> gives the transmit energy for one packet attempt. Equation (8) charges the transmitter’s attempts; the simulator tracks receiver energy separately. The indicator omits the candidate-risk penalty on sink-directed hops. Sink risk is zero, so no sensor-risk lookup is needed for the sink.</w:t>
      </w:r>
    </w:p>
    <w:p w14:paraId="784E48EB" w14:textId="77777777" w:rsidR="008867B5" w:rsidRDefault="00000000">
      <w:pPr>
        <w:spacing w:after="100" w:line="259" w:lineRule="auto"/>
        <w:jc w:val="both"/>
      </w:pPr>
      <w:r>
        <w:rPr>
          <w:rFonts w:eastAsia="Times New Roman"/>
        </w:rPr>
        <w:t>Before an attempted hop, the environment checks the selected slot and its range. An invalid, empty, or out-of-range action ends the episode with reward −3.0. For other actions, Eq. (8) applies even if forwarding fails. Failed forwarding adds −2.0. Successful delivery to the sink adds +2.5, with a deduction of 0.8 for late delivery. After a successful relay hop, a loop, the hop limit, or a dead end adds −2.0 and ends the episode. Continuing hops receive no terminal increment. The active class’s delay/loss costs and QoS debts update at packet termination, whereas forwarding-risk evidence updates after every attempted hop. We fixed all coefficients before observing the confirmatory outcomes.</w:t>
      </w:r>
    </w:p>
    <w:p w14:paraId="6E504FC3" w14:textId="77777777" w:rsidR="008867B5" w:rsidRDefault="00000000">
      <w:pPr>
        <w:spacing w:after="100" w:line="259" w:lineRule="auto"/>
        <w:jc w:val="both"/>
      </w:pPr>
      <w:r>
        <w:lastRenderedPageBreak/>
        <w:t>Algorithm 1 summarizes a forwarding decision and the resulting transition.</w:t>
      </w:r>
    </w:p>
    <w:tbl>
      <w:tblPr>
        <w:tblW w:w="9802" w:type="dxa"/>
        <w:tblBorders>
          <w:top w:val="single" w:sz="6" w:space="0" w:color="000000"/>
          <w:left w:val="nil"/>
          <w:bottom w:val="single" w:sz="6" w:space="0" w:color="000000"/>
          <w:right w:val="nil"/>
          <w:insideH w:val="single" w:sz="6" w:space="0" w:color="000000"/>
          <w:insideV w:val="nil"/>
        </w:tblBorders>
        <w:tblLayout w:type="fixed"/>
        <w:tblCellMar>
          <w:top w:w="60" w:type="dxa"/>
          <w:left w:w="0" w:type="dxa"/>
          <w:bottom w:w="60" w:type="dxa"/>
          <w:right w:w="0" w:type="dxa"/>
        </w:tblCellMar>
        <w:tblLook w:val="04A0" w:firstRow="1" w:lastRow="0" w:firstColumn="1" w:lastColumn="0" w:noHBand="0" w:noVBand="1"/>
      </w:tblPr>
      <w:tblGrid>
        <w:gridCol w:w="9802"/>
      </w:tblGrid>
      <w:tr w:rsidR="008867B5" w14:paraId="1322D771" w14:textId="77777777">
        <w:trPr>
          <w:cantSplit/>
          <w:tblHeader/>
        </w:trPr>
        <w:tc>
          <w:tcPr>
            <w:tcW w:w="9802" w:type="dxa"/>
          </w:tcPr>
          <w:p w14:paraId="1A10D75D" w14:textId="77777777" w:rsidR="008867B5" w:rsidRDefault="00000000">
            <w:pPr>
              <w:keepNext/>
              <w:spacing w:after="0" w:line="252" w:lineRule="auto"/>
            </w:pPr>
            <w:r>
              <w:rPr>
                <w:rFonts w:eastAsia="Times New Roman" w:cs="Times New Roman"/>
                <w:b/>
                <w:color w:val="000000"/>
                <w:sz w:val="23"/>
              </w:rPr>
              <w:t>Algorithm - 1. One LA-CPPO forwarding decision</w:t>
            </w:r>
          </w:p>
        </w:tc>
      </w:tr>
      <w:tr w:rsidR="008867B5" w14:paraId="766C5452" w14:textId="77777777">
        <w:trPr>
          <w:cantSplit/>
        </w:trPr>
        <w:tc>
          <w:tcPr>
            <w:tcW w:w="9802" w:type="dxa"/>
          </w:tcPr>
          <w:p w14:paraId="3AAFB68F" w14:textId="77777777" w:rsidR="008867B5" w:rsidRDefault="00000000">
            <w:pPr>
              <w:keepNext/>
              <w:keepLines/>
              <w:spacing w:before="80" w:after="100" w:line="250" w:lineRule="auto"/>
            </w:pPr>
            <w:r>
              <w:rPr>
                <w:rFonts w:eastAsia="Times New Roman" w:cs="Times New Roman"/>
                <w:b/>
                <w:color w:val="000000"/>
              </w:rPr>
              <w:t xml:space="preserve">Input: </w:t>
            </w:r>
            <w:r>
              <w:rPr>
                <w:rFonts w:eastAsia="Times New Roman" w:cs="Times New Roman"/>
                <w:color w:val="000000"/>
              </w:rPr>
              <w:t>Node i, class c, visited set S, policy θ, persistent network and QoS state.</w:t>
            </w:r>
          </w:p>
          <w:p w14:paraId="01FB61BF" w14:textId="77777777" w:rsidR="008867B5" w:rsidRDefault="00000000">
            <w:pPr>
              <w:keepNext/>
              <w:keepLines/>
              <w:spacing w:before="40" w:after="120" w:line="250" w:lineRule="auto"/>
            </w:pPr>
            <w:r>
              <w:rPr>
                <w:rFonts w:eastAsia="Times New Roman" w:cs="Times New Roman"/>
                <w:b/>
                <w:color w:val="000000"/>
              </w:rPr>
              <w:t xml:space="preserve">Output: </w:t>
            </w:r>
            <w:r>
              <w:rPr>
                <w:rFonts w:eastAsia="Times New Roman" w:cs="Times New Roman"/>
                <w:color w:val="000000"/>
              </w:rPr>
              <w:t>Next-hop transition (o, a, r, C, o′, done).</w:t>
            </w:r>
          </w:p>
          <w:p w14:paraId="23E18F0A"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N ← alive, reachable neighbors of i outside S</w:t>
            </w:r>
          </w:p>
          <w:p w14:paraId="1F394462" w14:textId="77777777" w:rsidR="008867B5" w:rsidRDefault="00000000">
            <w:pPr>
              <w:keepNext/>
              <w:keepLines/>
              <w:numPr>
                <w:ilvl w:val="0"/>
                <w:numId w:val="1"/>
              </w:numPr>
              <w:tabs>
                <w:tab w:val="left" w:pos="600"/>
              </w:tabs>
              <w:spacing w:after="50" w:line="250" w:lineRule="auto"/>
            </w:pPr>
            <w:r>
              <w:rPr>
                <w:rFonts w:eastAsia="Times New Roman" w:cs="Times New Roman"/>
                <w:b/>
                <w:color w:val="000000"/>
              </w:rPr>
              <w:t>if</w:t>
            </w:r>
            <w:r>
              <w:rPr>
                <w:rFonts w:eastAsia="Times New Roman" w:cs="Times New Roman"/>
                <w:color w:val="000000"/>
              </w:rPr>
              <w:t xml:space="preserve"> sink is reachable </w:t>
            </w:r>
            <w:r>
              <w:rPr>
                <w:rFonts w:eastAsia="Times New Roman" w:cs="Times New Roman"/>
                <w:b/>
                <w:color w:val="000000"/>
              </w:rPr>
              <w:t>then</w:t>
            </w:r>
            <w:r>
              <w:rPr>
                <w:rFonts w:eastAsia="Times New Roman" w:cs="Times New Roman"/>
                <w:color w:val="000000"/>
              </w:rPr>
              <w:t xml:space="preserve"> N ← N ∪ {sink}</w:t>
            </w:r>
          </w:p>
          <w:p w14:paraId="73013499" w14:textId="77777777" w:rsidR="008867B5" w:rsidRDefault="00000000">
            <w:pPr>
              <w:keepNext/>
              <w:keepLines/>
              <w:numPr>
                <w:ilvl w:val="0"/>
                <w:numId w:val="1"/>
              </w:numPr>
              <w:tabs>
                <w:tab w:val="left" w:pos="600"/>
              </w:tabs>
              <w:spacing w:after="50" w:line="250" w:lineRule="auto"/>
            </w:pPr>
            <w:r>
              <w:rPr>
                <w:rFonts w:eastAsia="Times New Roman" w:cs="Times New Roman"/>
                <w:b/>
                <w:color w:val="000000"/>
              </w:rPr>
              <w:t>for</w:t>
            </w:r>
            <w:r>
              <w:rPr>
                <w:rFonts w:eastAsia="Times New Roman" w:cs="Times New Roman"/>
                <w:color w:val="000000"/>
              </w:rPr>
              <w:t xml:space="preserve"> </w:t>
            </w:r>
            <w:r>
              <w:rPr>
                <w:rFonts w:eastAsia="Times New Roman" w:cs="Times New Roman"/>
                <w:b/>
                <w:color w:val="000000"/>
              </w:rPr>
              <w:t>each</w:t>
            </w:r>
            <w:r>
              <w:rPr>
                <w:rFonts w:eastAsia="Times New Roman" w:cs="Times New Roman"/>
                <w:color w:val="000000"/>
              </w:rPr>
              <w:t xml:space="preserve"> j ∈ N </w:t>
            </w:r>
            <w:r>
              <w:rPr>
                <w:rFonts w:eastAsia="Times New Roman" w:cs="Times New Roman"/>
                <w:b/>
                <w:color w:val="000000"/>
              </w:rPr>
              <w:t>do</w:t>
            </w:r>
          </w:p>
          <w:p w14:paraId="104BB8FC"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    hⱼ ← CandidateFeatures(i, j, c); sⱼ ← Score(i, j)  [Eq. (6)]</w:t>
            </w:r>
          </w:p>
          <w:p w14:paraId="44046880" w14:textId="77777777" w:rsidR="008867B5" w:rsidRDefault="00000000">
            <w:pPr>
              <w:keepNext/>
              <w:keepLines/>
              <w:numPr>
                <w:ilvl w:val="0"/>
                <w:numId w:val="1"/>
              </w:numPr>
              <w:tabs>
                <w:tab w:val="left" w:pos="600"/>
              </w:tabs>
              <w:spacing w:after="50" w:line="250" w:lineRule="auto"/>
            </w:pPr>
            <w:r>
              <w:rPr>
                <w:rFonts w:eastAsia="Times New Roman" w:cs="Times New Roman"/>
                <w:b/>
                <w:color w:val="000000"/>
              </w:rPr>
              <w:t>end for</w:t>
            </w:r>
          </w:p>
          <w:p w14:paraId="7829BEE1"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H, m ← TopKAndPad({(sⱼ, hⱼ)}, K = 8)</w:t>
            </w:r>
          </w:p>
          <w:p w14:paraId="748CA968"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x ← PacketContext(i, c, remaining slack, six QoS debts)</w:t>
            </w:r>
          </w:p>
          <w:p w14:paraId="534BFBBB"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ℓ ← MaskedActor(x, H, m)  [Eq. (7)]</w:t>
            </w:r>
          </w:p>
          <w:p w14:paraId="25052601"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a ← Sample(softmax(ℓ)) in training; argmax(ℓ) in evaluation</w:t>
            </w:r>
          </w:p>
          <w:p w14:paraId="518FAB82"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o′, r, C, done ← EnvironmentStep(a)  [Eq. (8); terminal rules]</w:t>
            </w:r>
          </w:p>
          <w:p w14:paraId="0FB38E72" w14:textId="77777777" w:rsidR="008867B5" w:rsidRDefault="00000000">
            <w:pPr>
              <w:keepLines/>
              <w:numPr>
                <w:ilvl w:val="0"/>
                <w:numId w:val="1"/>
              </w:numPr>
              <w:tabs>
                <w:tab w:val="left" w:pos="600"/>
              </w:tabs>
              <w:spacing w:after="40" w:line="250" w:lineRule="auto"/>
            </w:pPr>
            <w:r>
              <w:rPr>
                <w:rFonts w:eastAsia="Times New Roman" w:cs="Times New Roman"/>
                <w:b/>
                <w:color w:val="000000"/>
              </w:rPr>
              <w:t>return</w:t>
            </w:r>
            <w:r>
              <w:rPr>
                <w:rFonts w:eastAsia="Times New Roman" w:cs="Times New Roman"/>
                <w:color w:val="000000"/>
              </w:rPr>
              <w:t xml:space="preserve"> ((x, H, m), a, r, C, o′, done)</w:t>
            </w:r>
          </w:p>
        </w:tc>
      </w:tr>
    </w:tbl>
    <w:p w14:paraId="34EBD4BC" w14:textId="77777777" w:rsidR="008867B5" w:rsidRDefault="008867B5">
      <w:pPr>
        <w:spacing w:before="100" w:after="0" w:line="60" w:lineRule="exact"/>
        <w:jc w:val="both"/>
      </w:pPr>
    </w:p>
    <w:p w14:paraId="564D0F61" w14:textId="77777777" w:rsidR="008867B5" w:rsidRDefault="00000000">
      <w:pPr>
        <w:pStyle w:val="Heading2"/>
      </w:pPr>
      <w:r>
        <w:rPr>
          <w:rFonts w:ascii="Times New Roman" w:eastAsia="Times New Roman" w:hAnsi="Times New Roman"/>
          <w:color w:val="000000"/>
        </w:rPr>
        <w:t>4.5 Constrained PPO training and matched comparator</w:t>
      </w:r>
    </w:p>
    <w:p w14:paraId="6553E955" w14:textId="77777777" w:rsidR="008867B5" w:rsidRDefault="00000000">
      <w:pPr>
        <w:spacing w:after="100" w:line="259" w:lineRule="auto"/>
        <w:jc w:val="both"/>
      </w:pPr>
      <w:r>
        <w:rPr>
          <w:rFonts w:eastAsia="Times New Roman"/>
        </w:rPr>
        <w:t>Each seed uses eight training updates, 50 complete packet episodes per update, and three full-batch PPO epochs per update. Reward and all six cost advantages use GAE with γ = 0.99 and λGAE = 0.95. If the reward-advantage standard deviation exceeds 10⁻⁶, its batch mean is subtracted and it is divided by its standard deviation plus 10⁻⁸; otherwise it is retained. Cost advantages are not standardized. Reward and cost return targets are computed before reward-advantage standardization [8,9].</w:t>
      </w:r>
    </w:p>
    <w:p w14:paraId="5F2B4DB3" w14:textId="77777777" w:rsidR="008867B5" w:rsidRDefault="00000000">
      <w:pPr>
        <w:spacing w:after="100" w:line="259" w:lineRule="auto"/>
        <w:jc w:val="both"/>
      </w:pPr>
      <w:r>
        <w:rPr>
          <w:rFonts w:eastAsia="Times New Roman"/>
        </w:rPr>
        <w:t xml:space="preserve">After collecting a batch, </w:t>
      </w:r>
      <m:oMath>
        <m:sSubSup>
          <m:sSubSupPr>
            <m:ctrlPr>
              <w:rPr>
                <w:rFonts w:ascii="Cambria Math" w:hAnsi="Cambria Math"/>
              </w:rPr>
            </m:ctrlPr>
          </m:sSubSupPr>
          <m:e>
            <m:r>
              <w:rPr>
                <w:rFonts w:ascii="Cambria Math" w:hAnsi="Cambria Math"/>
                <w:sz w:val="22"/>
              </w:rPr>
              <m:t>Ĵ</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rPr>
        <w:t xml:space="preserve"> is the average terminal cost among packets of class </w:t>
      </w:r>
      <m:oMath>
        <m:r>
          <w:rPr>
            <w:rFonts w:ascii="Cambria Math" w:hAnsi="Cambria Math"/>
            <w:sz w:val="22"/>
          </w:rPr>
          <m:t>c</m:t>
        </m:r>
      </m:oMath>
      <w:r>
        <w:rPr>
          <w:rFonts w:eastAsia="Times New Roman"/>
        </w:rPr>
        <w:t xml:space="preserve"> in that batch. The multiplier starts at zero and is updated before the three PPO epochs:</w:t>
      </w:r>
    </w:p>
    <w:p w14:paraId="1B50B47B" w14:textId="77777777" w:rsidR="008867B5" w:rsidRDefault="00000000">
      <w:pPr>
        <w:pStyle w:val="Equation"/>
        <w:keepLines/>
        <w:tabs>
          <w:tab w:val="center" w:pos="4901"/>
          <w:tab w:val="right" w:pos="9802"/>
        </w:tabs>
        <w:spacing w:before="80" w:after="140"/>
      </w:pPr>
      <w:r>
        <w:tab/>
      </w:r>
      <m:oMath>
        <m:sSubSup>
          <m:sSubSupPr>
            <m:ctrlPr/>
          </m:sSubSupPr>
          <m:e>
            <m:r>
              <m:t>λ</m:t>
            </m:r>
          </m:e>
          <m:sub>
            <m:r>
              <m:t>c</m:t>
            </m:r>
          </m:sub>
          <m:sup>
            <m:d>
              <m:dPr>
                <m:ctrlPr/>
              </m:dPr>
              <m:e>
                <m:r>
                  <m:t>u</m:t>
                </m:r>
              </m:e>
            </m:d>
          </m:sup>
        </m:sSubSup>
        <m:r>
          <m:rPr>
            <m:nor/>
          </m:rPr>
          <m:t xml:space="preserve"> ← </m:t>
        </m:r>
        <m:sSub>
          <m:sSubPr>
            <m:ctrlPr/>
          </m:sSubPr>
          <m:e>
            <m:r>
              <m:rPr>
                <m:nor/>
              </m:rPr>
              <m:t>Π</m:t>
            </m:r>
          </m:e>
          <m:sub>
            <m:r>
              <m:rPr>
                <m:nor/>
              </m:rPr>
              <m:t>[0, 50]</m:t>
            </m:r>
          </m:sub>
        </m:sSub>
        <m:d>
          <m:dPr>
            <m:begChr m:val="["/>
            <m:endChr m:val="]"/>
            <m:ctrlPr/>
          </m:dPr>
          <m:e>
            <m:sSubSup>
              <m:sSubSupPr>
                <m:ctrlPr/>
              </m:sSubSupPr>
              <m:e>
                <m:r>
                  <m:t>λ</m:t>
                </m:r>
              </m:e>
              <m:sub>
                <m:r>
                  <m:t>c</m:t>
                </m:r>
              </m:sub>
              <m:sup>
                <m:d>
                  <m:dPr>
                    <m:ctrlPr/>
                  </m:dPr>
                  <m:e>
                    <m:r>
                      <m:t>u</m:t>
                    </m:r>
                  </m:e>
                </m:d>
              </m:sup>
            </m:sSubSup>
            <m:r>
              <m:rPr>
                <m:nor/>
              </m:rPr>
              <m:t xml:space="preserve"> + </m:t>
            </m:r>
            <m:sSub>
              <m:sSubPr>
                <m:ctrlPr/>
              </m:sSubPr>
              <m:e>
                <m:r>
                  <m:t>η</m:t>
                </m:r>
              </m:e>
              <m:sub>
                <m:r>
                  <m:t>λ</m:t>
                </m:r>
              </m:sub>
            </m:sSub>
            <m:d>
              <m:dPr>
                <m:ctrlPr/>
              </m:dPr>
              <m:e>
                <m:sSubSup>
                  <m:sSubSupPr>
                    <m:ctrlPr/>
                  </m:sSubSupPr>
                  <m:e>
                    <m:r>
                      <m:t>Ĵ</m:t>
                    </m:r>
                  </m:e>
                  <m:sub>
                    <m:r>
                      <m:t>c</m:t>
                    </m:r>
                  </m:sub>
                  <m:sup>
                    <m:d>
                      <m:dPr>
                        <m:ctrlPr/>
                      </m:dPr>
                      <m:e>
                        <m:r>
                          <m:t>u</m:t>
                        </m:r>
                      </m:e>
                    </m:d>
                  </m:sup>
                </m:sSubSup>
                <m:r>
                  <m:rPr>
                    <m:nor/>
                  </m:rPr>
                  <m:t xml:space="preserve"> - </m:t>
                </m:r>
                <m:sSubSup>
                  <m:sSubSupPr>
                    <m:ctrlPr/>
                  </m:sSubSupPr>
                  <m:e>
                    <m:r>
                      <m:t>b</m:t>
                    </m:r>
                  </m:e>
                  <m:sub>
                    <m:r>
                      <m:t>c</m:t>
                    </m:r>
                  </m:sub>
                  <m:sup>
                    <m:d>
                      <m:dPr>
                        <m:ctrlPr/>
                      </m:dPr>
                      <m:e>
                        <m:r>
                          <m:t>u</m:t>
                        </m:r>
                      </m:e>
                    </m:d>
                  </m:sup>
                </m:sSubSup>
              </m:e>
            </m:d>
          </m:e>
        </m:d>
        <m:r>
          <m:rPr>
            <m:nor/>
          </m:rPr>
          <m:t xml:space="preserve">,   </m:t>
        </m:r>
        <m:sSub>
          <m:sSubPr>
            <m:ctrlPr/>
          </m:sSubPr>
          <m:e>
            <m:r>
              <m:t>η</m:t>
            </m:r>
          </m:e>
          <m:sub>
            <m:r>
              <m:t>λ</m:t>
            </m:r>
          </m:sub>
        </m:sSub>
        <m:r>
          <m:rPr>
            <m:nor/>
          </m:rPr>
          <m:t xml:space="preserve"> = 0.03.</m:t>
        </m:r>
      </m:oMath>
      <w:r>
        <w:tab/>
      </w:r>
      <w:r>
        <w:rPr>
          <w:rFonts w:ascii="Times New Roman" w:eastAsia="Times New Roman" w:hAnsi="Times New Roman"/>
          <w:sz w:val="21"/>
        </w:rPr>
        <w:t>(9)</w:t>
      </w:r>
    </w:p>
    <w:p w14:paraId="02288E1B" w14:textId="77777777" w:rsidR="008867B5" w:rsidRDefault="00000000">
      <w:pPr>
        <w:spacing w:after="100" w:line="259" w:lineRule="auto"/>
        <w:jc w:val="both"/>
      </w:pPr>
      <w:r>
        <w:rPr>
          <w:rFonts w:eastAsia="Times New Roman"/>
        </w:rPr>
        <w:t>Equation (9) is applied only to classes represented in the batch; absent classes retain their multipliers. Projection clips both the lower and upper bounds. The resulting multipliers remain fixed across the three PPO epochs and are used in Eq. (5).</w:t>
      </w:r>
    </w:p>
    <w:p w14:paraId="68E056DB" w14:textId="77777777" w:rsidR="008867B5" w:rsidRDefault="00000000">
      <w:pPr>
        <w:spacing w:after="100" w:line="259" w:lineRule="auto"/>
        <w:jc w:val="both"/>
      </w:pPr>
      <w:r>
        <w:rPr>
          <w:rFonts w:eastAsia="Times New Roman"/>
        </w:rPr>
        <w:t xml:space="preserve">For policy ratio </w:t>
      </w:r>
      <m:oMath>
        <m:sSub>
          <m:sSubPr>
            <m:ctrlPr>
              <w:rPr>
                <w:rFonts w:ascii="Cambria Math" w:hAnsi="Cambria Math"/>
              </w:rPr>
            </m:ctrlPr>
          </m:sSubPr>
          <m:e>
            <m:r>
              <w:rPr>
                <w:rFonts w:ascii="Cambria Math" w:hAnsi="Cambria Math"/>
                <w:sz w:val="22"/>
              </w:rPr>
              <m:t>R</m:t>
            </m:r>
          </m:e>
          <m:sub>
            <m:r>
              <w:rPr>
                <w:rFonts w:ascii="Cambria Math" w:hAnsi="Cambria Math"/>
                <w:sz w:val="22"/>
              </w:rPr>
              <m:t>t</m:t>
            </m:r>
          </m:sub>
        </m:sSub>
        <m:r>
          <m:rPr>
            <m:nor/>
          </m:rPr>
          <w:rPr>
            <w:rFonts w:ascii="Cambria Math" w:hAnsi="Cambria Math"/>
            <w:sz w:val="22"/>
          </w:rPr>
          <m:t xml:space="preserve">(θ) = </m:t>
        </m:r>
        <m:f>
          <m:fPr>
            <m:ctrlPr>
              <w:rPr>
                <w:rFonts w:ascii="Cambria Math" w:hAnsi="Cambria Math"/>
              </w:rPr>
            </m:ctrlPr>
          </m:fPr>
          <m:num>
            <m:sSub>
              <m:sSubPr>
                <m:ctrlPr>
                  <w:rPr>
                    <w:rFonts w:ascii="Cambria Math" w:hAnsi="Cambria Math"/>
                  </w:rPr>
                </m:ctrlPr>
              </m:sSubPr>
              <m:e>
                <m:r>
                  <w:rPr>
                    <w:rFonts w:ascii="Cambria Math" w:hAnsi="Cambria Math"/>
                    <w:sz w:val="22"/>
                  </w:rPr>
                  <m:t>π</m:t>
                </m:r>
              </m:e>
              <m:sub>
                <m:r>
                  <w:rPr>
                    <w:rFonts w:ascii="Cambria Math" w:hAnsi="Cambria Math"/>
                    <w:sz w:val="22"/>
                  </w:rPr>
                  <m:t>θ</m:t>
                </m:r>
              </m:sub>
            </m:sSub>
            <m:d>
              <m:dPr>
                <m:ctrlPr>
                  <w:rPr>
                    <w:rFonts w:ascii="Cambria Math" w:hAnsi="Cambria Math"/>
                  </w:rPr>
                </m:ctrlPr>
              </m:dPr>
              <m:e>
                <m:sSub>
                  <m:sSubPr>
                    <m:ctrlPr>
                      <w:rPr>
                        <w:rFonts w:ascii="Cambria Math" w:hAnsi="Cambria Math"/>
                      </w:rPr>
                    </m:ctrlPr>
                  </m:sSubPr>
                  <m:e>
                    <m:r>
                      <w:rPr>
                        <w:rFonts w:ascii="Cambria Math" w:hAnsi="Cambria Math"/>
                        <w:sz w:val="22"/>
                      </w:rPr>
                      <m:t>a</m:t>
                    </m:r>
                  </m:e>
                  <m:sub>
                    <m:r>
                      <w:rPr>
                        <w:rFonts w:ascii="Cambria Math" w:hAnsi="Cambria Math"/>
                        <w:sz w:val="22"/>
                      </w:rPr>
                      <m:t>t</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o</m:t>
                    </m:r>
                  </m:e>
                  <m:sub>
                    <m:r>
                      <w:rPr>
                        <w:rFonts w:ascii="Cambria Math" w:hAnsi="Cambria Math"/>
                        <w:sz w:val="22"/>
                      </w:rPr>
                      <m:t>t</m:t>
                    </m:r>
                  </m:sub>
                </m:sSub>
              </m:e>
            </m:d>
          </m:num>
          <m:den>
            <m:sSub>
              <m:sSubPr>
                <m:ctrlPr>
                  <w:rPr>
                    <w:rFonts w:ascii="Cambria Math" w:hAnsi="Cambria Math"/>
                  </w:rPr>
                </m:ctrlPr>
              </m:sSubPr>
              <m:e>
                <m:r>
                  <w:rPr>
                    <w:rFonts w:ascii="Cambria Math" w:hAnsi="Cambria Math"/>
                    <w:sz w:val="22"/>
                  </w:rPr>
                  <m:t>π</m:t>
                </m:r>
              </m:e>
              <m:sub>
                <m:sSub>
                  <m:sSubPr>
                    <m:ctrlPr>
                      <w:rPr>
                        <w:rFonts w:ascii="Cambria Math" w:hAnsi="Cambria Math"/>
                      </w:rPr>
                    </m:ctrlPr>
                  </m:sSubPr>
                  <m:e>
                    <m:r>
                      <w:rPr>
                        <w:rFonts w:ascii="Cambria Math" w:hAnsi="Cambria Math"/>
                        <w:sz w:val="22"/>
                      </w:rPr>
                      <m:t>θ</m:t>
                    </m:r>
                  </m:e>
                  <m:sub>
                    <m:r>
                      <m:rPr>
                        <m:nor/>
                      </m:rPr>
                      <w:rPr>
                        <w:rFonts w:ascii="Cambria Math" w:hAnsi="Cambria Math"/>
                        <w:sz w:val="22"/>
                      </w:rPr>
                      <m:t>old</m:t>
                    </m:r>
                  </m:sub>
                </m:sSub>
              </m:sub>
            </m:sSub>
            <m:d>
              <m:dPr>
                <m:ctrlPr>
                  <w:rPr>
                    <w:rFonts w:ascii="Cambria Math" w:hAnsi="Cambria Math"/>
                  </w:rPr>
                </m:ctrlPr>
              </m:dPr>
              <m:e>
                <m:sSub>
                  <m:sSubPr>
                    <m:ctrlPr>
                      <w:rPr>
                        <w:rFonts w:ascii="Cambria Math" w:hAnsi="Cambria Math"/>
                      </w:rPr>
                    </m:ctrlPr>
                  </m:sSubPr>
                  <m:e>
                    <m:r>
                      <w:rPr>
                        <w:rFonts w:ascii="Cambria Math" w:hAnsi="Cambria Math"/>
                        <w:sz w:val="22"/>
                      </w:rPr>
                      <m:t>a</m:t>
                    </m:r>
                  </m:e>
                  <m:sub>
                    <m:r>
                      <w:rPr>
                        <w:rFonts w:ascii="Cambria Math" w:hAnsi="Cambria Math"/>
                        <w:sz w:val="22"/>
                      </w:rPr>
                      <m:t>t</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o</m:t>
                    </m:r>
                  </m:e>
                  <m:sub>
                    <m:r>
                      <w:rPr>
                        <w:rFonts w:ascii="Cambria Math" w:hAnsi="Cambria Math"/>
                        <w:sz w:val="22"/>
                      </w:rPr>
                      <m:t>t</m:t>
                    </m:r>
                  </m:sub>
                </m:sSub>
              </m:e>
            </m:d>
          </m:den>
        </m:f>
      </m:oMath>
      <w:r>
        <w:rPr>
          <w:rFonts w:eastAsia="Times New Roman"/>
        </w:rPr>
        <w:t>, the clipped policy objective is</w:t>
      </w:r>
    </w:p>
    <w:p w14:paraId="0171007B" w14:textId="77777777" w:rsidR="008867B5" w:rsidRDefault="00000000">
      <w:pPr>
        <w:pStyle w:val="Equation"/>
        <w:keepLines/>
        <w:tabs>
          <w:tab w:val="center" w:pos="4901"/>
          <w:tab w:val="right" w:pos="9802"/>
        </w:tabs>
        <w:spacing w:before="80" w:after="140"/>
      </w:pPr>
      <w:r>
        <w:tab/>
      </w:r>
      <m:oMath>
        <m:sSup>
          <m:sSupPr>
            <m:ctrlPr/>
          </m:sSupPr>
          <m:e>
            <m:r>
              <m:t>L</m:t>
            </m:r>
          </m:e>
          <m:sup>
            <m:r>
              <m:rPr>
                <m:nor/>
              </m:rPr>
              <m:t>clip</m:t>
            </m:r>
          </m:sup>
        </m:sSup>
        <m:r>
          <m:rPr>
            <m:nor/>
          </m:rPr>
          <m:t xml:space="preserve">(θ) = </m:t>
        </m:r>
        <m:sSub>
          <m:sSubPr>
            <m:ctrlPr/>
          </m:sSubPr>
          <m:e>
            <m:r>
              <m:rPr>
                <m:nor/>
              </m:rPr>
              <m:t>Ê</m:t>
            </m:r>
          </m:e>
          <m:sub>
            <m:r>
              <m:t>t</m:t>
            </m:r>
          </m:sub>
        </m:sSub>
        <m:d>
          <m:dPr>
            <m:begChr m:val="["/>
            <m:endChr m:val="]"/>
            <m:ctrlPr/>
          </m:dPr>
          <m:e>
            <m:r>
              <m:rPr>
                <m:nor/>
              </m:rPr>
              <m:t>min</m:t>
            </m:r>
            <m:d>
              <m:dPr>
                <m:ctrlPr/>
              </m:dPr>
              <m:e>
                <m:sSub>
                  <m:sSubPr>
                    <m:ctrlPr/>
                  </m:sSubPr>
                  <m:e>
                    <m:r>
                      <m:t>R</m:t>
                    </m:r>
                  </m:e>
                  <m:sub>
                    <m:r>
                      <m:t>t</m:t>
                    </m:r>
                  </m:sub>
                </m:sSub>
                <m:r>
                  <m:rPr>
                    <m:nor/>
                  </m:rPr>
                  <m:t>(θ)</m:t>
                </m:r>
                <m:sSubSup>
                  <m:sSubSupPr>
                    <m:ctrlPr/>
                  </m:sSubSupPr>
                  <m:e>
                    <m:r>
                      <m:t>A</m:t>
                    </m:r>
                  </m:e>
                  <m:sub>
                    <m:r>
                      <m:t>t</m:t>
                    </m:r>
                  </m:sub>
                  <m:sup>
                    <m:r>
                      <m:rPr>
                        <m:nor/>
                      </m:rPr>
                      <m:t>CPPO</m:t>
                    </m:r>
                  </m:sup>
                </m:sSubSup>
                <m:r>
                  <m:rPr>
                    <m:nor/>
                  </m:rPr>
                  <m:t>, clip</m:t>
                </m:r>
                <m:d>
                  <m:dPr>
                    <m:ctrlPr/>
                  </m:dPr>
                  <m:e>
                    <m:sSub>
                      <m:sSubPr>
                        <m:ctrlPr/>
                      </m:sSubPr>
                      <m:e>
                        <m:r>
                          <m:t>R</m:t>
                        </m:r>
                      </m:e>
                      <m:sub>
                        <m:r>
                          <m:t>t</m:t>
                        </m:r>
                      </m:sub>
                    </m:sSub>
                    <m:r>
                      <m:rPr>
                        <m:nor/>
                      </m:rPr>
                      <m:t>(θ), 0.8, 1.2</m:t>
                    </m:r>
                  </m:e>
                </m:d>
                <m:sSubSup>
                  <m:sSubSupPr>
                    <m:ctrlPr/>
                  </m:sSubSupPr>
                  <m:e>
                    <m:r>
                      <m:t>A</m:t>
                    </m:r>
                  </m:e>
                  <m:sub>
                    <m:r>
                      <m:t>t</m:t>
                    </m:r>
                  </m:sub>
                  <m:sup>
                    <m:r>
                      <m:rPr>
                        <m:nor/>
                      </m:rPr>
                      <m:t>CPPO</m:t>
                    </m:r>
                  </m:sup>
                </m:sSubSup>
              </m:e>
            </m:d>
          </m:e>
        </m:d>
        <m:r>
          <m:rPr>
            <m:nor/>
          </m:rPr>
          <m:t>.</m:t>
        </m:r>
      </m:oMath>
      <w:r>
        <w:tab/>
      </w:r>
      <w:r>
        <w:rPr>
          <w:rFonts w:ascii="Times New Roman" w:eastAsia="Times New Roman" w:hAnsi="Times New Roman"/>
          <w:sz w:val="21"/>
        </w:rPr>
        <w:t>(10)</w:t>
      </w:r>
    </w:p>
    <w:p w14:paraId="672C2EE5" w14:textId="77777777" w:rsidR="008867B5" w:rsidRDefault="00000000">
      <w:pPr>
        <w:spacing w:after="100" w:line="259" w:lineRule="auto"/>
        <w:jc w:val="both"/>
      </w:pPr>
      <w:r>
        <w:rPr>
          <w:rFonts w:eastAsia="Times New Roman"/>
        </w:rPr>
        <w:t>The joint loss minimizes the negative of Eq. (10), subtracts 0.01 times mean policy entropy, and adds the reward and cost mean-squared-error terms. Each value error is first multiplied by 0.5 and then weighted by a further 0.5 in the joint loss; the cost error averages over transitions and all six channels. Adam uses learning rate 3 × 10⁻⁴, and the joint gradient norm is clipped at 1.0. Algorithm 2 states the implemented order.</w:t>
      </w:r>
    </w:p>
    <w:tbl>
      <w:tblPr>
        <w:tblW w:w="9802" w:type="dxa"/>
        <w:tblBorders>
          <w:top w:val="single" w:sz="6" w:space="0" w:color="000000"/>
          <w:left w:val="nil"/>
          <w:bottom w:val="single" w:sz="6" w:space="0" w:color="000000"/>
          <w:right w:val="nil"/>
          <w:insideH w:val="single" w:sz="6" w:space="0" w:color="000000"/>
          <w:insideV w:val="nil"/>
        </w:tblBorders>
        <w:tblLayout w:type="fixed"/>
        <w:tblCellMar>
          <w:top w:w="60" w:type="dxa"/>
          <w:left w:w="0" w:type="dxa"/>
          <w:bottom w:w="60" w:type="dxa"/>
          <w:right w:w="0" w:type="dxa"/>
        </w:tblCellMar>
        <w:tblLook w:val="04A0" w:firstRow="1" w:lastRow="0" w:firstColumn="1" w:lastColumn="0" w:noHBand="0" w:noVBand="1"/>
      </w:tblPr>
      <w:tblGrid>
        <w:gridCol w:w="9802"/>
      </w:tblGrid>
      <w:tr w:rsidR="008867B5" w14:paraId="710D00F0" w14:textId="77777777">
        <w:trPr>
          <w:cantSplit/>
          <w:tblHeader/>
        </w:trPr>
        <w:tc>
          <w:tcPr>
            <w:tcW w:w="9802" w:type="dxa"/>
          </w:tcPr>
          <w:p w14:paraId="250FFA96" w14:textId="77777777" w:rsidR="008867B5" w:rsidRDefault="00000000">
            <w:pPr>
              <w:keepNext/>
              <w:spacing w:after="0" w:line="252" w:lineRule="auto"/>
            </w:pPr>
            <w:r>
              <w:rPr>
                <w:rFonts w:eastAsia="Times New Roman" w:cs="Times New Roman"/>
                <w:b/>
                <w:color w:val="000000"/>
                <w:sz w:val="23"/>
              </w:rPr>
              <w:lastRenderedPageBreak/>
              <w:t>Algorithm - 2. Lagrangian PPO training</w:t>
            </w:r>
          </w:p>
        </w:tc>
      </w:tr>
      <w:tr w:rsidR="008867B5" w14:paraId="602A503D" w14:textId="77777777">
        <w:trPr>
          <w:cantSplit/>
        </w:trPr>
        <w:tc>
          <w:tcPr>
            <w:tcW w:w="9802" w:type="dxa"/>
          </w:tcPr>
          <w:p w14:paraId="1AE9FD16" w14:textId="77777777" w:rsidR="008867B5" w:rsidRDefault="00000000">
            <w:pPr>
              <w:keepNext/>
              <w:keepLines/>
              <w:spacing w:before="80" w:after="100" w:line="250" w:lineRule="auto"/>
            </w:pPr>
            <w:r>
              <w:rPr>
                <w:rFonts w:eastAsia="Times New Roman" w:cs="Times New Roman"/>
                <w:b/>
                <w:color w:val="000000"/>
              </w:rPr>
              <w:t xml:space="preserve">Input: </w:t>
            </w:r>
            <w:r>
              <w:rPr>
                <w:rFonts w:eastAsia="Times New Roman" w:cs="Times New Roman"/>
                <w:color w:val="000000"/>
              </w:rPr>
              <w:t>Actor/critic parameters θ, ψ; class budgets b; frozen training configuration.</w:t>
            </w:r>
          </w:p>
          <w:p w14:paraId="1D9EFF40" w14:textId="77777777" w:rsidR="008867B5" w:rsidRDefault="00000000">
            <w:pPr>
              <w:keepNext/>
              <w:keepLines/>
              <w:spacing w:before="40" w:after="120" w:line="250" w:lineRule="auto"/>
            </w:pPr>
            <w:r>
              <w:rPr>
                <w:rFonts w:eastAsia="Times New Roman" w:cs="Times New Roman"/>
                <w:b/>
                <w:color w:val="000000"/>
              </w:rPr>
              <w:t xml:space="preserve">Output: </w:t>
            </w:r>
            <w:r>
              <w:rPr>
                <w:rFonts w:eastAsia="Times New Roman" w:cs="Times New Roman"/>
                <w:color w:val="000000"/>
              </w:rPr>
              <w:t>Trained parameters θ, ψ and final multipliers λ.</w:t>
            </w:r>
          </w:p>
          <w:p w14:paraId="77B2EDF3"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λ ← 0</w:t>
            </w:r>
          </w:p>
          <w:p w14:paraId="265F69DB" w14:textId="77777777" w:rsidR="008867B5" w:rsidRDefault="00000000">
            <w:pPr>
              <w:keepNext/>
              <w:keepLines/>
              <w:numPr>
                <w:ilvl w:val="0"/>
                <w:numId w:val="1"/>
              </w:numPr>
              <w:tabs>
                <w:tab w:val="left" w:pos="600"/>
              </w:tabs>
              <w:spacing w:after="50" w:line="250" w:lineRule="auto"/>
            </w:pPr>
            <w:r>
              <w:rPr>
                <w:rFonts w:eastAsia="Times New Roman" w:cs="Times New Roman"/>
                <w:b/>
                <w:color w:val="000000"/>
              </w:rPr>
              <w:t>for</w:t>
            </w:r>
            <w:r>
              <w:rPr>
                <w:rFonts w:eastAsia="Times New Roman" w:cs="Times New Roman"/>
                <w:color w:val="000000"/>
              </w:rPr>
              <w:t xml:space="preserve"> update = 1, …, 8 </w:t>
            </w:r>
            <w:r>
              <w:rPr>
                <w:rFonts w:eastAsia="Times New Roman" w:cs="Times New Roman"/>
                <w:b/>
                <w:color w:val="000000"/>
              </w:rPr>
              <w:t>do</w:t>
            </w:r>
          </w:p>
          <w:p w14:paraId="356CC3A9"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    B, Ĵ, active ← Collect(50 packet episodes; Algorithm 1)</w:t>
            </w:r>
          </w:p>
          <w:p w14:paraId="289B00B7"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    Aᴿ, Gᴿ, Aᶜ, Gᶜ ← GAE(B; γ = 0.99, λGAE = 0.95)</w:t>
            </w:r>
          </w:p>
          <w:p w14:paraId="5D77298C"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    Āᴿ ← StandardizeIfVarying(Aᴿ); retain the raw cost advantages</w:t>
            </w:r>
          </w:p>
          <w:p w14:paraId="3F81BB1F"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    λ ← ProjectActive(λ, Ĵ − b; ηλ = 0.03, bounds [0, 50])  [Eq. (9)]</w:t>
            </w:r>
          </w:p>
          <w:p w14:paraId="6EF4773D"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    Aᶜᴾᴾᴼ ← CombinedAdvantage(Āᴿ, Aᶜ, λ)  [Eq. (5)]</w:t>
            </w:r>
          </w:p>
          <w:p w14:paraId="338F5D57"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    </w:t>
            </w:r>
            <w:r>
              <w:rPr>
                <w:rFonts w:eastAsia="Times New Roman" w:cs="Times New Roman"/>
                <w:b/>
                <w:color w:val="000000"/>
              </w:rPr>
              <w:t>for</w:t>
            </w:r>
            <w:r>
              <w:rPr>
                <w:rFonts w:eastAsia="Times New Roman" w:cs="Times New Roman"/>
                <w:color w:val="000000"/>
              </w:rPr>
              <w:t xml:space="preserve"> epoch = 1, 2, 3 </w:t>
            </w:r>
            <w:r>
              <w:rPr>
                <w:rFonts w:eastAsia="Times New Roman" w:cs="Times New Roman"/>
                <w:b/>
                <w:color w:val="000000"/>
              </w:rPr>
              <w:t>do</w:t>
            </w:r>
          </w:p>
          <w:p w14:paraId="1DFCA7F4"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        Form the clipped policy, entropy and value losses  [Eq. (10)]</w:t>
            </w:r>
          </w:p>
          <w:p w14:paraId="00C3EADA"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        Backpropagate; clip gradient norm at 1.0; take one Adam step</w:t>
            </w:r>
          </w:p>
          <w:p w14:paraId="77154AF0" w14:textId="77777777" w:rsidR="008867B5" w:rsidRDefault="00000000">
            <w:pPr>
              <w:keepNext/>
              <w:keepLines/>
              <w:numPr>
                <w:ilvl w:val="0"/>
                <w:numId w:val="1"/>
              </w:numPr>
              <w:tabs>
                <w:tab w:val="left" w:pos="600"/>
              </w:tabs>
              <w:spacing w:after="50" w:line="250" w:lineRule="auto"/>
            </w:pPr>
            <w:r>
              <w:rPr>
                <w:rFonts w:eastAsia="Times New Roman" w:cs="Times New Roman"/>
                <w:color w:val="000000"/>
              </w:rPr>
              <w:t>    </w:t>
            </w:r>
            <w:r>
              <w:rPr>
                <w:rFonts w:eastAsia="Times New Roman" w:cs="Times New Roman"/>
                <w:b/>
                <w:color w:val="000000"/>
              </w:rPr>
              <w:t>end for</w:t>
            </w:r>
          </w:p>
          <w:p w14:paraId="06E8DDAA" w14:textId="77777777" w:rsidR="008867B5" w:rsidRDefault="00000000">
            <w:pPr>
              <w:keepNext/>
              <w:keepLines/>
              <w:numPr>
                <w:ilvl w:val="0"/>
                <w:numId w:val="1"/>
              </w:numPr>
              <w:tabs>
                <w:tab w:val="left" w:pos="600"/>
              </w:tabs>
              <w:spacing w:after="50" w:line="250" w:lineRule="auto"/>
            </w:pPr>
            <w:r>
              <w:rPr>
                <w:rFonts w:eastAsia="Times New Roman" w:cs="Times New Roman"/>
                <w:b/>
                <w:color w:val="000000"/>
              </w:rPr>
              <w:t>end for</w:t>
            </w:r>
          </w:p>
          <w:p w14:paraId="2E8C872B" w14:textId="77777777" w:rsidR="008867B5" w:rsidRDefault="00000000">
            <w:pPr>
              <w:keepLines/>
              <w:numPr>
                <w:ilvl w:val="0"/>
                <w:numId w:val="1"/>
              </w:numPr>
              <w:tabs>
                <w:tab w:val="left" w:pos="600"/>
              </w:tabs>
              <w:spacing w:after="40" w:line="250" w:lineRule="auto"/>
            </w:pPr>
            <w:r>
              <w:rPr>
                <w:rFonts w:eastAsia="Times New Roman" w:cs="Times New Roman"/>
                <w:b/>
                <w:color w:val="000000"/>
              </w:rPr>
              <w:t>return</w:t>
            </w:r>
            <w:r>
              <w:rPr>
                <w:rFonts w:eastAsia="Times New Roman" w:cs="Times New Roman"/>
                <w:color w:val="000000"/>
              </w:rPr>
              <w:t xml:space="preserve"> θ, ψ, λ</w:t>
            </w:r>
          </w:p>
        </w:tc>
      </w:tr>
    </w:tbl>
    <w:p w14:paraId="52552946" w14:textId="77777777" w:rsidR="008867B5" w:rsidRDefault="008867B5">
      <w:pPr>
        <w:spacing w:before="100" w:after="0" w:line="60" w:lineRule="exact"/>
        <w:jc w:val="both"/>
      </w:pPr>
    </w:p>
    <w:p w14:paraId="281D3899" w14:textId="77777777" w:rsidR="008867B5" w:rsidRDefault="00000000">
      <w:pPr>
        <w:spacing w:after="100" w:line="259" w:lineRule="auto"/>
        <w:jc w:val="both"/>
      </w:pPr>
      <w:r>
        <w:rPr>
          <w:rFonts w:eastAsia="Times New Roman"/>
        </w:rPr>
        <w:t>Evaluation uses 240 packet episodes in a newly initialized environment with separate seed offsets, the trained model weights, and deterministic actions. Forwarding evidence and QoS debts continue to update online during evaluation; the policy and critic weights remain frozen. The fixed-slot MLP receives the same 93 observation values, candidate mask, reward/cost signals, optimizer settings and training budget. Its two 96-unit tanh layers process the flattened observation, followed by actor and value heads.</w:t>
      </w:r>
    </w:p>
    <w:p w14:paraId="04111B14" w14:textId="77777777" w:rsidR="008867B5" w:rsidRDefault="00000000">
      <w:pPr>
        <w:spacing w:after="100" w:line="259" w:lineRule="auto"/>
        <w:jc w:val="both"/>
      </w:pPr>
      <w:r>
        <w:rPr>
          <w:rFonts w:eastAsia="Times New Roman"/>
        </w:rPr>
        <w:t>The models are state-matched but not parameter-matched: local attention has 63,368 trainable parameters and the MLP has 19,791. The confirmatory comparison therefore concerns these two frozen implementations, rather than an isolated representation effect at equal capacity. Actor-only embedded latency, memory use and network-size transfer remain untested; parameter count is not a substitute for those measurements. A roughly 203-unit MLP would be closer in parameter count, but that sensitivity experiment was outside the confirmatory protocol.</w:t>
      </w:r>
    </w:p>
    <w:p w14:paraId="1F488B69" w14:textId="77777777" w:rsidR="008867B5" w:rsidRDefault="00000000">
      <w:pPr>
        <w:pStyle w:val="Heading1"/>
        <w:spacing w:before="180" w:after="60"/>
      </w:pPr>
      <w:r>
        <w:rPr>
          <w:rFonts w:ascii="Times New Roman" w:eastAsia="Times New Roman" w:hAnsi="Times New Roman"/>
          <w:color w:val="000000"/>
        </w:rPr>
        <w:t>5. Confirmatory experimental methodology</w:t>
      </w:r>
    </w:p>
    <w:p w14:paraId="3D18F703" w14:textId="77777777" w:rsidR="008867B5" w:rsidRDefault="00000000">
      <w:pPr>
        <w:pStyle w:val="Heading2"/>
        <w:spacing w:before="120" w:after="60"/>
      </w:pPr>
      <w:r>
        <w:rPr>
          <w:rFonts w:ascii="Times New Roman" w:hAnsi="Times New Roman"/>
          <w:color w:val="000000"/>
        </w:rPr>
        <w:t>5.1 Prespecified hypothesis, estimands, and seeds</w:t>
      </w:r>
    </w:p>
    <w:p w14:paraId="01C90CF4" w14:textId="77777777" w:rsidR="008867B5" w:rsidRDefault="00000000">
      <w:pPr>
        <w:spacing w:after="80" w:line="269" w:lineRule="auto"/>
        <w:ind w:firstLine="346"/>
        <w:jc w:val="both"/>
      </w:pPr>
      <w:r>
        <w:t>The confirmatory hypothesis required local attention to outperform the identical-state MLP on both Class-0 endpoints. Differences are reported as attention minus MLP, so negative values are favorable. Thirty fresh seeds were reserved before AF-v3 outcomes were generated and were not used for structural qualification, smoke tests, or development. Training-environment, Torch, NumPy, and evaluation streams use fixed seed offsets so that the evaluation stream does not simply continue the training stream. All 30 paired seeds were retained.</w:t>
      </w:r>
    </w:p>
    <w:p w14:paraId="19029E78" w14:textId="77777777" w:rsidR="008867B5" w:rsidRDefault="00000000">
      <w:pPr>
        <w:spacing w:after="80" w:line="269" w:lineRule="auto"/>
        <w:ind w:firstLine="346"/>
        <w:jc w:val="both"/>
      </w:pPr>
      <w:r>
        <w:t>We estimate the across-seed paired differences in Class-0 mean delivered delay and Class-0 total delay-violation rate. A total violation includes either non-delivery or arrival after the 90 ms deadline. Using both endpoints makes the selection effect in delivered-packet latency visible: the mean can look lower when difficult packets are lost and never enter the delay calculation.</w:t>
      </w:r>
    </w:p>
    <w:p w14:paraId="1486336C" w14:textId="77777777" w:rsidR="008867B5" w:rsidRDefault="00000000">
      <w:pPr>
        <w:pStyle w:val="Heading2"/>
        <w:spacing w:before="120" w:after="60"/>
      </w:pPr>
      <w:r>
        <w:rPr>
          <w:rFonts w:ascii="Times New Roman" w:hAnsi="Times New Roman"/>
          <w:color w:val="000000"/>
        </w:rPr>
        <w:t>5.2 Statistical analysis and decision rule</w:t>
      </w:r>
    </w:p>
    <w:p w14:paraId="7B6F67D5" w14:textId="77777777" w:rsidR="008867B5" w:rsidRDefault="00000000">
      <w:pPr>
        <w:spacing w:after="80" w:line="269" w:lineRule="auto"/>
        <w:ind w:firstLine="346"/>
        <w:jc w:val="both"/>
      </w:pPr>
      <w:r>
        <w:t xml:space="preserve">For each co-primary endpoint, the prespecified analysis reports the paired mean difference, a two-sided 95% confidence interval, a paired t-test, Cohen dz, and a Wilcoxon signed-rank sensitivity analysis. We apply Holm adjustment to the two paired t-test p-values. Delivery and energy are assessed with two one-sided 95% non-inferiority checks: the lower confidence bound for the overall delivery-rate difference must exceed -0.01, and the upper confidence bound for the geometric energy-per-delivered-packet ratio must not exceed 1.05. A strict PASS </w:t>
      </w:r>
      <w:r>
        <w:lastRenderedPageBreak/>
        <w:t>requires favorable differences on both co-primary endpoints, both Holm-adjusted p-values below 0.05, and both guardrails to pass. It also requires all matched seeds, apart from a documented whole-seed integrity failure, and no protocol deviation.</w:t>
      </w:r>
    </w:p>
    <w:p w14:paraId="7BEF6005" w14:textId="77777777" w:rsidR="008867B5" w:rsidRDefault="00000000">
      <w:pPr>
        <w:pStyle w:val="Heading2"/>
        <w:spacing w:before="120" w:after="60"/>
      </w:pPr>
      <w:r>
        <w:rPr>
          <w:rFonts w:ascii="Times New Roman" w:hAnsi="Times New Roman"/>
          <w:color w:val="000000"/>
        </w:rPr>
        <w:t>5.3 Simulation data and evaluation samples</w:t>
      </w:r>
    </w:p>
    <w:p w14:paraId="29439395" w14:textId="77777777" w:rsidR="008867B5" w:rsidRDefault="00000000">
      <w:pPr>
        <w:spacing w:after="80" w:line="269" w:lineRule="auto"/>
        <w:ind w:firstLine="346"/>
        <w:jc w:val="both"/>
      </w:pPr>
      <w:r>
        <w:t>We generated the training and evaluation data as simulator trajectories. Each learning arm used 400 training packet episodes and 240 evaluation episodes per seed, giving 12,000 and 7,200 episodes across the 30 seeds. During evaluation, actions are deterministic but the environment remains stochastic. The realized Class-0, Class-1, and Class-2 counts are 2,514, 3,283, and 1,403 for attention and 2,527, 3,230, and 1,443 for the MLP. Random class draws and policy-dependent consumption of the random stream account for these differences. Training and evaluation start from separately initialized environments. There is no offline train–test split or supervised intrusion-detection dataset.</w:t>
      </w:r>
    </w:p>
    <w:p w14:paraId="20818709" w14:textId="77777777" w:rsidR="008867B5" w:rsidRDefault="00000000">
      <w:pPr>
        <w:pStyle w:val="Heading2"/>
      </w:pPr>
      <w:r>
        <w:rPr>
          <w:rFonts w:ascii="Times New Roman" w:hAnsi="Times New Roman"/>
          <w:color w:val="000000"/>
        </w:rPr>
        <w:t>5.4 Random-stream pairing</w:t>
      </w:r>
    </w:p>
    <w:p w14:paraId="242617D2" w14:textId="77777777" w:rsidR="008867B5" w:rsidRDefault="00000000">
      <w:r>
        <w:t>Both policies use the same seed to initialize a network. Subsequent external events are not replayed from a policy-independent schedule, however. Source and traffic-class draws use the same environment random stream as some transition events, so different actions and episode lengths can alter later draws. The pairing therefore aligns the initial conditions without ensuring identical traffic, radio, or attack events thereafter. Separate random streams or replay of an exogenous event schedule would improve a future replication.</w:t>
      </w:r>
    </w:p>
    <w:p w14:paraId="646CABED" w14:textId="77777777" w:rsidR="008867B5" w:rsidRDefault="00000000">
      <w:pPr>
        <w:pStyle w:val="Heading2"/>
        <w:spacing w:before="120" w:after="60"/>
      </w:pPr>
      <w:r>
        <w:rPr>
          <w:rFonts w:ascii="Times New Roman" w:hAnsi="Times New Roman"/>
          <w:color w:val="000000"/>
        </w:rPr>
        <w:t>5.5 Reproducibility and protocol integrity</w:t>
      </w:r>
    </w:p>
    <w:p w14:paraId="380C9EBB" w14:textId="77777777" w:rsidR="008867B5" w:rsidRDefault="00000000">
      <w:pPr>
        <w:spacing w:after="80" w:line="269" w:lineRule="auto"/>
        <w:ind w:firstLine="346"/>
        <w:jc w:val="both"/>
      </w:pPr>
      <w:r>
        <w:t>We fixed the architecture and analysis plan before evaluating efficacy. The AF-v3 E1 record is GitHub Actions run 34178527532 at source commit 0f60eb5; full identifiers and artifact digests are listed in the provenance manifest. An earlier execution completed the scientific computation but failed while writing provenance paths. The technical rerun preserved the architecture, seeds, coefficients, budgets, endpoints, and statistical rules.</w:t>
      </w:r>
    </w:p>
    <w:p w14:paraId="57323A88" w14:textId="77777777" w:rsidR="008867B5" w:rsidRDefault="00000000">
      <w:pPr>
        <w:pStyle w:val="Heading2"/>
      </w:pPr>
      <w:r>
        <w:rPr>
          <w:color w:val="000000"/>
        </w:rPr>
        <w:t>5.6 Descriptive training diagnostics</w:t>
      </w:r>
    </w:p>
    <w:p w14:paraId="3CFC6200" w14:textId="77777777" w:rsidR="008867B5" w:rsidRDefault="00000000">
      <w:r>
        <w:t>Figure 2 follows training across the 30 seeds. Between archived update 0 and update 7, mean episode reward rose from 0.056 to 1.729 for attention and from −0.090 to 1.866 for the MLP. Mean training delivery rose from 0.534 to 0.749 and from 0.501 to 0.759, respectively. These curves show progress within the allocated budget, but they do not establish convergence or optimality. The shading represents pointwise 95% t intervals for the across-seed mean.</w:t>
      </w:r>
    </w:p>
    <w:p w14:paraId="394877BC" w14:textId="77777777" w:rsidR="008867B5" w:rsidRDefault="00000000">
      <w:pPr>
        <w:keepNext/>
        <w:spacing w:after="40" w:line="240" w:lineRule="auto"/>
        <w:jc w:val="center"/>
      </w:pPr>
      <w:r>
        <w:rPr>
          <w:noProof/>
        </w:rPr>
        <w:drawing>
          <wp:inline distT="0" distB="0" distL="0" distR="0" wp14:anchorId="18859136" wp14:editId="57207C4A">
            <wp:extent cx="4572000" cy="28529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raining_reward_profile_journal.png"/>
                    <pic:cNvPicPr/>
                  </pic:nvPicPr>
                  <pic:blipFill>
                    <a:blip r:embed="rId9"/>
                    <a:stretch>
                      <a:fillRect/>
                    </a:stretch>
                  </pic:blipFill>
                  <pic:spPr>
                    <a:xfrm>
                      <a:off x="0" y="0"/>
                      <a:ext cx="4572000" cy="2852967"/>
                    </a:xfrm>
                    <a:prstGeom prst="rect">
                      <a:avLst/>
                    </a:prstGeom>
                  </pic:spPr>
                </pic:pic>
              </a:graphicData>
            </a:graphic>
          </wp:inline>
        </w:drawing>
      </w:r>
    </w:p>
    <w:p w14:paraId="2C264A0E" w14:textId="77777777" w:rsidR="008867B5" w:rsidRDefault="00000000">
      <w:pPr>
        <w:spacing w:after="80" w:line="240" w:lineRule="auto"/>
        <w:jc w:val="center"/>
      </w:pPr>
      <w:r>
        <w:rPr>
          <w:rFonts w:eastAsia="Times New Roman"/>
          <w:i/>
          <w:color w:val="000000"/>
          <w:sz w:val="18"/>
        </w:rPr>
        <w:t>Fig. 2. Training reward over updates across confirmatory seeds.</w:t>
      </w:r>
    </w:p>
    <w:p w14:paraId="53F3BDFF" w14:textId="77777777" w:rsidR="008867B5" w:rsidRDefault="00000000">
      <w:pPr>
        <w:pStyle w:val="Heading1"/>
        <w:spacing w:before="180" w:after="60"/>
      </w:pPr>
      <w:r>
        <w:rPr>
          <w:rFonts w:ascii="Times New Roman" w:eastAsia="Times New Roman" w:hAnsi="Times New Roman"/>
          <w:color w:val="000000"/>
        </w:rPr>
        <w:lastRenderedPageBreak/>
        <w:t>6. Results</w:t>
      </w:r>
    </w:p>
    <w:p w14:paraId="48CCC158" w14:textId="77777777" w:rsidR="008867B5" w:rsidRDefault="00000000">
      <w:pPr>
        <w:pStyle w:val="Heading2"/>
        <w:spacing w:before="120" w:after="60"/>
      </w:pPr>
      <w:r>
        <w:rPr>
          <w:rFonts w:ascii="Times New Roman" w:eastAsia="Times New Roman" w:hAnsi="Times New Roman"/>
          <w:color w:val="000000"/>
        </w:rPr>
        <w:t>6.1 Co-primary confirmatory endpoints</w:t>
      </w:r>
    </w:p>
    <w:p w14:paraId="72222169" w14:textId="77777777" w:rsidR="008867B5" w:rsidRDefault="00000000">
      <w:pPr>
        <w:keepNext/>
        <w:spacing w:before="40" w:after="100"/>
        <w:jc w:val="center"/>
      </w:pPr>
      <w:r>
        <w:rPr>
          <w:rFonts w:eastAsia="Times New Roman"/>
          <w:i/>
          <w:sz w:val="18"/>
        </w:rPr>
        <w:t>Table 4. AF-v3 E1 co-primary confirmatory results (n=30 matched seeds).</w:t>
      </w:r>
    </w:p>
    <w:tbl>
      <w:tblPr>
        <w:tblStyle w:val="TableGrid"/>
        <w:tblW w:w="9802" w:type="dxa"/>
        <w:tblInd w:w="110" w:type="dxa"/>
        <w:tblLayout w:type="fixed"/>
        <w:tblCellMar>
          <w:top w:w="75" w:type="dxa"/>
          <w:left w:w="110" w:type="dxa"/>
          <w:bottom w:w="75" w:type="dxa"/>
          <w:right w:w="110" w:type="dxa"/>
        </w:tblCellMar>
        <w:tblLook w:val="04A0" w:firstRow="1" w:lastRow="0" w:firstColumn="1" w:lastColumn="0" w:noHBand="0" w:noVBand="1"/>
      </w:tblPr>
      <w:tblGrid>
        <w:gridCol w:w="2450"/>
        <w:gridCol w:w="1153"/>
        <w:gridCol w:w="1730"/>
        <w:gridCol w:w="937"/>
        <w:gridCol w:w="1153"/>
        <w:gridCol w:w="937"/>
        <w:gridCol w:w="1442"/>
      </w:tblGrid>
      <w:tr w:rsidR="008867B5" w14:paraId="798B2F98" w14:textId="77777777">
        <w:trPr>
          <w:tblHeader/>
        </w:trPr>
        <w:tc>
          <w:tcPr>
            <w:tcW w:w="2450" w:type="dxa"/>
            <w:shd w:val="clear" w:color="auto" w:fill="D9E2F3"/>
            <w:tcMar>
              <w:top w:w="70" w:type="dxa"/>
              <w:left w:w="75" w:type="dxa"/>
              <w:bottom w:w="70" w:type="dxa"/>
              <w:right w:w="75" w:type="dxa"/>
            </w:tcMar>
          </w:tcPr>
          <w:p w14:paraId="2268AE2F" w14:textId="77777777" w:rsidR="008867B5" w:rsidRDefault="00000000">
            <w:pPr>
              <w:jc w:val="center"/>
            </w:pPr>
            <w:r>
              <w:rPr>
                <w:rFonts w:eastAsia="Times New Roman"/>
                <w:b/>
                <w:sz w:val="15"/>
              </w:rPr>
              <w:t>Endpoint</w:t>
            </w:r>
          </w:p>
        </w:tc>
        <w:tc>
          <w:tcPr>
            <w:tcW w:w="1153" w:type="dxa"/>
            <w:shd w:val="clear" w:color="auto" w:fill="D9E2F3"/>
            <w:tcMar>
              <w:top w:w="70" w:type="dxa"/>
              <w:left w:w="75" w:type="dxa"/>
              <w:bottom w:w="70" w:type="dxa"/>
              <w:right w:w="75" w:type="dxa"/>
            </w:tcMar>
          </w:tcPr>
          <w:p w14:paraId="24EF1047" w14:textId="77777777" w:rsidR="008867B5" w:rsidRDefault="00000000">
            <w:pPr>
              <w:jc w:val="center"/>
            </w:pPr>
            <w:r>
              <w:rPr>
                <w:rFonts w:eastAsia="Times New Roman"/>
                <w:b/>
                <w:sz w:val="15"/>
              </w:rPr>
              <w:t>Mean diff.</w:t>
            </w:r>
          </w:p>
        </w:tc>
        <w:tc>
          <w:tcPr>
            <w:tcW w:w="1730" w:type="dxa"/>
            <w:shd w:val="clear" w:color="auto" w:fill="D9E2F3"/>
            <w:tcMar>
              <w:top w:w="70" w:type="dxa"/>
              <w:left w:w="75" w:type="dxa"/>
              <w:bottom w:w="70" w:type="dxa"/>
              <w:right w:w="75" w:type="dxa"/>
            </w:tcMar>
          </w:tcPr>
          <w:p w14:paraId="0250270C" w14:textId="77777777" w:rsidR="008867B5" w:rsidRDefault="00000000">
            <w:pPr>
              <w:jc w:val="center"/>
            </w:pPr>
            <w:r>
              <w:rPr>
                <w:rFonts w:eastAsia="Times New Roman"/>
                <w:b/>
                <w:sz w:val="15"/>
              </w:rPr>
              <w:t>95% CI</w:t>
            </w:r>
          </w:p>
        </w:tc>
        <w:tc>
          <w:tcPr>
            <w:tcW w:w="937" w:type="dxa"/>
            <w:shd w:val="clear" w:color="auto" w:fill="D9E2F3"/>
            <w:tcMar>
              <w:top w:w="70" w:type="dxa"/>
              <w:left w:w="75" w:type="dxa"/>
              <w:bottom w:w="70" w:type="dxa"/>
              <w:right w:w="75" w:type="dxa"/>
            </w:tcMar>
          </w:tcPr>
          <w:p w14:paraId="57F6B420" w14:textId="77777777" w:rsidR="008867B5" w:rsidRDefault="00000000">
            <w:pPr>
              <w:jc w:val="center"/>
            </w:pPr>
            <w:r>
              <w:rPr>
                <w:rFonts w:eastAsia="Times New Roman"/>
                <w:b/>
                <w:sz w:val="15"/>
              </w:rPr>
              <w:t>Holm p</w:t>
            </w:r>
          </w:p>
        </w:tc>
        <w:tc>
          <w:tcPr>
            <w:tcW w:w="1153" w:type="dxa"/>
            <w:shd w:val="clear" w:color="auto" w:fill="D9E2F3"/>
            <w:tcMar>
              <w:top w:w="70" w:type="dxa"/>
              <w:left w:w="75" w:type="dxa"/>
              <w:bottom w:w="70" w:type="dxa"/>
              <w:right w:w="75" w:type="dxa"/>
            </w:tcMar>
          </w:tcPr>
          <w:p w14:paraId="2E691562" w14:textId="77777777" w:rsidR="008867B5" w:rsidRDefault="00000000">
            <w:pPr>
              <w:jc w:val="center"/>
            </w:pPr>
            <w:r>
              <w:rPr>
                <w:rFonts w:eastAsia="Times New Roman"/>
                <w:b/>
                <w:sz w:val="15"/>
              </w:rPr>
              <w:t>Wilcoxon p</w:t>
            </w:r>
          </w:p>
        </w:tc>
        <w:tc>
          <w:tcPr>
            <w:tcW w:w="937" w:type="dxa"/>
            <w:shd w:val="clear" w:color="auto" w:fill="D9E2F3"/>
            <w:tcMar>
              <w:top w:w="70" w:type="dxa"/>
              <w:left w:w="75" w:type="dxa"/>
              <w:bottom w:w="70" w:type="dxa"/>
              <w:right w:w="75" w:type="dxa"/>
            </w:tcMar>
          </w:tcPr>
          <w:p w14:paraId="10660E59" w14:textId="77777777" w:rsidR="008867B5" w:rsidRDefault="00000000">
            <w:pPr>
              <w:jc w:val="center"/>
            </w:pPr>
            <w:r>
              <w:rPr>
                <w:rFonts w:eastAsia="Times New Roman"/>
                <w:b/>
                <w:sz w:val="15"/>
              </w:rPr>
              <w:t>Cohen d</w:t>
            </w:r>
            <w:r>
              <w:rPr>
                <w:rFonts w:eastAsia="Times New Roman"/>
                <w:b/>
                <w:sz w:val="15"/>
                <w:vertAlign w:val="subscript"/>
              </w:rPr>
              <w:t>z</w:t>
            </w:r>
          </w:p>
        </w:tc>
        <w:tc>
          <w:tcPr>
            <w:tcW w:w="1442" w:type="dxa"/>
            <w:shd w:val="clear" w:color="auto" w:fill="D9E2F3"/>
            <w:tcMar>
              <w:top w:w="70" w:type="dxa"/>
              <w:left w:w="75" w:type="dxa"/>
              <w:bottom w:w="70" w:type="dxa"/>
              <w:right w:w="75" w:type="dxa"/>
            </w:tcMar>
          </w:tcPr>
          <w:p w14:paraId="36411339" w14:textId="77777777" w:rsidR="008867B5" w:rsidRDefault="00000000">
            <w:pPr>
              <w:jc w:val="center"/>
            </w:pPr>
            <w:r>
              <w:rPr>
                <w:rFonts w:eastAsia="Times New Roman"/>
                <w:b/>
                <w:sz w:val="15"/>
              </w:rPr>
              <w:t>Direction</w:t>
            </w:r>
          </w:p>
        </w:tc>
      </w:tr>
      <w:tr w:rsidR="008867B5" w14:paraId="622F97F1" w14:textId="77777777">
        <w:tc>
          <w:tcPr>
            <w:tcW w:w="2450" w:type="dxa"/>
            <w:tcMar>
              <w:top w:w="70" w:type="dxa"/>
              <w:left w:w="75" w:type="dxa"/>
              <w:bottom w:w="70" w:type="dxa"/>
              <w:right w:w="75" w:type="dxa"/>
            </w:tcMar>
          </w:tcPr>
          <w:p w14:paraId="6BADDBC4" w14:textId="77777777" w:rsidR="008867B5" w:rsidRDefault="00000000">
            <w:r>
              <w:rPr>
                <w:rFonts w:eastAsia="Times New Roman"/>
                <w:sz w:val="15"/>
              </w:rPr>
              <w:t>Class-0 mean delivered delay</w:t>
            </w:r>
          </w:p>
        </w:tc>
        <w:tc>
          <w:tcPr>
            <w:tcW w:w="1153" w:type="dxa"/>
            <w:tcMar>
              <w:top w:w="70" w:type="dxa"/>
              <w:left w:w="75" w:type="dxa"/>
              <w:bottom w:w="70" w:type="dxa"/>
              <w:right w:w="75" w:type="dxa"/>
            </w:tcMar>
          </w:tcPr>
          <w:p w14:paraId="07D4F0A8" w14:textId="77777777" w:rsidR="008867B5" w:rsidRDefault="00000000">
            <w:pPr>
              <w:jc w:val="center"/>
            </w:pPr>
            <w:r>
              <w:rPr>
                <w:rFonts w:eastAsia="Times New Roman"/>
                <w:sz w:val="15"/>
              </w:rPr>
              <w:t>+1.0158 ms</w:t>
            </w:r>
          </w:p>
        </w:tc>
        <w:tc>
          <w:tcPr>
            <w:tcW w:w="1730" w:type="dxa"/>
            <w:tcMar>
              <w:top w:w="70" w:type="dxa"/>
              <w:left w:w="75" w:type="dxa"/>
              <w:bottom w:w="70" w:type="dxa"/>
              <w:right w:w="75" w:type="dxa"/>
            </w:tcMar>
          </w:tcPr>
          <w:p w14:paraId="0F2119A7" w14:textId="77777777" w:rsidR="008867B5" w:rsidRDefault="00000000">
            <w:pPr>
              <w:jc w:val="center"/>
            </w:pPr>
            <w:r>
              <w:rPr>
                <w:rFonts w:eastAsia="Times New Roman"/>
                <w:sz w:val="15"/>
              </w:rPr>
              <w:t>[-0.5039, +2.5354]</w:t>
            </w:r>
          </w:p>
        </w:tc>
        <w:tc>
          <w:tcPr>
            <w:tcW w:w="937" w:type="dxa"/>
            <w:tcMar>
              <w:top w:w="70" w:type="dxa"/>
              <w:left w:w="75" w:type="dxa"/>
              <w:bottom w:w="70" w:type="dxa"/>
              <w:right w:w="75" w:type="dxa"/>
            </w:tcMar>
          </w:tcPr>
          <w:p w14:paraId="03E1CD20" w14:textId="77777777" w:rsidR="008867B5" w:rsidRDefault="00000000">
            <w:pPr>
              <w:jc w:val="center"/>
            </w:pPr>
            <w:r>
              <w:rPr>
                <w:rFonts w:eastAsia="Times New Roman"/>
                <w:sz w:val="15"/>
              </w:rPr>
              <w:t>0.1821</w:t>
            </w:r>
          </w:p>
        </w:tc>
        <w:tc>
          <w:tcPr>
            <w:tcW w:w="1153" w:type="dxa"/>
            <w:tcMar>
              <w:top w:w="70" w:type="dxa"/>
              <w:left w:w="75" w:type="dxa"/>
              <w:bottom w:w="70" w:type="dxa"/>
              <w:right w:w="75" w:type="dxa"/>
            </w:tcMar>
          </w:tcPr>
          <w:p w14:paraId="0886F39C" w14:textId="77777777" w:rsidR="008867B5" w:rsidRDefault="00000000">
            <w:pPr>
              <w:jc w:val="center"/>
            </w:pPr>
            <w:r>
              <w:rPr>
                <w:rFonts w:eastAsia="Times New Roman"/>
                <w:sz w:val="15"/>
              </w:rPr>
              <w:t>0.1981</w:t>
            </w:r>
          </w:p>
        </w:tc>
        <w:tc>
          <w:tcPr>
            <w:tcW w:w="937" w:type="dxa"/>
            <w:tcMar>
              <w:top w:w="70" w:type="dxa"/>
              <w:left w:w="75" w:type="dxa"/>
              <w:bottom w:w="70" w:type="dxa"/>
              <w:right w:w="75" w:type="dxa"/>
            </w:tcMar>
          </w:tcPr>
          <w:p w14:paraId="3C3C56E1" w14:textId="77777777" w:rsidR="008867B5" w:rsidRDefault="00000000">
            <w:pPr>
              <w:jc w:val="center"/>
            </w:pPr>
            <w:r>
              <w:rPr>
                <w:rFonts w:eastAsia="Times New Roman"/>
                <w:sz w:val="15"/>
              </w:rPr>
              <w:t>+0.2496</w:t>
            </w:r>
          </w:p>
        </w:tc>
        <w:tc>
          <w:tcPr>
            <w:tcW w:w="1442" w:type="dxa"/>
            <w:tcMar>
              <w:top w:w="70" w:type="dxa"/>
              <w:left w:w="75" w:type="dxa"/>
              <w:bottom w:w="70" w:type="dxa"/>
              <w:right w:w="75" w:type="dxa"/>
            </w:tcMar>
          </w:tcPr>
          <w:p w14:paraId="71DDB9D8" w14:textId="77777777" w:rsidR="008867B5" w:rsidRDefault="00000000">
            <w:pPr>
              <w:jc w:val="center"/>
            </w:pPr>
            <w:r>
              <w:rPr>
                <w:rFonts w:eastAsia="Times New Roman"/>
                <w:sz w:val="15"/>
              </w:rPr>
              <w:t>Not favorable</w:t>
            </w:r>
          </w:p>
        </w:tc>
      </w:tr>
      <w:tr w:rsidR="008867B5" w14:paraId="6A0AEE12" w14:textId="77777777">
        <w:tc>
          <w:tcPr>
            <w:tcW w:w="2450" w:type="dxa"/>
            <w:tcMar>
              <w:top w:w="70" w:type="dxa"/>
              <w:left w:w="75" w:type="dxa"/>
              <w:bottom w:w="70" w:type="dxa"/>
              <w:right w:w="75" w:type="dxa"/>
            </w:tcMar>
          </w:tcPr>
          <w:p w14:paraId="56E4D7C9" w14:textId="77777777" w:rsidR="008867B5" w:rsidRDefault="00000000">
            <w:r>
              <w:rPr>
                <w:rFonts w:eastAsia="Times New Roman"/>
                <w:sz w:val="15"/>
              </w:rPr>
              <w:t>Class-0 total delay-violation rate</w:t>
            </w:r>
          </w:p>
        </w:tc>
        <w:tc>
          <w:tcPr>
            <w:tcW w:w="1153" w:type="dxa"/>
            <w:tcMar>
              <w:top w:w="70" w:type="dxa"/>
              <w:left w:w="75" w:type="dxa"/>
              <w:bottom w:w="70" w:type="dxa"/>
              <w:right w:w="75" w:type="dxa"/>
            </w:tcMar>
          </w:tcPr>
          <w:p w14:paraId="24370EB1" w14:textId="77777777" w:rsidR="008867B5" w:rsidRDefault="00000000">
            <w:pPr>
              <w:jc w:val="center"/>
            </w:pPr>
            <w:r>
              <w:rPr>
                <w:rFonts w:eastAsia="Times New Roman"/>
                <w:sz w:val="15"/>
              </w:rPr>
              <w:t>-0.03125</w:t>
            </w:r>
          </w:p>
        </w:tc>
        <w:tc>
          <w:tcPr>
            <w:tcW w:w="1730" w:type="dxa"/>
            <w:tcMar>
              <w:top w:w="70" w:type="dxa"/>
              <w:left w:w="75" w:type="dxa"/>
              <w:bottom w:w="70" w:type="dxa"/>
              <w:right w:w="75" w:type="dxa"/>
            </w:tcMar>
          </w:tcPr>
          <w:p w14:paraId="6F3B5984" w14:textId="77777777" w:rsidR="008867B5" w:rsidRDefault="00000000">
            <w:pPr>
              <w:jc w:val="center"/>
            </w:pPr>
            <w:r>
              <w:rPr>
                <w:rFonts w:eastAsia="Times New Roman"/>
                <w:sz w:val="15"/>
              </w:rPr>
              <w:t>[-0.05160, -0.01091]</w:t>
            </w:r>
          </w:p>
        </w:tc>
        <w:tc>
          <w:tcPr>
            <w:tcW w:w="937" w:type="dxa"/>
            <w:tcMar>
              <w:top w:w="70" w:type="dxa"/>
              <w:left w:w="75" w:type="dxa"/>
              <w:bottom w:w="70" w:type="dxa"/>
              <w:right w:w="75" w:type="dxa"/>
            </w:tcMar>
          </w:tcPr>
          <w:p w14:paraId="52E60627" w14:textId="77777777" w:rsidR="008867B5" w:rsidRDefault="00000000">
            <w:pPr>
              <w:jc w:val="center"/>
            </w:pPr>
            <w:r>
              <w:rPr>
                <w:rFonts w:eastAsia="Times New Roman"/>
                <w:sz w:val="15"/>
              </w:rPr>
              <w:t>0.007703</w:t>
            </w:r>
          </w:p>
        </w:tc>
        <w:tc>
          <w:tcPr>
            <w:tcW w:w="1153" w:type="dxa"/>
            <w:tcMar>
              <w:top w:w="70" w:type="dxa"/>
              <w:left w:w="75" w:type="dxa"/>
              <w:bottom w:w="70" w:type="dxa"/>
              <w:right w:w="75" w:type="dxa"/>
            </w:tcMar>
          </w:tcPr>
          <w:p w14:paraId="5D86E0E8" w14:textId="77777777" w:rsidR="008867B5" w:rsidRDefault="00000000">
            <w:pPr>
              <w:jc w:val="center"/>
            </w:pPr>
            <w:r>
              <w:rPr>
                <w:rFonts w:eastAsia="Times New Roman"/>
                <w:sz w:val="15"/>
              </w:rPr>
              <w:t>0.003475</w:t>
            </w:r>
          </w:p>
        </w:tc>
        <w:tc>
          <w:tcPr>
            <w:tcW w:w="937" w:type="dxa"/>
            <w:tcMar>
              <w:top w:w="70" w:type="dxa"/>
              <w:left w:w="75" w:type="dxa"/>
              <w:bottom w:w="70" w:type="dxa"/>
              <w:right w:w="75" w:type="dxa"/>
            </w:tcMar>
          </w:tcPr>
          <w:p w14:paraId="1A6EFCD9" w14:textId="77777777" w:rsidR="008867B5" w:rsidRDefault="00000000">
            <w:pPr>
              <w:jc w:val="center"/>
            </w:pPr>
            <w:r>
              <w:rPr>
                <w:rFonts w:eastAsia="Times New Roman"/>
                <w:sz w:val="15"/>
              </w:rPr>
              <w:t>-0.5736</w:t>
            </w:r>
          </w:p>
        </w:tc>
        <w:tc>
          <w:tcPr>
            <w:tcW w:w="1442" w:type="dxa"/>
            <w:tcMar>
              <w:top w:w="70" w:type="dxa"/>
              <w:left w:w="75" w:type="dxa"/>
              <w:bottom w:w="70" w:type="dxa"/>
              <w:right w:w="75" w:type="dxa"/>
            </w:tcMar>
          </w:tcPr>
          <w:p w14:paraId="2EE6DF22" w14:textId="77777777" w:rsidR="008867B5" w:rsidRDefault="00000000">
            <w:pPr>
              <w:jc w:val="center"/>
            </w:pPr>
            <w:r>
              <w:rPr>
                <w:rFonts w:eastAsia="Times New Roman"/>
                <w:sz w:val="15"/>
              </w:rPr>
              <w:t>Favorable</w:t>
            </w:r>
          </w:p>
        </w:tc>
      </w:tr>
    </w:tbl>
    <w:p w14:paraId="405C16C2" w14:textId="77777777" w:rsidR="008867B5" w:rsidRDefault="008867B5">
      <w:pPr>
        <w:spacing w:after="20"/>
      </w:pPr>
    </w:p>
    <w:p w14:paraId="27E1F1BC" w14:textId="77777777" w:rsidR="008867B5" w:rsidRDefault="00000000">
      <w:pPr>
        <w:spacing w:after="80" w:line="269" w:lineRule="auto"/>
        <w:ind w:firstLine="346"/>
        <w:jc w:val="both"/>
      </w:pPr>
      <w:r>
        <w:rPr>
          <w:rFonts w:eastAsia="Times New Roman"/>
        </w:rPr>
        <w:t>Each line in Figures 3 and 4 links the two policies for one matched seed on a co-primary endpoint. Mean delivered delay is numerically higher under attention, and its confidence interval includes zero. It therefore meets neither the directional requirement nor the multiplicity-adjusted significance requirement. The Class-0 total violation rate falls by 0.03125 absolute, with its confidence interval entirely below zero and Holm-adjusted p=0.007703. The paired standardized effect is moderate (dz=-0.574). Both endpoints had to succeed, so these results do not confirm the prespecified superiority hypothesis.</w:t>
      </w:r>
    </w:p>
    <w:p w14:paraId="22038A4C" w14:textId="77777777" w:rsidR="008867B5" w:rsidRDefault="00000000">
      <w:pPr>
        <w:keepNext/>
        <w:spacing w:after="20"/>
        <w:jc w:val="center"/>
      </w:pPr>
      <w:r>
        <w:rPr>
          <w:noProof/>
        </w:rPr>
        <w:drawing>
          <wp:inline distT="0" distB="0" distL="0" distR="0" wp14:anchorId="144CFB27" wp14:editId="684BB998">
            <wp:extent cx="5806440" cy="37427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lass0_delay_paired_journal.png"/>
                    <pic:cNvPicPr/>
                  </pic:nvPicPr>
                  <pic:blipFill>
                    <a:blip r:embed="rId10"/>
                    <a:stretch>
                      <a:fillRect/>
                    </a:stretch>
                  </pic:blipFill>
                  <pic:spPr>
                    <a:xfrm>
                      <a:off x="0" y="0"/>
                      <a:ext cx="5806440" cy="3742769"/>
                    </a:xfrm>
                    <a:prstGeom prst="rect">
                      <a:avLst/>
                    </a:prstGeom>
                  </pic:spPr>
                </pic:pic>
              </a:graphicData>
            </a:graphic>
          </wp:inline>
        </w:drawing>
      </w:r>
    </w:p>
    <w:p w14:paraId="7CDD46A5" w14:textId="77777777" w:rsidR="008867B5" w:rsidRDefault="00000000">
      <w:pPr>
        <w:spacing w:before="40" w:after="100"/>
        <w:jc w:val="center"/>
      </w:pPr>
      <w:r>
        <w:rPr>
          <w:rFonts w:eastAsia="Times New Roman"/>
          <w:i/>
          <w:color w:val="000000"/>
          <w:sz w:val="18"/>
        </w:rPr>
        <w:t>Fig. 3. Class-0 mean delivered delay for each paired seed.</w:t>
      </w:r>
    </w:p>
    <w:p w14:paraId="4FEC1B41" w14:textId="77777777" w:rsidR="008867B5" w:rsidRDefault="00000000">
      <w:pPr>
        <w:keepNext/>
        <w:spacing w:after="20"/>
        <w:jc w:val="center"/>
      </w:pPr>
      <w:r>
        <w:rPr>
          <w:noProof/>
        </w:rPr>
        <w:lastRenderedPageBreak/>
        <w:drawing>
          <wp:inline distT="0" distB="0" distL="0" distR="0" wp14:anchorId="3C1BDF6D" wp14:editId="14571EF5">
            <wp:extent cx="5806440" cy="3667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lass0_violation_paired_journal.png"/>
                    <pic:cNvPicPr/>
                  </pic:nvPicPr>
                  <pic:blipFill>
                    <a:blip r:embed="rId11"/>
                    <a:stretch>
                      <a:fillRect/>
                    </a:stretch>
                  </pic:blipFill>
                  <pic:spPr>
                    <a:xfrm>
                      <a:off x="0" y="0"/>
                      <a:ext cx="5806440" cy="3667225"/>
                    </a:xfrm>
                    <a:prstGeom prst="rect">
                      <a:avLst/>
                    </a:prstGeom>
                  </pic:spPr>
                </pic:pic>
              </a:graphicData>
            </a:graphic>
          </wp:inline>
        </w:drawing>
      </w:r>
    </w:p>
    <w:p w14:paraId="2FDE7B6F" w14:textId="77777777" w:rsidR="008867B5" w:rsidRDefault="00000000">
      <w:pPr>
        <w:spacing w:before="40" w:after="100"/>
        <w:jc w:val="center"/>
      </w:pPr>
      <w:r>
        <w:rPr>
          <w:rFonts w:eastAsia="Times New Roman"/>
          <w:i/>
          <w:color w:val="000000"/>
          <w:sz w:val="18"/>
        </w:rPr>
        <w:t>Fig. 4. Paired-seed Class-0 total delay-violation rate.</w:t>
      </w:r>
    </w:p>
    <w:p w14:paraId="05321D9B" w14:textId="77777777" w:rsidR="008867B5" w:rsidRDefault="00000000">
      <w:pPr>
        <w:pStyle w:val="Heading2"/>
        <w:spacing w:before="120" w:after="60"/>
      </w:pPr>
      <w:r>
        <w:rPr>
          <w:rFonts w:ascii="Times New Roman" w:eastAsia="Times New Roman" w:hAnsi="Times New Roman"/>
          <w:color w:val="000000"/>
        </w:rPr>
        <w:t>6.2 Non-inferiority guardrails</w:t>
      </w:r>
    </w:p>
    <w:p w14:paraId="6EA67356" w14:textId="77777777" w:rsidR="008867B5" w:rsidRDefault="00000000">
      <w:pPr>
        <w:keepNext/>
        <w:spacing w:before="40" w:after="100"/>
        <w:jc w:val="center"/>
      </w:pPr>
      <w:r>
        <w:rPr>
          <w:rFonts w:eastAsia="Times New Roman"/>
          <w:i/>
          <w:sz w:val="18"/>
        </w:rPr>
        <w:t>Table 5. Prespecified guardrails for delivery and energy.</w:t>
      </w:r>
    </w:p>
    <w:tbl>
      <w:tblPr>
        <w:tblStyle w:val="TableGrid"/>
        <w:tblW w:w="9802" w:type="dxa"/>
        <w:tblInd w:w="110" w:type="dxa"/>
        <w:tblLayout w:type="fixed"/>
        <w:tblCellMar>
          <w:top w:w="75" w:type="dxa"/>
          <w:left w:w="110" w:type="dxa"/>
          <w:bottom w:w="75" w:type="dxa"/>
          <w:right w:w="110" w:type="dxa"/>
        </w:tblCellMar>
        <w:tblLook w:val="04A0" w:firstRow="1" w:lastRow="0" w:firstColumn="1" w:lastColumn="0" w:noHBand="0" w:noVBand="1"/>
      </w:tblPr>
      <w:tblGrid>
        <w:gridCol w:w="2251"/>
        <w:gridCol w:w="2033"/>
        <w:gridCol w:w="2904"/>
        <w:gridCol w:w="1525"/>
        <w:gridCol w:w="1089"/>
      </w:tblGrid>
      <w:tr w:rsidR="008867B5" w14:paraId="3DBB6734" w14:textId="77777777">
        <w:trPr>
          <w:tblHeader/>
        </w:trPr>
        <w:tc>
          <w:tcPr>
            <w:tcW w:w="2251" w:type="dxa"/>
            <w:shd w:val="clear" w:color="auto" w:fill="D9E2F3"/>
            <w:tcMar>
              <w:top w:w="70" w:type="dxa"/>
              <w:left w:w="75" w:type="dxa"/>
              <w:bottom w:w="70" w:type="dxa"/>
              <w:right w:w="75" w:type="dxa"/>
            </w:tcMar>
          </w:tcPr>
          <w:p w14:paraId="02A394A5" w14:textId="77777777" w:rsidR="008867B5" w:rsidRDefault="00000000">
            <w:pPr>
              <w:jc w:val="center"/>
            </w:pPr>
            <w:r>
              <w:rPr>
                <w:rFonts w:eastAsia="Times New Roman"/>
                <w:b/>
                <w:sz w:val="16"/>
              </w:rPr>
              <w:t>Guardrail</w:t>
            </w:r>
          </w:p>
        </w:tc>
        <w:tc>
          <w:tcPr>
            <w:tcW w:w="2033" w:type="dxa"/>
            <w:shd w:val="clear" w:color="auto" w:fill="D9E2F3"/>
            <w:tcMar>
              <w:top w:w="70" w:type="dxa"/>
              <w:left w:w="75" w:type="dxa"/>
              <w:bottom w:w="70" w:type="dxa"/>
              <w:right w:w="75" w:type="dxa"/>
            </w:tcMar>
          </w:tcPr>
          <w:p w14:paraId="588A2EB8" w14:textId="77777777" w:rsidR="008867B5" w:rsidRDefault="00000000">
            <w:pPr>
              <w:jc w:val="center"/>
            </w:pPr>
            <w:r>
              <w:rPr>
                <w:rFonts w:eastAsia="Times New Roman"/>
                <w:b/>
                <w:sz w:val="16"/>
              </w:rPr>
              <w:t>Estimate</w:t>
            </w:r>
          </w:p>
        </w:tc>
        <w:tc>
          <w:tcPr>
            <w:tcW w:w="2904" w:type="dxa"/>
            <w:shd w:val="clear" w:color="auto" w:fill="D9E2F3"/>
            <w:tcMar>
              <w:top w:w="70" w:type="dxa"/>
              <w:left w:w="75" w:type="dxa"/>
              <w:bottom w:w="70" w:type="dxa"/>
              <w:right w:w="75" w:type="dxa"/>
            </w:tcMar>
          </w:tcPr>
          <w:p w14:paraId="482F2C33" w14:textId="77777777" w:rsidR="008867B5" w:rsidRDefault="00000000">
            <w:pPr>
              <w:jc w:val="center"/>
            </w:pPr>
            <w:r>
              <w:rPr>
                <w:rFonts w:eastAsia="Times New Roman"/>
                <w:b/>
                <w:sz w:val="16"/>
              </w:rPr>
              <w:t>Confidence bound</w:t>
            </w:r>
          </w:p>
        </w:tc>
        <w:tc>
          <w:tcPr>
            <w:tcW w:w="1525" w:type="dxa"/>
            <w:shd w:val="clear" w:color="auto" w:fill="D9E2F3"/>
            <w:tcMar>
              <w:top w:w="70" w:type="dxa"/>
              <w:left w:w="75" w:type="dxa"/>
              <w:bottom w:w="70" w:type="dxa"/>
              <w:right w:w="75" w:type="dxa"/>
            </w:tcMar>
          </w:tcPr>
          <w:p w14:paraId="54BF8BD3" w14:textId="77777777" w:rsidR="008867B5" w:rsidRDefault="00000000">
            <w:pPr>
              <w:jc w:val="center"/>
            </w:pPr>
            <w:r>
              <w:rPr>
                <w:rFonts w:eastAsia="Times New Roman"/>
                <w:b/>
                <w:sz w:val="16"/>
              </w:rPr>
              <w:t>Frozen margin</w:t>
            </w:r>
          </w:p>
        </w:tc>
        <w:tc>
          <w:tcPr>
            <w:tcW w:w="1089" w:type="dxa"/>
            <w:shd w:val="clear" w:color="auto" w:fill="D9E2F3"/>
            <w:tcMar>
              <w:top w:w="70" w:type="dxa"/>
              <w:left w:w="75" w:type="dxa"/>
              <w:bottom w:w="70" w:type="dxa"/>
              <w:right w:w="75" w:type="dxa"/>
            </w:tcMar>
          </w:tcPr>
          <w:p w14:paraId="5363FBB0" w14:textId="77777777" w:rsidR="008867B5" w:rsidRDefault="00000000">
            <w:pPr>
              <w:jc w:val="center"/>
            </w:pPr>
            <w:r>
              <w:rPr>
                <w:rFonts w:eastAsia="Times New Roman"/>
                <w:b/>
                <w:sz w:val="16"/>
              </w:rPr>
              <w:t>Result</w:t>
            </w:r>
          </w:p>
        </w:tc>
      </w:tr>
      <w:tr w:rsidR="008867B5" w14:paraId="62F1306F" w14:textId="77777777">
        <w:tc>
          <w:tcPr>
            <w:tcW w:w="2251" w:type="dxa"/>
            <w:tcMar>
              <w:top w:w="70" w:type="dxa"/>
              <w:left w:w="75" w:type="dxa"/>
              <w:bottom w:w="70" w:type="dxa"/>
              <w:right w:w="75" w:type="dxa"/>
            </w:tcMar>
          </w:tcPr>
          <w:p w14:paraId="59730EAE" w14:textId="77777777" w:rsidR="008867B5" w:rsidRDefault="00000000">
            <w:r>
              <w:rPr>
                <w:rFonts w:eastAsia="Times New Roman"/>
                <w:sz w:val="16"/>
              </w:rPr>
              <w:t>Overall delivery rate</w:t>
            </w:r>
          </w:p>
        </w:tc>
        <w:tc>
          <w:tcPr>
            <w:tcW w:w="2033" w:type="dxa"/>
            <w:tcMar>
              <w:top w:w="70" w:type="dxa"/>
              <w:left w:w="75" w:type="dxa"/>
              <w:bottom w:w="70" w:type="dxa"/>
              <w:right w:w="75" w:type="dxa"/>
            </w:tcMar>
          </w:tcPr>
          <w:p w14:paraId="2E070C6B" w14:textId="77777777" w:rsidR="008867B5" w:rsidRDefault="00000000">
            <w:pPr>
              <w:jc w:val="center"/>
            </w:pPr>
            <w:r>
              <w:rPr>
                <w:rFonts w:eastAsia="Times New Roman"/>
                <w:sz w:val="16"/>
              </w:rPr>
              <w:t>+0.03153 absolute</w:t>
            </w:r>
          </w:p>
        </w:tc>
        <w:tc>
          <w:tcPr>
            <w:tcW w:w="2904" w:type="dxa"/>
            <w:tcMar>
              <w:top w:w="70" w:type="dxa"/>
              <w:left w:w="75" w:type="dxa"/>
              <w:bottom w:w="70" w:type="dxa"/>
              <w:right w:w="75" w:type="dxa"/>
            </w:tcMar>
          </w:tcPr>
          <w:p w14:paraId="5F742B3A" w14:textId="77777777" w:rsidR="008867B5" w:rsidRDefault="00000000">
            <w:pPr>
              <w:jc w:val="center"/>
            </w:pPr>
            <w:r>
              <w:rPr>
                <w:rFonts w:eastAsia="Times New Roman"/>
                <w:sz w:val="16"/>
              </w:rPr>
              <w:t>one-sided 95% LB = +0.02158</w:t>
            </w:r>
          </w:p>
        </w:tc>
        <w:tc>
          <w:tcPr>
            <w:tcW w:w="1525" w:type="dxa"/>
            <w:tcMar>
              <w:top w:w="70" w:type="dxa"/>
              <w:left w:w="75" w:type="dxa"/>
              <w:bottom w:w="70" w:type="dxa"/>
              <w:right w:w="75" w:type="dxa"/>
            </w:tcMar>
          </w:tcPr>
          <w:p w14:paraId="06AB3F6B" w14:textId="77777777" w:rsidR="008867B5" w:rsidRDefault="00000000">
            <w:pPr>
              <w:jc w:val="center"/>
            </w:pPr>
            <w:r>
              <w:rPr>
                <w:rFonts w:eastAsia="Times New Roman"/>
                <w:sz w:val="16"/>
              </w:rPr>
              <w:t>&gt;-0.01</w:t>
            </w:r>
          </w:p>
        </w:tc>
        <w:tc>
          <w:tcPr>
            <w:tcW w:w="1089" w:type="dxa"/>
            <w:tcMar>
              <w:top w:w="70" w:type="dxa"/>
              <w:left w:w="75" w:type="dxa"/>
              <w:bottom w:w="70" w:type="dxa"/>
              <w:right w:w="75" w:type="dxa"/>
            </w:tcMar>
          </w:tcPr>
          <w:p w14:paraId="72AC9C32" w14:textId="77777777" w:rsidR="008867B5" w:rsidRDefault="00000000">
            <w:pPr>
              <w:jc w:val="center"/>
            </w:pPr>
            <w:r>
              <w:rPr>
                <w:rFonts w:eastAsia="Times New Roman"/>
                <w:sz w:val="16"/>
              </w:rPr>
              <w:t>PASS</w:t>
            </w:r>
          </w:p>
        </w:tc>
      </w:tr>
      <w:tr w:rsidR="008867B5" w14:paraId="243357F0" w14:textId="77777777">
        <w:tc>
          <w:tcPr>
            <w:tcW w:w="2251" w:type="dxa"/>
            <w:tcMar>
              <w:top w:w="70" w:type="dxa"/>
              <w:left w:w="75" w:type="dxa"/>
              <w:bottom w:w="70" w:type="dxa"/>
              <w:right w:w="75" w:type="dxa"/>
            </w:tcMar>
          </w:tcPr>
          <w:p w14:paraId="59DBFF58" w14:textId="77777777" w:rsidR="008867B5" w:rsidRDefault="00000000">
            <w:r>
              <w:rPr>
                <w:rFonts w:eastAsia="Times New Roman"/>
                <w:sz w:val="16"/>
              </w:rPr>
              <w:t>Energy per delivered packet</w:t>
            </w:r>
          </w:p>
        </w:tc>
        <w:tc>
          <w:tcPr>
            <w:tcW w:w="2033" w:type="dxa"/>
            <w:tcMar>
              <w:top w:w="70" w:type="dxa"/>
              <w:left w:w="75" w:type="dxa"/>
              <w:bottom w:w="70" w:type="dxa"/>
              <w:right w:w="75" w:type="dxa"/>
            </w:tcMar>
          </w:tcPr>
          <w:p w14:paraId="67DFB7D2" w14:textId="77777777" w:rsidR="008867B5" w:rsidRDefault="00000000">
            <w:pPr>
              <w:jc w:val="center"/>
            </w:pPr>
            <w:r>
              <w:rPr>
                <w:rFonts w:eastAsia="Times New Roman"/>
                <w:sz w:val="16"/>
              </w:rPr>
              <w:t>GMR = 0.97180</w:t>
            </w:r>
          </w:p>
        </w:tc>
        <w:tc>
          <w:tcPr>
            <w:tcW w:w="2904" w:type="dxa"/>
            <w:tcMar>
              <w:top w:w="70" w:type="dxa"/>
              <w:left w:w="75" w:type="dxa"/>
              <w:bottom w:w="70" w:type="dxa"/>
              <w:right w:w="75" w:type="dxa"/>
            </w:tcMar>
          </w:tcPr>
          <w:p w14:paraId="0C9BDFDD" w14:textId="77777777" w:rsidR="008867B5" w:rsidRDefault="00000000">
            <w:pPr>
              <w:jc w:val="center"/>
            </w:pPr>
            <w:r>
              <w:rPr>
                <w:rFonts w:eastAsia="Times New Roman"/>
                <w:sz w:val="16"/>
              </w:rPr>
              <w:t>one-sided 95% upper = 1.00040</w:t>
            </w:r>
          </w:p>
        </w:tc>
        <w:tc>
          <w:tcPr>
            <w:tcW w:w="1525" w:type="dxa"/>
            <w:tcMar>
              <w:top w:w="70" w:type="dxa"/>
              <w:left w:w="75" w:type="dxa"/>
              <w:bottom w:w="70" w:type="dxa"/>
              <w:right w:w="75" w:type="dxa"/>
            </w:tcMar>
          </w:tcPr>
          <w:p w14:paraId="52E7DC54" w14:textId="77777777" w:rsidR="008867B5" w:rsidRDefault="00000000">
            <w:pPr>
              <w:jc w:val="center"/>
            </w:pPr>
            <w:r>
              <w:rPr>
                <w:rFonts w:eastAsia="Times New Roman"/>
                <w:sz w:val="16"/>
              </w:rPr>
              <w:t>≤1.05</w:t>
            </w:r>
          </w:p>
        </w:tc>
        <w:tc>
          <w:tcPr>
            <w:tcW w:w="1089" w:type="dxa"/>
            <w:tcMar>
              <w:top w:w="70" w:type="dxa"/>
              <w:left w:w="75" w:type="dxa"/>
              <w:bottom w:w="70" w:type="dxa"/>
              <w:right w:w="75" w:type="dxa"/>
            </w:tcMar>
          </w:tcPr>
          <w:p w14:paraId="23FC6174" w14:textId="77777777" w:rsidR="008867B5" w:rsidRDefault="00000000">
            <w:pPr>
              <w:jc w:val="center"/>
            </w:pPr>
            <w:r>
              <w:rPr>
                <w:rFonts w:eastAsia="Times New Roman"/>
                <w:sz w:val="16"/>
              </w:rPr>
              <w:t>PASS</w:t>
            </w:r>
          </w:p>
        </w:tc>
      </w:tr>
    </w:tbl>
    <w:p w14:paraId="60C15FE3" w14:textId="77777777" w:rsidR="008867B5" w:rsidRDefault="008867B5">
      <w:pPr>
        <w:spacing w:after="20"/>
      </w:pPr>
    </w:p>
    <w:p w14:paraId="75886F2A" w14:textId="77777777" w:rsidR="008867B5" w:rsidRDefault="00000000">
      <w:pPr>
        <w:spacing w:after="80" w:line="269" w:lineRule="auto"/>
        <w:ind w:firstLine="346"/>
        <w:jc w:val="both"/>
      </w:pPr>
      <w:r>
        <w:t>Attention passed both non-inferiority checks. Overall delivery was higher on average, and energy per delivered packet stayed within the prespecified margin. The failed mean-delay endpoint nevertheless means that the joint success criterion was not met.</w:t>
      </w:r>
    </w:p>
    <w:p w14:paraId="0E1D8716" w14:textId="77777777" w:rsidR="008867B5" w:rsidRDefault="00000000">
      <w:pPr>
        <w:pStyle w:val="Heading2"/>
        <w:spacing w:before="120" w:after="60"/>
      </w:pPr>
      <w:r>
        <w:rPr>
          <w:rFonts w:ascii="Times New Roman" w:hAnsi="Times New Roman"/>
          <w:color w:val="000000"/>
        </w:rPr>
        <w:t>6.3 Descriptive baselines</w:t>
      </w:r>
    </w:p>
    <w:p w14:paraId="1DD40EF7" w14:textId="77777777" w:rsidR="008867B5" w:rsidRDefault="00000000">
      <w:pPr>
        <w:keepNext/>
        <w:spacing w:after="80" w:line="269" w:lineRule="auto"/>
        <w:ind w:firstLine="346"/>
        <w:jc w:val="both"/>
      </w:pPr>
      <w:r>
        <w:t>Table 6 reports static energy-risk-ETX and periodic ROA energy-risk-ETX routing as descriptive baselines. Both use the AF-v1 configuration, whose clustering, hierarchy, and shield settings differ from the primary experiment. These comparisons provide context but cannot isolate the effect of policy representation. They are therefore outside the confirmatory endpoint family and strict decision rule.</w:t>
      </w:r>
    </w:p>
    <w:p w14:paraId="6B4EE781" w14:textId="77777777" w:rsidR="008867B5" w:rsidRDefault="00000000">
      <w:pPr>
        <w:keepNext/>
        <w:spacing w:before="40" w:after="100"/>
        <w:jc w:val="center"/>
      </w:pPr>
      <w:r>
        <w:rPr>
          <w:rFonts w:eastAsia="Times New Roman"/>
          <w:i/>
          <w:sz w:val="18"/>
        </w:rPr>
        <w:t>Table 6. Mean evaluation metrics across 30 seeds; baseline rows are descriptive only.</w:t>
      </w:r>
    </w:p>
    <w:tbl>
      <w:tblPr>
        <w:tblStyle w:val="TableGrid"/>
        <w:tblW w:w="9802" w:type="dxa"/>
        <w:tblInd w:w="110" w:type="dxa"/>
        <w:tblLayout w:type="fixed"/>
        <w:tblCellMar>
          <w:top w:w="75" w:type="dxa"/>
          <w:left w:w="110" w:type="dxa"/>
          <w:bottom w:w="75" w:type="dxa"/>
          <w:right w:w="110" w:type="dxa"/>
        </w:tblCellMar>
        <w:tblLook w:val="04A0" w:firstRow="1" w:lastRow="0" w:firstColumn="1" w:lastColumn="0" w:noHBand="0" w:noVBand="1"/>
      </w:tblPr>
      <w:tblGrid>
        <w:gridCol w:w="2609"/>
        <w:gridCol w:w="1128"/>
        <w:gridCol w:w="1410"/>
        <w:gridCol w:w="1410"/>
        <w:gridCol w:w="1622"/>
        <w:gridCol w:w="1623"/>
      </w:tblGrid>
      <w:tr w:rsidR="008867B5" w14:paraId="431EB8AB" w14:textId="77777777">
        <w:trPr>
          <w:tblHeader/>
        </w:trPr>
        <w:tc>
          <w:tcPr>
            <w:tcW w:w="2609" w:type="dxa"/>
            <w:shd w:val="clear" w:color="auto" w:fill="D9E2F3"/>
            <w:tcMar>
              <w:top w:w="70" w:type="dxa"/>
              <w:left w:w="75" w:type="dxa"/>
              <w:bottom w:w="70" w:type="dxa"/>
              <w:right w:w="75" w:type="dxa"/>
            </w:tcMar>
          </w:tcPr>
          <w:p w14:paraId="4D142E88" w14:textId="77777777" w:rsidR="008867B5" w:rsidRDefault="00000000">
            <w:pPr>
              <w:jc w:val="center"/>
            </w:pPr>
            <w:r>
              <w:rPr>
                <w:rFonts w:eastAsia="Times New Roman"/>
                <w:b/>
                <w:sz w:val="15"/>
              </w:rPr>
              <w:t>Policy</w:t>
            </w:r>
          </w:p>
        </w:tc>
        <w:tc>
          <w:tcPr>
            <w:tcW w:w="1128" w:type="dxa"/>
            <w:shd w:val="clear" w:color="auto" w:fill="D9E2F3"/>
            <w:tcMar>
              <w:top w:w="70" w:type="dxa"/>
              <w:left w:w="75" w:type="dxa"/>
              <w:bottom w:w="70" w:type="dxa"/>
              <w:right w:w="75" w:type="dxa"/>
            </w:tcMar>
          </w:tcPr>
          <w:p w14:paraId="1A49FC30" w14:textId="77777777" w:rsidR="008867B5" w:rsidRDefault="00000000">
            <w:pPr>
              <w:jc w:val="center"/>
            </w:pPr>
            <w:r>
              <w:rPr>
                <w:rFonts w:eastAsia="Times New Roman"/>
                <w:b/>
                <w:sz w:val="15"/>
              </w:rPr>
              <w:t>Delivery</w:t>
            </w:r>
          </w:p>
        </w:tc>
        <w:tc>
          <w:tcPr>
            <w:tcW w:w="1410" w:type="dxa"/>
            <w:shd w:val="clear" w:color="auto" w:fill="D9E2F3"/>
            <w:tcMar>
              <w:top w:w="70" w:type="dxa"/>
              <w:left w:w="75" w:type="dxa"/>
              <w:bottom w:w="70" w:type="dxa"/>
              <w:right w:w="75" w:type="dxa"/>
            </w:tcMar>
          </w:tcPr>
          <w:p w14:paraId="235C7CAE" w14:textId="77777777" w:rsidR="008867B5" w:rsidRDefault="00000000">
            <w:pPr>
              <w:jc w:val="center"/>
            </w:pPr>
            <w:r>
              <w:rPr>
                <w:rFonts w:eastAsia="Times New Roman"/>
                <w:b/>
                <w:sz w:val="15"/>
              </w:rPr>
              <w:t>C0 delay (ms)</w:t>
            </w:r>
          </w:p>
        </w:tc>
        <w:tc>
          <w:tcPr>
            <w:tcW w:w="1410" w:type="dxa"/>
            <w:shd w:val="clear" w:color="auto" w:fill="D9E2F3"/>
            <w:tcMar>
              <w:top w:w="70" w:type="dxa"/>
              <w:left w:w="75" w:type="dxa"/>
              <w:bottom w:w="70" w:type="dxa"/>
              <w:right w:w="75" w:type="dxa"/>
            </w:tcMar>
          </w:tcPr>
          <w:p w14:paraId="2E27DE60" w14:textId="77777777" w:rsidR="008867B5" w:rsidRDefault="00000000">
            <w:pPr>
              <w:jc w:val="center"/>
            </w:pPr>
            <w:r>
              <w:rPr>
                <w:rFonts w:eastAsia="Times New Roman"/>
                <w:b/>
                <w:sz w:val="15"/>
              </w:rPr>
              <w:t>C0 violation</w:t>
            </w:r>
          </w:p>
        </w:tc>
        <w:tc>
          <w:tcPr>
            <w:tcW w:w="1622" w:type="dxa"/>
            <w:shd w:val="clear" w:color="auto" w:fill="D9E2F3"/>
            <w:tcMar>
              <w:top w:w="70" w:type="dxa"/>
              <w:left w:w="75" w:type="dxa"/>
              <w:bottom w:w="70" w:type="dxa"/>
              <w:right w:w="75" w:type="dxa"/>
            </w:tcMar>
          </w:tcPr>
          <w:p w14:paraId="4A8AE76F" w14:textId="77777777" w:rsidR="008867B5" w:rsidRDefault="00000000">
            <w:pPr>
              <w:jc w:val="center"/>
            </w:pPr>
            <w:r>
              <w:rPr>
                <w:rFonts w:eastAsia="Times New Roman"/>
                <w:b/>
                <w:sz w:val="15"/>
              </w:rPr>
              <w:t>Energy/deliv. (mJ)</w:t>
            </w:r>
          </w:p>
        </w:tc>
        <w:tc>
          <w:tcPr>
            <w:tcW w:w="1623" w:type="dxa"/>
            <w:shd w:val="clear" w:color="auto" w:fill="D9E2F3"/>
            <w:tcMar>
              <w:top w:w="70" w:type="dxa"/>
              <w:left w:w="75" w:type="dxa"/>
              <w:bottom w:w="70" w:type="dxa"/>
              <w:right w:w="75" w:type="dxa"/>
            </w:tcMar>
          </w:tcPr>
          <w:p w14:paraId="4DDD7001" w14:textId="77777777" w:rsidR="008867B5" w:rsidRDefault="00000000">
            <w:pPr>
              <w:jc w:val="center"/>
            </w:pPr>
            <w:r>
              <w:rPr>
                <w:rFonts w:eastAsia="Times New Roman"/>
                <w:b/>
                <w:sz w:val="15"/>
              </w:rPr>
              <w:t>Security-drop rate</w:t>
            </w:r>
          </w:p>
        </w:tc>
      </w:tr>
      <w:tr w:rsidR="008867B5" w14:paraId="63C001FB" w14:textId="77777777">
        <w:tc>
          <w:tcPr>
            <w:tcW w:w="2609" w:type="dxa"/>
            <w:tcMar>
              <w:top w:w="70" w:type="dxa"/>
              <w:left w:w="75" w:type="dxa"/>
              <w:bottom w:w="70" w:type="dxa"/>
              <w:right w:w="75" w:type="dxa"/>
            </w:tcMar>
          </w:tcPr>
          <w:p w14:paraId="0C9F5DF4" w14:textId="77777777" w:rsidR="008867B5" w:rsidRDefault="00000000">
            <w:r>
              <w:rPr>
                <w:rFonts w:eastAsia="Times New Roman"/>
                <w:sz w:val="15"/>
              </w:rPr>
              <w:t>LA-CPPO attention</w:t>
            </w:r>
          </w:p>
        </w:tc>
        <w:tc>
          <w:tcPr>
            <w:tcW w:w="1128" w:type="dxa"/>
            <w:tcMar>
              <w:top w:w="70" w:type="dxa"/>
              <w:left w:w="75" w:type="dxa"/>
              <w:bottom w:w="70" w:type="dxa"/>
              <w:right w:w="75" w:type="dxa"/>
            </w:tcMar>
          </w:tcPr>
          <w:p w14:paraId="58E40758" w14:textId="77777777" w:rsidR="008867B5" w:rsidRDefault="00000000">
            <w:pPr>
              <w:jc w:val="center"/>
            </w:pPr>
            <w:r>
              <w:rPr>
                <w:rFonts w:eastAsia="Times New Roman"/>
                <w:sz w:val="15"/>
              </w:rPr>
              <w:t>0.9543</w:t>
            </w:r>
          </w:p>
        </w:tc>
        <w:tc>
          <w:tcPr>
            <w:tcW w:w="1410" w:type="dxa"/>
            <w:tcMar>
              <w:top w:w="70" w:type="dxa"/>
              <w:left w:w="75" w:type="dxa"/>
              <w:bottom w:w="70" w:type="dxa"/>
              <w:right w:w="75" w:type="dxa"/>
            </w:tcMar>
          </w:tcPr>
          <w:p w14:paraId="3EFAB387" w14:textId="77777777" w:rsidR="008867B5" w:rsidRDefault="00000000">
            <w:pPr>
              <w:jc w:val="center"/>
            </w:pPr>
            <w:r>
              <w:rPr>
                <w:rFonts w:eastAsia="Times New Roman"/>
                <w:sz w:val="15"/>
              </w:rPr>
              <w:t>52.27</w:t>
            </w:r>
          </w:p>
        </w:tc>
        <w:tc>
          <w:tcPr>
            <w:tcW w:w="1410" w:type="dxa"/>
            <w:tcMar>
              <w:top w:w="70" w:type="dxa"/>
              <w:left w:w="75" w:type="dxa"/>
              <w:bottom w:w="70" w:type="dxa"/>
              <w:right w:w="75" w:type="dxa"/>
            </w:tcMar>
          </w:tcPr>
          <w:p w14:paraId="32C625D9" w14:textId="77777777" w:rsidR="008867B5" w:rsidRDefault="00000000">
            <w:pPr>
              <w:jc w:val="center"/>
            </w:pPr>
            <w:r>
              <w:rPr>
                <w:rFonts w:eastAsia="Times New Roman"/>
                <w:sz w:val="15"/>
              </w:rPr>
              <w:t>0.1242</w:t>
            </w:r>
          </w:p>
        </w:tc>
        <w:tc>
          <w:tcPr>
            <w:tcW w:w="1622" w:type="dxa"/>
            <w:tcMar>
              <w:top w:w="70" w:type="dxa"/>
              <w:left w:w="75" w:type="dxa"/>
              <w:bottom w:w="70" w:type="dxa"/>
              <w:right w:w="75" w:type="dxa"/>
            </w:tcMar>
          </w:tcPr>
          <w:p w14:paraId="76A6CD92" w14:textId="77777777" w:rsidR="008867B5" w:rsidRDefault="00000000">
            <w:pPr>
              <w:jc w:val="center"/>
            </w:pPr>
            <w:r>
              <w:rPr>
                <w:rFonts w:eastAsia="Times New Roman"/>
                <w:sz w:val="15"/>
              </w:rPr>
              <w:t>0.7372</w:t>
            </w:r>
          </w:p>
        </w:tc>
        <w:tc>
          <w:tcPr>
            <w:tcW w:w="1623" w:type="dxa"/>
            <w:tcMar>
              <w:top w:w="70" w:type="dxa"/>
              <w:left w:w="75" w:type="dxa"/>
              <w:bottom w:w="70" w:type="dxa"/>
              <w:right w:w="75" w:type="dxa"/>
            </w:tcMar>
          </w:tcPr>
          <w:p w14:paraId="78294EC6" w14:textId="77777777" w:rsidR="008867B5" w:rsidRDefault="00000000">
            <w:pPr>
              <w:jc w:val="center"/>
            </w:pPr>
            <w:r>
              <w:rPr>
                <w:rFonts w:eastAsia="Times New Roman"/>
                <w:sz w:val="15"/>
              </w:rPr>
              <w:t>0.0308</w:t>
            </w:r>
          </w:p>
        </w:tc>
      </w:tr>
      <w:tr w:rsidR="008867B5" w14:paraId="314E3E81" w14:textId="77777777">
        <w:tc>
          <w:tcPr>
            <w:tcW w:w="2609" w:type="dxa"/>
            <w:tcMar>
              <w:top w:w="70" w:type="dxa"/>
              <w:left w:w="75" w:type="dxa"/>
              <w:bottom w:w="70" w:type="dxa"/>
              <w:right w:w="75" w:type="dxa"/>
            </w:tcMar>
          </w:tcPr>
          <w:p w14:paraId="5818E45B" w14:textId="77777777" w:rsidR="008867B5" w:rsidRDefault="00000000">
            <w:r>
              <w:rPr>
                <w:rFonts w:eastAsia="Times New Roman"/>
                <w:sz w:val="15"/>
              </w:rPr>
              <w:t>Matched MLP CPPO</w:t>
            </w:r>
          </w:p>
        </w:tc>
        <w:tc>
          <w:tcPr>
            <w:tcW w:w="1128" w:type="dxa"/>
            <w:tcMar>
              <w:top w:w="70" w:type="dxa"/>
              <w:left w:w="75" w:type="dxa"/>
              <w:bottom w:w="70" w:type="dxa"/>
              <w:right w:w="75" w:type="dxa"/>
            </w:tcMar>
          </w:tcPr>
          <w:p w14:paraId="4DFD5FA8" w14:textId="77777777" w:rsidR="008867B5" w:rsidRDefault="00000000">
            <w:pPr>
              <w:jc w:val="center"/>
            </w:pPr>
            <w:r>
              <w:rPr>
                <w:rFonts w:eastAsia="Times New Roman"/>
                <w:sz w:val="15"/>
              </w:rPr>
              <w:t>0.9228</w:t>
            </w:r>
          </w:p>
        </w:tc>
        <w:tc>
          <w:tcPr>
            <w:tcW w:w="1410" w:type="dxa"/>
            <w:tcMar>
              <w:top w:w="70" w:type="dxa"/>
              <w:left w:w="75" w:type="dxa"/>
              <w:bottom w:w="70" w:type="dxa"/>
              <w:right w:w="75" w:type="dxa"/>
            </w:tcMar>
          </w:tcPr>
          <w:p w14:paraId="0C4B9FC1" w14:textId="77777777" w:rsidR="008867B5" w:rsidRDefault="00000000">
            <w:pPr>
              <w:jc w:val="center"/>
            </w:pPr>
            <w:r>
              <w:rPr>
                <w:rFonts w:eastAsia="Times New Roman"/>
                <w:sz w:val="15"/>
              </w:rPr>
              <w:t>51.25</w:t>
            </w:r>
          </w:p>
        </w:tc>
        <w:tc>
          <w:tcPr>
            <w:tcW w:w="1410" w:type="dxa"/>
            <w:tcMar>
              <w:top w:w="70" w:type="dxa"/>
              <w:left w:w="75" w:type="dxa"/>
              <w:bottom w:w="70" w:type="dxa"/>
              <w:right w:w="75" w:type="dxa"/>
            </w:tcMar>
          </w:tcPr>
          <w:p w14:paraId="4C3C5BEC" w14:textId="77777777" w:rsidR="008867B5" w:rsidRDefault="00000000">
            <w:pPr>
              <w:jc w:val="center"/>
            </w:pPr>
            <w:r>
              <w:rPr>
                <w:rFonts w:eastAsia="Times New Roman"/>
                <w:sz w:val="15"/>
              </w:rPr>
              <w:t>0.1554</w:t>
            </w:r>
          </w:p>
        </w:tc>
        <w:tc>
          <w:tcPr>
            <w:tcW w:w="1622" w:type="dxa"/>
            <w:tcMar>
              <w:top w:w="70" w:type="dxa"/>
              <w:left w:w="75" w:type="dxa"/>
              <w:bottom w:w="70" w:type="dxa"/>
              <w:right w:w="75" w:type="dxa"/>
            </w:tcMar>
          </w:tcPr>
          <w:p w14:paraId="429F380A" w14:textId="77777777" w:rsidR="008867B5" w:rsidRDefault="00000000">
            <w:pPr>
              <w:jc w:val="center"/>
            </w:pPr>
            <w:r>
              <w:rPr>
                <w:rFonts w:eastAsia="Times New Roman"/>
                <w:sz w:val="15"/>
              </w:rPr>
              <w:t>0.7597</w:t>
            </w:r>
          </w:p>
        </w:tc>
        <w:tc>
          <w:tcPr>
            <w:tcW w:w="1623" w:type="dxa"/>
            <w:tcMar>
              <w:top w:w="70" w:type="dxa"/>
              <w:left w:w="75" w:type="dxa"/>
              <w:bottom w:w="70" w:type="dxa"/>
              <w:right w:w="75" w:type="dxa"/>
            </w:tcMar>
          </w:tcPr>
          <w:p w14:paraId="7135A029" w14:textId="77777777" w:rsidR="008867B5" w:rsidRDefault="00000000">
            <w:pPr>
              <w:jc w:val="center"/>
            </w:pPr>
            <w:r>
              <w:rPr>
                <w:rFonts w:eastAsia="Times New Roman"/>
                <w:sz w:val="15"/>
              </w:rPr>
              <w:t>0.0649</w:t>
            </w:r>
          </w:p>
        </w:tc>
      </w:tr>
      <w:tr w:rsidR="008867B5" w14:paraId="4B2C2EA8" w14:textId="77777777">
        <w:tc>
          <w:tcPr>
            <w:tcW w:w="2609" w:type="dxa"/>
            <w:tcMar>
              <w:top w:w="70" w:type="dxa"/>
              <w:left w:w="75" w:type="dxa"/>
              <w:bottom w:w="70" w:type="dxa"/>
              <w:right w:w="75" w:type="dxa"/>
            </w:tcMar>
          </w:tcPr>
          <w:p w14:paraId="21C0AD36" w14:textId="77777777" w:rsidR="008867B5" w:rsidRDefault="00000000">
            <w:r>
              <w:rPr>
                <w:rFonts w:eastAsia="Times New Roman"/>
                <w:sz w:val="15"/>
              </w:rPr>
              <w:t>Static energy-risk-ETX</w:t>
            </w:r>
          </w:p>
        </w:tc>
        <w:tc>
          <w:tcPr>
            <w:tcW w:w="1128" w:type="dxa"/>
            <w:tcMar>
              <w:top w:w="70" w:type="dxa"/>
              <w:left w:w="75" w:type="dxa"/>
              <w:bottom w:w="70" w:type="dxa"/>
              <w:right w:w="75" w:type="dxa"/>
            </w:tcMar>
          </w:tcPr>
          <w:p w14:paraId="77C1BBFE" w14:textId="77777777" w:rsidR="008867B5" w:rsidRDefault="00000000">
            <w:pPr>
              <w:jc w:val="center"/>
            </w:pPr>
            <w:r>
              <w:rPr>
                <w:rFonts w:eastAsia="Times New Roman"/>
                <w:sz w:val="15"/>
              </w:rPr>
              <w:t>0.8807</w:t>
            </w:r>
          </w:p>
        </w:tc>
        <w:tc>
          <w:tcPr>
            <w:tcW w:w="1410" w:type="dxa"/>
            <w:tcMar>
              <w:top w:w="70" w:type="dxa"/>
              <w:left w:w="75" w:type="dxa"/>
              <w:bottom w:w="70" w:type="dxa"/>
              <w:right w:w="75" w:type="dxa"/>
            </w:tcMar>
          </w:tcPr>
          <w:p w14:paraId="5E55F522" w14:textId="77777777" w:rsidR="008867B5" w:rsidRDefault="00000000">
            <w:pPr>
              <w:jc w:val="center"/>
            </w:pPr>
            <w:r>
              <w:rPr>
                <w:rFonts w:eastAsia="Times New Roman"/>
                <w:sz w:val="15"/>
              </w:rPr>
              <w:t>56.86</w:t>
            </w:r>
          </w:p>
        </w:tc>
        <w:tc>
          <w:tcPr>
            <w:tcW w:w="1410" w:type="dxa"/>
            <w:tcMar>
              <w:top w:w="70" w:type="dxa"/>
              <w:left w:w="75" w:type="dxa"/>
              <w:bottom w:w="70" w:type="dxa"/>
              <w:right w:w="75" w:type="dxa"/>
            </w:tcMar>
          </w:tcPr>
          <w:p w14:paraId="22AA0EEB" w14:textId="77777777" w:rsidR="008867B5" w:rsidRDefault="00000000">
            <w:pPr>
              <w:jc w:val="center"/>
            </w:pPr>
            <w:r>
              <w:rPr>
                <w:rFonts w:eastAsia="Times New Roman"/>
                <w:sz w:val="15"/>
              </w:rPr>
              <w:t>0.2392</w:t>
            </w:r>
          </w:p>
        </w:tc>
        <w:tc>
          <w:tcPr>
            <w:tcW w:w="1622" w:type="dxa"/>
            <w:tcMar>
              <w:top w:w="70" w:type="dxa"/>
              <w:left w:w="75" w:type="dxa"/>
              <w:bottom w:w="70" w:type="dxa"/>
              <w:right w:w="75" w:type="dxa"/>
            </w:tcMar>
          </w:tcPr>
          <w:p w14:paraId="710B009F" w14:textId="77777777" w:rsidR="008867B5" w:rsidRDefault="00000000">
            <w:pPr>
              <w:jc w:val="center"/>
            </w:pPr>
            <w:r>
              <w:rPr>
                <w:rFonts w:eastAsia="Times New Roman"/>
                <w:sz w:val="15"/>
              </w:rPr>
              <w:t>1.0383</w:t>
            </w:r>
          </w:p>
        </w:tc>
        <w:tc>
          <w:tcPr>
            <w:tcW w:w="1623" w:type="dxa"/>
            <w:tcMar>
              <w:top w:w="70" w:type="dxa"/>
              <w:left w:w="75" w:type="dxa"/>
              <w:bottom w:w="70" w:type="dxa"/>
              <w:right w:w="75" w:type="dxa"/>
            </w:tcMar>
          </w:tcPr>
          <w:p w14:paraId="4E23B6E4" w14:textId="77777777" w:rsidR="008867B5" w:rsidRDefault="00000000">
            <w:pPr>
              <w:jc w:val="center"/>
            </w:pPr>
            <w:r>
              <w:rPr>
                <w:rFonts w:eastAsia="Times New Roman"/>
                <w:sz w:val="15"/>
              </w:rPr>
              <w:t>0.1128</w:t>
            </w:r>
          </w:p>
        </w:tc>
      </w:tr>
      <w:tr w:rsidR="008867B5" w14:paraId="4C2EB580" w14:textId="77777777">
        <w:tc>
          <w:tcPr>
            <w:tcW w:w="2609" w:type="dxa"/>
            <w:tcMar>
              <w:top w:w="70" w:type="dxa"/>
              <w:left w:w="75" w:type="dxa"/>
              <w:bottom w:w="70" w:type="dxa"/>
              <w:right w:w="75" w:type="dxa"/>
            </w:tcMar>
          </w:tcPr>
          <w:p w14:paraId="7906B719" w14:textId="77777777" w:rsidR="008867B5" w:rsidRDefault="00000000">
            <w:r>
              <w:rPr>
                <w:rFonts w:eastAsia="Times New Roman"/>
                <w:sz w:val="15"/>
              </w:rPr>
              <w:t>Periodic ROA + energy-risk-ETX</w:t>
            </w:r>
          </w:p>
        </w:tc>
        <w:tc>
          <w:tcPr>
            <w:tcW w:w="1128" w:type="dxa"/>
            <w:tcMar>
              <w:top w:w="70" w:type="dxa"/>
              <w:left w:w="75" w:type="dxa"/>
              <w:bottom w:w="70" w:type="dxa"/>
              <w:right w:w="75" w:type="dxa"/>
            </w:tcMar>
          </w:tcPr>
          <w:p w14:paraId="11AB32A5" w14:textId="77777777" w:rsidR="008867B5" w:rsidRDefault="00000000">
            <w:pPr>
              <w:jc w:val="center"/>
            </w:pPr>
            <w:r>
              <w:rPr>
                <w:rFonts w:eastAsia="Times New Roman"/>
                <w:sz w:val="15"/>
              </w:rPr>
              <w:t>0.8814</w:t>
            </w:r>
          </w:p>
        </w:tc>
        <w:tc>
          <w:tcPr>
            <w:tcW w:w="1410" w:type="dxa"/>
            <w:tcMar>
              <w:top w:w="70" w:type="dxa"/>
              <w:left w:w="75" w:type="dxa"/>
              <w:bottom w:w="70" w:type="dxa"/>
              <w:right w:w="75" w:type="dxa"/>
            </w:tcMar>
          </w:tcPr>
          <w:p w14:paraId="6FC2A174" w14:textId="77777777" w:rsidR="008867B5" w:rsidRDefault="00000000">
            <w:pPr>
              <w:jc w:val="center"/>
            </w:pPr>
            <w:r>
              <w:rPr>
                <w:rFonts w:eastAsia="Times New Roman"/>
                <w:sz w:val="15"/>
              </w:rPr>
              <w:t>57.58</w:t>
            </w:r>
          </w:p>
        </w:tc>
        <w:tc>
          <w:tcPr>
            <w:tcW w:w="1410" w:type="dxa"/>
            <w:tcMar>
              <w:top w:w="70" w:type="dxa"/>
              <w:left w:w="75" w:type="dxa"/>
              <w:bottom w:w="70" w:type="dxa"/>
              <w:right w:w="75" w:type="dxa"/>
            </w:tcMar>
          </w:tcPr>
          <w:p w14:paraId="18B8E437" w14:textId="77777777" w:rsidR="008867B5" w:rsidRDefault="00000000">
            <w:pPr>
              <w:jc w:val="center"/>
            </w:pPr>
            <w:r>
              <w:rPr>
                <w:rFonts w:eastAsia="Times New Roman"/>
                <w:sz w:val="15"/>
              </w:rPr>
              <w:t>0.2332</w:t>
            </w:r>
          </w:p>
        </w:tc>
        <w:tc>
          <w:tcPr>
            <w:tcW w:w="1622" w:type="dxa"/>
            <w:tcMar>
              <w:top w:w="70" w:type="dxa"/>
              <w:left w:w="75" w:type="dxa"/>
              <w:bottom w:w="70" w:type="dxa"/>
              <w:right w:w="75" w:type="dxa"/>
            </w:tcMar>
          </w:tcPr>
          <w:p w14:paraId="0817DC3D" w14:textId="77777777" w:rsidR="008867B5" w:rsidRDefault="00000000">
            <w:pPr>
              <w:jc w:val="center"/>
            </w:pPr>
            <w:r>
              <w:rPr>
                <w:rFonts w:eastAsia="Times New Roman"/>
                <w:sz w:val="15"/>
              </w:rPr>
              <w:t>1.0056</w:t>
            </w:r>
          </w:p>
        </w:tc>
        <w:tc>
          <w:tcPr>
            <w:tcW w:w="1623" w:type="dxa"/>
            <w:tcMar>
              <w:top w:w="70" w:type="dxa"/>
              <w:left w:w="75" w:type="dxa"/>
              <w:bottom w:w="70" w:type="dxa"/>
              <w:right w:w="75" w:type="dxa"/>
            </w:tcMar>
          </w:tcPr>
          <w:p w14:paraId="1668C3DD" w14:textId="77777777" w:rsidR="008867B5" w:rsidRDefault="00000000">
            <w:pPr>
              <w:jc w:val="center"/>
            </w:pPr>
            <w:r>
              <w:rPr>
                <w:rFonts w:eastAsia="Times New Roman"/>
                <w:sz w:val="15"/>
              </w:rPr>
              <w:t>0.1093</w:t>
            </w:r>
          </w:p>
        </w:tc>
      </w:tr>
    </w:tbl>
    <w:p w14:paraId="36F5BC87" w14:textId="77777777" w:rsidR="008867B5" w:rsidRDefault="008867B5">
      <w:pPr>
        <w:spacing w:after="20"/>
      </w:pPr>
    </w:p>
    <w:p w14:paraId="0C4E5665" w14:textId="77777777" w:rsidR="008867B5" w:rsidRDefault="00000000">
      <w:pPr>
        <w:pStyle w:val="Heading1"/>
        <w:spacing w:before="180" w:after="60"/>
      </w:pPr>
      <w:r>
        <w:rPr>
          <w:rFonts w:ascii="Times New Roman" w:eastAsia="Times New Roman" w:hAnsi="Times New Roman"/>
          <w:color w:val="000000"/>
        </w:rPr>
        <w:lastRenderedPageBreak/>
        <w:t>7. Exploratory mechanism analysis</w:t>
      </w:r>
    </w:p>
    <w:p w14:paraId="345521E1" w14:textId="77777777" w:rsidR="008867B5" w:rsidRDefault="00000000">
      <w:pPr>
        <w:spacing w:after="80" w:line="269" w:lineRule="auto"/>
        <w:ind w:firstLine="346"/>
        <w:jc w:val="both"/>
      </w:pPr>
      <w:r>
        <w:t>The analyses in this section were carried out after the confirmatory decision and are treated as exploratory. They are used to understand why the two primary endpoints moved differently; they do not modify the pre-specified verdict or introduce a new success criterion.</w:t>
      </w:r>
    </w:p>
    <w:p w14:paraId="41018FA0" w14:textId="77777777" w:rsidR="008867B5" w:rsidRDefault="00000000">
      <w:pPr>
        <w:pStyle w:val="Heading2"/>
        <w:spacing w:before="120" w:after="60"/>
      </w:pPr>
      <w:r>
        <w:rPr>
          <w:rFonts w:ascii="Times New Roman" w:eastAsia="Times New Roman" w:hAnsi="Times New Roman"/>
          <w:color w:val="000000"/>
        </w:rPr>
        <w:t>7.1 Exact decomposition of total violation</w:t>
      </w:r>
    </w:p>
    <w:p w14:paraId="73EFD3A0" w14:textId="77777777" w:rsidR="008867B5" w:rsidRDefault="00000000">
      <w:pPr>
        <w:spacing w:after="80" w:line="269" w:lineRule="auto"/>
        <w:ind w:firstLine="346"/>
        <w:jc w:val="both"/>
      </w:pPr>
      <w:r>
        <w:t>For Class 0, a total violation consists of one of two mutually exclusive outcomes: the packet is not delivered, or it is delivered after the 90 ms deadline. The attention-minus-MLP difference is -0.027483 for Class-0 loss and -0.003771 for the delivered-late fraction. These components sum to -0.031254, exactly reproducing the confirmatory total-violation difference. In magnitude, about 87.9% of the observed improvement therefore comes from fewer losses rather than from fewer late deliveries. Figure S2 summarizes this decomposition.</w:t>
      </w:r>
    </w:p>
    <w:p w14:paraId="52968D8C" w14:textId="77777777" w:rsidR="008867B5" w:rsidRDefault="00000000">
      <w:pPr>
        <w:keepNext/>
        <w:spacing w:before="40" w:after="100"/>
        <w:jc w:val="center"/>
      </w:pPr>
      <w:r>
        <w:rPr>
          <w:rFonts w:eastAsia="Times New Roman"/>
          <w:i/>
          <w:sz w:val="18"/>
        </w:rPr>
        <w:t>Table 7. Exploratory decomposition of the Class-0 total violation difference.</w:t>
      </w:r>
    </w:p>
    <w:tbl>
      <w:tblPr>
        <w:tblStyle w:val="TableGrid"/>
        <w:tblW w:w="9802" w:type="dxa"/>
        <w:tblInd w:w="110" w:type="dxa"/>
        <w:tblLayout w:type="fixed"/>
        <w:tblCellMar>
          <w:top w:w="75" w:type="dxa"/>
          <w:left w:w="110" w:type="dxa"/>
          <w:bottom w:w="75" w:type="dxa"/>
          <w:right w:w="110" w:type="dxa"/>
        </w:tblCellMar>
        <w:tblLook w:val="04A0" w:firstRow="1" w:lastRow="0" w:firstColumn="1" w:lastColumn="0" w:noHBand="0" w:noVBand="1"/>
      </w:tblPr>
      <w:tblGrid>
        <w:gridCol w:w="2156"/>
        <w:gridCol w:w="3431"/>
        <w:gridCol w:w="4215"/>
      </w:tblGrid>
      <w:tr w:rsidR="008867B5" w14:paraId="0A250711" w14:textId="77777777">
        <w:trPr>
          <w:tblHeader/>
        </w:trPr>
        <w:tc>
          <w:tcPr>
            <w:tcW w:w="2156" w:type="dxa"/>
            <w:shd w:val="clear" w:color="auto" w:fill="D9E2F3"/>
            <w:tcMar>
              <w:top w:w="70" w:type="dxa"/>
              <w:left w:w="75" w:type="dxa"/>
              <w:bottom w:w="70" w:type="dxa"/>
              <w:right w:w="75" w:type="dxa"/>
            </w:tcMar>
          </w:tcPr>
          <w:p w14:paraId="74C10767" w14:textId="77777777" w:rsidR="008867B5" w:rsidRDefault="00000000">
            <w:pPr>
              <w:jc w:val="center"/>
            </w:pPr>
            <w:r>
              <w:rPr>
                <w:rFonts w:eastAsia="Times New Roman"/>
                <w:b/>
                <w:sz w:val="16"/>
              </w:rPr>
              <w:t>Component</w:t>
            </w:r>
          </w:p>
        </w:tc>
        <w:tc>
          <w:tcPr>
            <w:tcW w:w="3431" w:type="dxa"/>
            <w:shd w:val="clear" w:color="auto" w:fill="D9E2F3"/>
            <w:tcMar>
              <w:top w:w="70" w:type="dxa"/>
              <w:left w:w="75" w:type="dxa"/>
              <w:bottom w:w="70" w:type="dxa"/>
              <w:right w:w="75" w:type="dxa"/>
            </w:tcMar>
          </w:tcPr>
          <w:p w14:paraId="2C45E890" w14:textId="77777777" w:rsidR="008867B5" w:rsidRDefault="00000000">
            <w:pPr>
              <w:jc w:val="center"/>
            </w:pPr>
            <w:r>
              <w:rPr>
                <w:rFonts w:eastAsia="Times New Roman"/>
                <w:b/>
                <w:sz w:val="16"/>
              </w:rPr>
              <w:t>Attention - MLP</w:t>
            </w:r>
          </w:p>
        </w:tc>
        <w:tc>
          <w:tcPr>
            <w:tcW w:w="4215" w:type="dxa"/>
            <w:shd w:val="clear" w:color="auto" w:fill="D9E2F3"/>
            <w:tcMar>
              <w:top w:w="70" w:type="dxa"/>
              <w:left w:w="75" w:type="dxa"/>
              <w:bottom w:w="70" w:type="dxa"/>
              <w:right w:w="75" w:type="dxa"/>
            </w:tcMar>
          </w:tcPr>
          <w:p w14:paraId="10F7B69B" w14:textId="77777777" w:rsidR="008867B5" w:rsidRDefault="00000000">
            <w:pPr>
              <w:jc w:val="center"/>
            </w:pPr>
            <w:r>
              <w:rPr>
                <w:rFonts w:eastAsia="Times New Roman"/>
                <w:b/>
                <w:sz w:val="16"/>
              </w:rPr>
              <w:t>Interpretation</w:t>
            </w:r>
          </w:p>
        </w:tc>
      </w:tr>
      <w:tr w:rsidR="008867B5" w14:paraId="645BCC8C" w14:textId="77777777">
        <w:tc>
          <w:tcPr>
            <w:tcW w:w="2156" w:type="dxa"/>
            <w:tcMar>
              <w:top w:w="70" w:type="dxa"/>
              <w:left w:w="75" w:type="dxa"/>
              <w:bottom w:w="70" w:type="dxa"/>
              <w:right w:w="75" w:type="dxa"/>
            </w:tcMar>
          </w:tcPr>
          <w:p w14:paraId="498CD7D7" w14:textId="77777777" w:rsidR="008867B5" w:rsidRDefault="00000000">
            <w:r>
              <w:rPr>
                <w:rFonts w:eastAsia="Times New Roman"/>
                <w:sz w:val="16"/>
              </w:rPr>
              <w:t>Class-0 loss rate</w:t>
            </w:r>
          </w:p>
        </w:tc>
        <w:tc>
          <w:tcPr>
            <w:tcW w:w="3431" w:type="dxa"/>
            <w:tcMar>
              <w:top w:w="70" w:type="dxa"/>
              <w:left w:w="75" w:type="dxa"/>
              <w:bottom w:w="70" w:type="dxa"/>
              <w:right w:w="75" w:type="dxa"/>
            </w:tcMar>
          </w:tcPr>
          <w:p w14:paraId="3B412394" w14:textId="77777777" w:rsidR="008867B5" w:rsidRDefault="00000000">
            <w:pPr>
              <w:jc w:val="center"/>
            </w:pPr>
            <w:r>
              <w:rPr>
                <w:rFonts w:eastAsia="Times New Roman"/>
                <w:sz w:val="16"/>
              </w:rPr>
              <w:t>-0.02748</w:t>
            </w:r>
          </w:p>
        </w:tc>
        <w:tc>
          <w:tcPr>
            <w:tcW w:w="4215" w:type="dxa"/>
            <w:tcMar>
              <w:top w:w="70" w:type="dxa"/>
              <w:left w:w="75" w:type="dxa"/>
              <w:bottom w:w="70" w:type="dxa"/>
              <w:right w:w="75" w:type="dxa"/>
            </w:tcMar>
          </w:tcPr>
          <w:p w14:paraId="4CFEC1C0" w14:textId="77777777" w:rsidR="008867B5" w:rsidRDefault="00000000">
            <w:pPr>
              <w:jc w:val="center"/>
            </w:pPr>
            <w:r>
              <w:rPr>
                <w:rFonts w:eastAsia="Times New Roman"/>
                <w:sz w:val="16"/>
              </w:rPr>
              <w:t>Dominant contributor to lower total violation</w:t>
            </w:r>
          </w:p>
        </w:tc>
      </w:tr>
      <w:tr w:rsidR="008867B5" w14:paraId="024D3893" w14:textId="77777777">
        <w:tc>
          <w:tcPr>
            <w:tcW w:w="2156" w:type="dxa"/>
            <w:tcMar>
              <w:top w:w="70" w:type="dxa"/>
              <w:left w:w="75" w:type="dxa"/>
              <w:bottom w:w="70" w:type="dxa"/>
              <w:right w:w="75" w:type="dxa"/>
            </w:tcMar>
          </w:tcPr>
          <w:p w14:paraId="30C302FB" w14:textId="77777777" w:rsidR="008867B5" w:rsidRDefault="00000000">
            <w:r>
              <w:rPr>
                <w:rFonts w:eastAsia="Times New Roman"/>
                <w:sz w:val="16"/>
              </w:rPr>
              <w:t>Delivered-late Class-0 fraction</w:t>
            </w:r>
          </w:p>
        </w:tc>
        <w:tc>
          <w:tcPr>
            <w:tcW w:w="3431" w:type="dxa"/>
            <w:tcMar>
              <w:top w:w="70" w:type="dxa"/>
              <w:left w:w="75" w:type="dxa"/>
              <w:bottom w:w="70" w:type="dxa"/>
              <w:right w:w="75" w:type="dxa"/>
            </w:tcMar>
          </w:tcPr>
          <w:p w14:paraId="44563525" w14:textId="77777777" w:rsidR="008867B5" w:rsidRDefault="00000000">
            <w:pPr>
              <w:jc w:val="center"/>
            </w:pPr>
            <w:r>
              <w:rPr>
                <w:rFonts w:eastAsia="Times New Roman"/>
                <w:sz w:val="16"/>
              </w:rPr>
              <w:t>-0.00377</w:t>
            </w:r>
          </w:p>
        </w:tc>
        <w:tc>
          <w:tcPr>
            <w:tcW w:w="4215" w:type="dxa"/>
            <w:tcMar>
              <w:top w:w="70" w:type="dxa"/>
              <w:left w:w="75" w:type="dxa"/>
              <w:bottom w:w="70" w:type="dxa"/>
              <w:right w:w="75" w:type="dxa"/>
            </w:tcMar>
          </w:tcPr>
          <w:p w14:paraId="3A419DBD" w14:textId="77777777" w:rsidR="008867B5" w:rsidRDefault="00000000">
            <w:pPr>
              <w:jc w:val="center"/>
            </w:pPr>
            <w:r>
              <w:rPr>
                <w:rFonts w:eastAsia="Times New Roman"/>
                <w:sz w:val="16"/>
              </w:rPr>
              <w:t>Small difference; exploratory CI includes zero</w:t>
            </w:r>
          </w:p>
        </w:tc>
      </w:tr>
      <w:tr w:rsidR="008867B5" w14:paraId="151872A0" w14:textId="77777777">
        <w:tc>
          <w:tcPr>
            <w:tcW w:w="2156" w:type="dxa"/>
            <w:tcMar>
              <w:top w:w="70" w:type="dxa"/>
              <w:left w:w="75" w:type="dxa"/>
              <w:bottom w:w="70" w:type="dxa"/>
              <w:right w:w="75" w:type="dxa"/>
            </w:tcMar>
          </w:tcPr>
          <w:p w14:paraId="67801BDE" w14:textId="77777777" w:rsidR="008867B5" w:rsidRDefault="00000000">
            <w:r>
              <w:rPr>
                <w:rFonts w:eastAsia="Times New Roman"/>
                <w:sz w:val="16"/>
              </w:rPr>
              <w:t>Total Class-0 violation</w:t>
            </w:r>
          </w:p>
        </w:tc>
        <w:tc>
          <w:tcPr>
            <w:tcW w:w="3431" w:type="dxa"/>
            <w:tcMar>
              <w:top w:w="70" w:type="dxa"/>
              <w:left w:w="75" w:type="dxa"/>
              <w:bottom w:w="70" w:type="dxa"/>
              <w:right w:w="75" w:type="dxa"/>
            </w:tcMar>
          </w:tcPr>
          <w:p w14:paraId="38BA03E5" w14:textId="77777777" w:rsidR="008867B5" w:rsidRDefault="00000000">
            <w:pPr>
              <w:jc w:val="center"/>
            </w:pPr>
            <w:r>
              <w:rPr>
                <w:rFonts w:eastAsia="Times New Roman"/>
                <w:sz w:val="16"/>
              </w:rPr>
              <w:t>-0.03125</w:t>
            </w:r>
          </w:p>
        </w:tc>
        <w:tc>
          <w:tcPr>
            <w:tcW w:w="4215" w:type="dxa"/>
            <w:tcMar>
              <w:top w:w="70" w:type="dxa"/>
              <w:left w:w="75" w:type="dxa"/>
              <w:bottom w:w="70" w:type="dxa"/>
              <w:right w:w="75" w:type="dxa"/>
            </w:tcMar>
          </w:tcPr>
          <w:p w14:paraId="5334366A" w14:textId="77777777" w:rsidR="008867B5" w:rsidRDefault="00000000">
            <w:pPr>
              <w:jc w:val="center"/>
            </w:pPr>
            <w:r>
              <w:rPr>
                <w:rFonts w:eastAsia="Times New Roman"/>
                <w:sz w:val="16"/>
              </w:rPr>
              <w:t>Confirmatory co-primary effect</w:t>
            </w:r>
          </w:p>
        </w:tc>
      </w:tr>
    </w:tbl>
    <w:p w14:paraId="65F2301A" w14:textId="77777777" w:rsidR="008867B5" w:rsidRDefault="008867B5">
      <w:pPr>
        <w:spacing w:after="20"/>
      </w:pPr>
    </w:p>
    <w:p w14:paraId="172C3655" w14:textId="77777777" w:rsidR="008867B5" w:rsidRDefault="00000000">
      <w:pPr>
        <w:pStyle w:val="Heading2"/>
        <w:spacing w:before="120" w:after="60"/>
      </w:pPr>
      <w:r>
        <w:rPr>
          <w:rFonts w:ascii="Times New Roman" w:eastAsia="Times New Roman" w:hAnsi="Times New Roman"/>
          <w:color w:val="000000"/>
        </w:rPr>
        <w:t>7.2 Route-length composition and survivor bias</w:t>
      </w:r>
    </w:p>
    <w:p w14:paraId="162D090A" w14:textId="77777777" w:rsidR="008867B5" w:rsidRDefault="00000000">
      <w:pPr>
        <w:spacing w:after="80" w:line="269" w:lineRule="auto"/>
        <w:ind w:firstLine="346"/>
        <w:jc w:val="both"/>
      </w:pPr>
      <w:r>
        <w:rPr>
          <w:rFonts w:eastAsia="Times New Roman"/>
        </w:rPr>
        <w:t>Figure 5 shows the route-length composition. Among delivered Class-0 packets, attention increases the per-seed mean hop count by about 0.0648 and the three-hop share by about 0.0458. Within a fixed hop count, pooled delivered delays are not higher for attention: 30.083 versus 30.136 ms at one hop, 60.926 versus 62.098 ms at two hops, and 90.196 versus 96.368 ms at three hops. The larger difference is in route composition: attention delivers 186 three-hop Class-0 packets, whereas the MLP delivers 75.</w:t>
      </w:r>
    </w:p>
    <w:p w14:paraId="58C073E9" w14:textId="77777777" w:rsidR="008867B5" w:rsidRDefault="00000000">
      <w:pPr>
        <w:keepNext/>
        <w:spacing w:after="20"/>
        <w:jc w:val="center"/>
      </w:pPr>
      <w:r>
        <w:rPr>
          <w:noProof/>
        </w:rPr>
        <w:drawing>
          <wp:inline distT="0" distB="0" distL="0" distR="0" wp14:anchorId="6D4B65FB" wp14:editId="00944B3E">
            <wp:extent cx="5440680" cy="33481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Hop_composition_profile_journal.png"/>
                    <pic:cNvPicPr/>
                  </pic:nvPicPr>
                  <pic:blipFill>
                    <a:blip r:embed="rId12"/>
                    <a:stretch>
                      <a:fillRect/>
                    </a:stretch>
                  </pic:blipFill>
                  <pic:spPr>
                    <a:xfrm>
                      <a:off x="0" y="0"/>
                      <a:ext cx="5440680" cy="3348111"/>
                    </a:xfrm>
                    <a:prstGeom prst="rect">
                      <a:avLst/>
                    </a:prstGeom>
                  </pic:spPr>
                </pic:pic>
              </a:graphicData>
            </a:graphic>
          </wp:inline>
        </w:drawing>
      </w:r>
    </w:p>
    <w:p w14:paraId="6A2BA315" w14:textId="77777777" w:rsidR="008867B5" w:rsidRDefault="00000000">
      <w:pPr>
        <w:spacing w:before="40" w:after="100"/>
        <w:jc w:val="center"/>
      </w:pPr>
      <w:r>
        <w:rPr>
          <w:rFonts w:eastAsia="Times New Roman"/>
          <w:i/>
          <w:color w:val="000000"/>
          <w:sz w:val="18"/>
        </w:rPr>
        <w:t>Fig. 5. Route-length composition of delivered Class-0 packets.</w:t>
      </w:r>
    </w:p>
    <w:p w14:paraId="271C5CFC" w14:textId="77777777" w:rsidR="008867B5" w:rsidRDefault="00000000">
      <w:pPr>
        <w:spacing w:after="80" w:line="269" w:lineRule="auto"/>
        <w:ind w:firstLine="346"/>
        <w:jc w:val="both"/>
      </w:pPr>
      <w:r>
        <w:t xml:space="preserve">The pooled delivered means are 52.19 ms for attention and 51.26 ms for the MLP. Reweighting attention’s within-hop means with the MLP hop proportions gives 50.35 ms. This calculation is consistent with route composition contributing to the observed delay difference. It does not establish that attention causally improves </w:t>
      </w:r>
      <w:r>
        <w:lastRenderedPageBreak/>
        <w:t>delay within comparable packets: the delivered populations differ, and the reweighting is neither randomized nor a mediation analysis.</w:t>
      </w:r>
    </w:p>
    <w:p w14:paraId="0627E8CC" w14:textId="77777777" w:rsidR="008867B5" w:rsidRDefault="00000000">
      <w:pPr>
        <w:pStyle w:val="Heading2"/>
        <w:spacing w:before="120" w:after="60"/>
      </w:pPr>
      <w:r>
        <w:rPr>
          <w:rFonts w:ascii="Times New Roman" w:eastAsia="Times New Roman" w:hAnsi="Times New Roman"/>
          <w:color w:val="000000"/>
        </w:rPr>
        <w:t>7.3 Security-drop pattern</w:t>
      </w:r>
    </w:p>
    <w:p w14:paraId="441A84E5" w14:textId="77777777" w:rsidR="008867B5" w:rsidRDefault="00000000">
      <w:pPr>
        <w:spacing w:after="80" w:line="269" w:lineRule="auto"/>
        <w:ind w:firstLine="346"/>
        <w:jc w:val="both"/>
      </w:pPr>
      <w:r>
        <w:t>The overall security-drop rate is 0.0308 for attention and 0.0649 for the MLP, and the paired Class-0 delivery difference is approximately +0.0275. These descriptive results are consistent with greater use of lower-risk forwarding opportunities. The logs do not identify which individual packets would have survived under both policies, so they cannot establish a causal path from risk scoring to route length and delay.</w:t>
      </w:r>
    </w:p>
    <w:p w14:paraId="4869142A" w14:textId="77777777" w:rsidR="008867B5" w:rsidRDefault="00000000">
      <w:pPr>
        <w:pStyle w:val="Heading1"/>
        <w:spacing w:before="180" w:after="60"/>
      </w:pPr>
      <w:r>
        <w:rPr>
          <w:rFonts w:ascii="Times New Roman" w:hAnsi="Times New Roman"/>
          <w:color w:val="000000"/>
        </w:rPr>
        <w:t>8. Development-only residual-slack sensitivity</w:t>
      </w:r>
    </w:p>
    <w:p w14:paraId="02377A56" w14:textId="77777777" w:rsidR="008867B5" w:rsidRDefault="00000000">
      <w:pPr>
        <w:spacing w:after="80" w:line="269" w:lineRule="auto"/>
        <w:ind w:firstLine="346"/>
        <w:jc w:val="both"/>
      </w:pPr>
      <w:r>
        <w:t>After AF-v3 E1, we fixed a separate AF-v4 development protocol and evaluated two residual-slack attention variants against a state-matched slack-aware MLP on 20 fresh seeds. Neither met the selection criteria. The candidate-minus-MLP Class-0 mean-delay differences were +3.226 ms for the slack-feature model and +1.628 ms for the slack-monotone model, although both delivery and energy guardrails passed. No candidate was selected, and the 30 reserved AF-v4 confirmatory seeds remained unused. Supplementary Note S1 reports the criteria, intervals, and decision.</w:t>
      </w:r>
    </w:p>
    <w:p w14:paraId="255CD803" w14:textId="77777777" w:rsidR="008867B5" w:rsidRDefault="008867B5">
      <w:pPr>
        <w:spacing w:after="20"/>
      </w:pPr>
    </w:p>
    <w:p w14:paraId="75D7A95B" w14:textId="77777777" w:rsidR="008867B5" w:rsidRDefault="00000000">
      <w:pPr>
        <w:pStyle w:val="Heading1"/>
        <w:spacing w:before="180" w:after="60"/>
      </w:pPr>
      <w:r>
        <w:rPr>
          <w:rFonts w:ascii="Times New Roman" w:eastAsia="Times New Roman" w:hAnsi="Times New Roman"/>
          <w:color w:val="000000"/>
        </w:rPr>
        <w:t>9. Discussion</w:t>
      </w:r>
    </w:p>
    <w:p w14:paraId="6D88F6BA" w14:textId="77777777" w:rsidR="008867B5" w:rsidRDefault="00000000">
      <w:pPr>
        <w:pStyle w:val="Heading2"/>
        <w:spacing w:before="120" w:after="60"/>
      </w:pPr>
      <w:r>
        <w:rPr>
          <w:rFonts w:ascii="Times New Roman" w:hAnsi="Times New Roman"/>
          <w:color w:val="000000"/>
        </w:rPr>
        <w:t>9.1 Reliability and delivered-packet delay</w:t>
      </w:r>
    </w:p>
    <w:p w14:paraId="3A6E2259" w14:textId="77777777" w:rsidR="008867B5" w:rsidRDefault="00000000">
      <w:pPr>
        <w:spacing w:after="80" w:line="269" w:lineRule="auto"/>
        <w:ind w:firstLine="346"/>
        <w:jc w:val="both"/>
      </w:pPr>
      <w:r>
        <w:t>In the tested 100-node mixed-attack setting, LA-CPPO lowered Class-0 total violations relative to the fixed-slot MLP under the same training budget. Both the Holm-adjusted paired t-test and the Wilcoxon sensitivity analysis supported this endpoint, and the delivery and energy guardrails passed. Because non-delivery counts as a violation, the improvement chiefly reflects a useful reliability gain.</w:t>
      </w:r>
    </w:p>
    <w:p w14:paraId="2E289603" w14:textId="77777777" w:rsidR="008867B5" w:rsidRDefault="00000000">
      <w:pPr>
        <w:spacing w:after="80" w:line="269" w:lineRule="auto"/>
        <w:ind w:firstLine="346"/>
        <w:jc w:val="both"/>
      </w:pPr>
      <w:r>
        <w:t>Passing the relative guardrails does not imply that the absolute class budgets were met. The across-seed Class-0 total-violation and loss rates under attention were 0.1242 and 0.0480, respectively, against budgets of 0.015 for each channel. Class-1 rates also exceeded their 0.04 budgets. Supplementary Table S2 reports all six descriptive rates. The finite-budget Lagrangian training procedure therefore did not establish empirical constraint satisfaction in the evaluated setting.</w:t>
      </w:r>
    </w:p>
    <w:p w14:paraId="660FB739" w14:textId="77777777" w:rsidR="008867B5" w:rsidRDefault="00000000">
      <w:pPr>
        <w:spacing w:after="80" w:line="269" w:lineRule="auto"/>
        <w:ind w:firstLine="346"/>
        <w:jc w:val="both"/>
      </w:pPr>
      <w:r>
        <w:t>Attention had a numerically higher mean delivered delay, with a confidence interval spanning zero, and the joint success criterion failed. Mean delay among delivered packets can favor a policy that loses the more difficult traffic. The reliability gain must therefore be read alongside this unsuccessful delay endpoint.</w:t>
      </w:r>
    </w:p>
    <w:p w14:paraId="03F4E026" w14:textId="77777777" w:rsidR="008867B5" w:rsidRDefault="00000000">
      <w:pPr>
        <w:pStyle w:val="Heading2"/>
        <w:spacing w:before="120" w:after="60"/>
      </w:pPr>
      <w:r>
        <w:rPr>
          <w:rFonts w:ascii="Times New Roman" w:eastAsia="Times New Roman" w:hAnsi="Times New Roman"/>
          <w:color w:val="000000"/>
        </w:rPr>
        <w:t>9.2 Representation-level interpretation</w:t>
      </w:r>
    </w:p>
    <w:p w14:paraId="6447CE7F" w14:textId="77777777" w:rsidR="008867B5" w:rsidRDefault="00000000">
      <w:pPr>
        <w:spacing w:after="80" w:line="269" w:lineRule="auto"/>
        <w:ind w:firstLine="346"/>
        <w:jc w:val="both"/>
      </w:pPr>
      <w:r>
        <w:t>The fixed-slot MLP can use deterministic candidate rank as a cue. The shared attention model has no equivalent slot-specific parameters. Route-composition and security-drop patterns suggest that the two implementations use candidate information differently, but unequal parameter counts prevent an attribution to attention at equal capacity. The unsuccessful AF-v4 refinement also shows that the tested residual-slack additions did not remove the delay trade-off.</w:t>
      </w:r>
    </w:p>
    <w:p w14:paraId="31C9BCEC" w14:textId="77777777" w:rsidR="008867B5" w:rsidRDefault="00000000">
      <w:pPr>
        <w:pStyle w:val="Heading2"/>
        <w:spacing w:before="120" w:after="60"/>
      </w:pPr>
      <w:r>
        <w:rPr>
          <w:rFonts w:ascii="Times New Roman" w:eastAsia="Times New Roman" w:hAnsi="Times New Roman"/>
          <w:color w:val="000000"/>
        </w:rPr>
        <w:t>9.3 Implications for evaluation of learned routing</w:t>
      </w:r>
    </w:p>
    <w:p w14:paraId="23617AF5" w14:textId="77777777" w:rsidR="008867B5" w:rsidRDefault="00000000">
      <w:pPr>
        <w:spacing w:after="80" w:line="269" w:lineRule="auto"/>
        <w:ind w:firstLine="346"/>
        <w:jc w:val="both"/>
      </w:pPr>
      <w:r>
        <w:t>Loss, delivered-packet delay, and total violations need to be reported together when evaluating learned routing. Holding state content and masks constant helps interpret an architectural comparison, while prespecified guardrails state how much deterioration in delivery or energy is acceptable. Effect sizes, confidence intervals, multiplicity control, and the reporting of failed endpoints make the limits of a local performance result clear.</w:t>
      </w:r>
    </w:p>
    <w:p w14:paraId="6DB6DEF2" w14:textId="77777777" w:rsidR="008867B5" w:rsidRDefault="00000000">
      <w:pPr>
        <w:pStyle w:val="Heading2"/>
        <w:spacing w:before="120" w:after="60"/>
      </w:pPr>
      <w:r>
        <w:rPr>
          <w:rFonts w:ascii="Times New Roman" w:eastAsia="Times New Roman" w:hAnsi="Times New Roman"/>
          <w:color w:val="000000"/>
        </w:rPr>
        <w:t>9.4 Scope relative to current literature</w:t>
      </w:r>
    </w:p>
    <w:p w14:paraId="1B93D0DE" w14:textId="77777777" w:rsidR="008867B5" w:rsidRDefault="00000000">
      <w:pPr>
        <w:spacing w:after="80" w:line="269" w:lineRule="auto"/>
        <w:ind w:firstLine="346"/>
        <w:jc w:val="both"/>
      </w:pPr>
      <w:r>
        <w:t xml:space="preserve">Recent work combines DRL, attention, graph representations, trust, and federated learning in many routing settings [15–26]. LA-CPPO’s contribution lies in its explicit local candidate-set formulation and its evaluation: an </w:t>
      </w:r>
      <w:r>
        <w:lastRenderedPageBreak/>
        <w:t>equivariant actor and invariant critic conditioned on QoS debt and online posterior risk, compared with a state-matched MLP under a fixed protocol. The present experiment establishes neither priority over all related architectures nor state-of-the-art performance.</w:t>
      </w:r>
    </w:p>
    <w:p w14:paraId="10C09E28" w14:textId="77777777" w:rsidR="008867B5" w:rsidRDefault="00000000">
      <w:pPr>
        <w:pStyle w:val="Heading1"/>
        <w:spacing w:before="180" w:after="60"/>
      </w:pPr>
      <w:r>
        <w:rPr>
          <w:rFonts w:ascii="Times New Roman" w:hAnsi="Times New Roman"/>
          <w:color w:val="000000"/>
        </w:rPr>
        <w:t>10. Study limitations</w:t>
      </w:r>
    </w:p>
    <w:p w14:paraId="48801F46" w14:textId="77777777" w:rsidR="008867B5" w:rsidRDefault="00000000">
      <w:pPr>
        <w:keepLines/>
        <w:spacing w:after="80" w:line="269" w:lineRule="auto"/>
        <w:ind w:firstLine="346"/>
        <w:jc w:val="both"/>
      </w:pPr>
      <w:r>
        <w:rPr>
          <w:rFonts w:eastAsia="Times New Roman" w:cs="Times New Roman"/>
          <w:color w:val="000000"/>
        </w:rPr>
        <w:t>The confirmatory evidence comes entirely from simulation and from a single nominal setting of 100 nodes in a 150 m × 150 m area. It should not be read as evidence of field-deployment performance.</w:t>
      </w:r>
    </w:p>
    <w:p w14:paraId="763CA9DA" w14:textId="77777777" w:rsidR="008867B5" w:rsidRDefault="00000000">
      <w:pPr>
        <w:keepLines/>
        <w:spacing w:after="80" w:line="269" w:lineRule="auto"/>
        <w:ind w:firstLine="346"/>
        <w:jc w:val="both"/>
      </w:pPr>
      <w:r>
        <w:rPr>
          <w:rFonts w:eastAsia="Times New Roman" w:cs="Times New Roman"/>
          <w:color w:val="000000"/>
        </w:rPr>
        <w:t>The primary threat model fixes a 25% mixed-attack setting. Attack-diversity experiments were planned only after strict confirmatory success and were not run, so robustness to different attack prevalence or mixtures remains unknown.</w:t>
      </w:r>
    </w:p>
    <w:p w14:paraId="104CFFD7" w14:textId="77777777" w:rsidR="008867B5" w:rsidRDefault="00000000">
      <w:pPr>
        <w:keepLines/>
        <w:spacing w:after="80" w:line="269" w:lineRule="auto"/>
        <w:ind w:firstLine="346"/>
        <w:jc w:val="both"/>
      </w:pPr>
      <w:r>
        <w:rPr>
          <w:rFonts w:eastAsia="Times New Roman" w:cs="Times New Roman"/>
          <w:color w:val="000000"/>
        </w:rPr>
        <w:t>Network-size transfer and deployment-overhead experiments were likewise conditional on the confirmatory gate and were not run. Node-ID independence is a structural property of the model, not empirical proof of scalability.</w:t>
      </w:r>
    </w:p>
    <w:p w14:paraId="74FFA74E" w14:textId="77777777" w:rsidR="008867B5" w:rsidRDefault="00000000">
      <w:pPr>
        <w:keepLines/>
        <w:spacing w:after="80" w:line="269" w:lineRule="auto"/>
        <w:ind w:firstLine="346"/>
        <w:jc w:val="both"/>
      </w:pPr>
      <w:r>
        <w:rPr>
          <w:rFonts w:eastAsia="Times New Roman" w:cs="Times New Roman"/>
          <w:color w:val="000000"/>
        </w:rPr>
        <w:t>We use the Beta model to supply forwarding-risk context. It is not a validated intrusion detector: its uncertainty score has not been calibrated against real attack observations, and this study does not estimate intrusion-detection accuracy.</w:t>
      </w:r>
    </w:p>
    <w:p w14:paraId="0EC25120" w14:textId="77777777" w:rsidR="008867B5" w:rsidRDefault="00000000">
      <w:pPr>
        <w:keepLines/>
        <w:spacing w:after="80" w:line="269" w:lineRule="auto"/>
        <w:ind w:firstLine="346"/>
        <w:jc w:val="both"/>
      </w:pPr>
      <w:r>
        <w:rPr>
          <w:rFonts w:eastAsia="Times New Roman" w:cs="Times New Roman"/>
          <w:color w:val="000000"/>
        </w:rPr>
        <w:t>AF-v4 is development evidence only. It is kept separate from the AF-v3 confirmatory sample and is not used to redefine the primary endpoint or enlarge the inferential sample.</w:t>
      </w:r>
    </w:p>
    <w:p w14:paraId="4FAF00C8" w14:textId="77777777" w:rsidR="008867B5" w:rsidRDefault="00000000">
      <w:pPr>
        <w:keepLines/>
        <w:spacing w:after="80" w:line="269" w:lineRule="auto"/>
        <w:ind w:firstLine="346"/>
        <w:jc w:val="both"/>
      </w:pPr>
      <w:r>
        <w:rPr>
          <w:rFonts w:eastAsia="Times New Roman" w:cs="Times New Roman"/>
          <w:color w:val="000000"/>
        </w:rPr>
        <w:t>Candidate preselection still relies on a hand-designed score. Both learning arms receive the same ranked candidate set, which keeps the primary comparison aligned, but this study does not isolate the effect of the preselection rule itself.</w:t>
      </w:r>
    </w:p>
    <w:p w14:paraId="07BDCF6D" w14:textId="77777777" w:rsidR="008867B5" w:rsidRDefault="00000000">
      <w:pPr>
        <w:keepLines/>
        <w:spacing w:after="80" w:line="269" w:lineRule="auto"/>
        <w:ind w:firstLine="346"/>
        <w:jc w:val="both"/>
      </w:pPr>
      <w:r>
        <w:rPr>
          <w:rFonts w:eastAsia="Times New Roman" w:cs="Times New Roman"/>
          <w:color w:val="000000"/>
        </w:rPr>
        <w:t>The seed-paired experiment aligns initial stochastic conditions but does not replay an identical exogenous event trace across policies. Policy-dependent random-number consumption can therefore make later traffic, radio, or attack events diverge. This limits a strict common-random-number causal interpretation and should be addressed with split random streams or event replay in future replication.</w:t>
      </w:r>
    </w:p>
    <w:p w14:paraId="17CB491D" w14:textId="77777777" w:rsidR="008867B5" w:rsidRDefault="00000000">
      <w:pPr>
        <w:keepLines/>
        <w:spacing w:after="80" w:line="269" w:lineRule="auto"/>
        <w:ind w:firstLine="346"/>
        <w:jc w:val="both"/>
      </w:pPr>
      <w:r>
        <w:rPr>
          <w:rFonts w:eastAsia="Times New Roman" w:cs="Times New Roman"/>
          <w:color w:val="000000"/>
        </w:rPr>
        <w:t>The MLP is matched on state content and training budget, not on trainable parameter count. The reported effects therefore apply to the two pre-specified implementations and should not be interpreted as a capacity-controlled estimate of representation alone.</w:t>
      </w:r>
    </w:p>
    <w:p w14:paraId="6CC0A012" w14:textId="77777777" w:rsidR="008867B5" w:rsidRDefault="00000000">
      <w:pPr>
        <w:pStyle w:val="Heading1"/>
        <w:spacing w:before="180" w:after="60"/>
      </w:pPr>
      <w:r>
        <w:rPr>
          <w:rFonts w:ascii="Times New Roman" w:eastAsia="Times New Roman" w:hAnsi="Times New Roman" w:cs="Times New Roman"/>
          <w:color w:val="000000"/>
        </w:rPr>
        <w:t>11. Reproducibility record</w:t>
      </w:r>
    </w:p>
    <w:p w14:paraId="34C9B7C5" w14:textId="77777777" w:rsidR="008867B5" w:rsidRDefault="00000000">
      <w:pPr>
        <w:spacing w:after="80" w:line="269" w:lineRule="auto"/>
        <w:ind w:firstLine="346"/>
        <w:jc w:val="both"/>
      </w:pPr>
      <w:r>
        <w:t>The accompanying package provides the AF-v3 and AF-v4 source snapshots, configurations, protocols, seed lists, complete retrieved outputs, and code to recompute the reported summaries and figures. Source commits and workflow identifiers, together with original archive digests and file checksums, trace each result to its origin. Training logs are available, but the retrieved artifacts contain no saved model checkpoints or per-hop energy traces. Reproducing training therefore requires rerunning the supplied experiment scripts. The present review recomputes the results from recorded outputs.</w:t>
      </w:r>
    </w:p>
    <w:p w14:paraId="399BC354" w14:textId="77777777" w:rsidR="008867B5" w:rsidRDefault="00000000">
      <w:pPr>
        <w:pStyle w:val="Heading1"/>
        <w:spacing w:before="180" w:after="60"/>
      </w:pPr>
      <w:r>
        <w:rPr>
          <w:rFonts w:ascii="Times New Roman" w:eastAsia="Times New Roman" w:hAnsi="Times New Roman"/>
          <w:color w:val="000000"/>
        </w:rPr>
        <w:t>12. Conclusion</w:t>
      </w:r>
    </w:p>
    <w:p w14:paraId="27A1414A" w14:textId="77777777" w:rsidR="008867B5" w:rsidRDefault="00000000">
      <w:pPr>
        <w:spacing w:after="80" w:line="269" w:lineRule="auto"/>
        <w:ind w:firstLine="346"/>
        <w:jc w:val="both"/>
      </w:pPr>
      <w:r>
        <w:t>LA-CPPO combines a candidate-equivariant local actor, invariant critics, class-specific QoS debt, and online forwarding-risk estimates. In the prespecified 30-seed comparison, it reduced Class-0 total violations and passed delivery and energy guardrails, but did not improve Class-0 mean delivered delay. The joint superiority hypothesis was not confirmed. Exploratory analysis attributed most of the violation reduction to fewer losses and associated the delay pattern with a larger share of delivered three-hop packets. A separate residual-slack refinement failed its development gate. The supported conclusion is a reliability benefit under the tested conditions, accompanied by a reliability–latency trade-off.</w:t>
      </w:r>
    </w:p>
    <w:p w14:paraId="70526A34" w14:textId="77777777" w:rsidR="008867B5" w:rsidRDefault="00000000">
      <w:pPr>
        <w:pStyle w:val="Heading1"/>
        <w:spacing w:before="180" w:after="60"/>
      </w:pPr>
      <w:r>
        <w:rPr>
          <w:rFonts w:ascii="Times New Roman" w:eastAsia="Times New Roman" w:hAnsi="Times New Roman"/>
          <w:color w:val="000000"/>
        </w:rPr>
        <w:lastRenderedPageBreak/>
        <w:t>Declarations</w:t>
      </w:r>
    </w:p>
    <w:p w14:paraId="24C1412E" w14:textId="77777777" w:rsidR="008867B5" w:rsidRDefault="00000000">
      <w:pPr>
        <w:spacing w:after="80" w:line="269" w:lineRule="auto"/>
        <w:jc w:val="both"/>
      </w:pPr>
      <w:r w:rsidRPr="009E59DE">
        <w:rPr>
          <w:rFonts w:eastAsia="Times New Roman"/>
          <w:b/>
          <w:bCs/>
        </w:rPr>
        <w:t>Conflict of interest:</w:t>
      </w:r>
      <w:r>
        <w:rPr>
          <w:rFonts w:eastAsia="Times New Roman"/>
        </w:rPr>
        <w:t xml:space="preserve"> The authors declare that they have no known competing financial interests or personal relationships that could have appeared to influence the work reported in this paper.</w:t>
      </w:r>
    </w:p>
    <w:p w14:paraId="24EE57F5" w14:textId="77777777" w:rsidR="008867B5" w:rsidRDefault="00000000">
      <w:pPr>
        <w:spacing w:after="80" w:line="269" w:lineRule="auto"/>
        <w:jc w:val="both"/>
      </w:pPr>
      <w:r w:rsidRPr="009E59DE">
        <w:rPr>
          <w:rFonts w:eastAsia="Times New Roman"/>
          <w:b/>
          <w:bCs/>
        </w:rPr>
        <w:t>Funding:</w:t>
      </w:r>
      <w:r>
        <w:rPr>
          <w:rFonts w:eastAsia="Times New Roman"/>
        </w:rPr>
        <w:t xml:space="preserve"> No external funding is declared for this study.</w:t>
      </w:r>
    </w:p>
    <w:p w14:paraId="66B1081A" w14:textId="77777777" w:rsidR="008867B5" w:rsidRDefault="00000000">
      <w:pPr>
        <w:spacing w:after="80" w:line="269" w:lineRule="auto"/>
        <w:jc w:val="both"/>
      </w:pPr>
      <w:r>
        <w:rPr>
          <w:rFonts w:eastAsia="Times New Roman"/>
        </w:rPr>
        <w:t>Ethics approval: Not applicable. This simulation study involves no human participants, animals, clinical data, or identifiable personal data.</w:t>
      </w:r>
    </w:p>
    <w:p w14:paraId="3090ACD5" w14:textId="77777777" w:rsidR="008867B5" w:rsidRDefault="00000000">
      <w:pPr>
        <w:spacing w:after="80" w:line="269" w:lineRule="auto"/>
        <w:jc w:val="both"/>
      </w:pPr>
      <w:r w:rsidRPr="009E59DE">
        <w:rPr>
          <w:rFonts w:eastAsia="Times New Roman"/>
          <w:b/>
          <w:bCs/>
        </w:rPr>
        <w:t>Data and code availability</w:t>
      </w:r>
      <w:r>
        <w:t>: The reproducibility package includes the AF-v3 confirmatory and AF-v4 development outputs, the source for both stages, plotting and verification scripts, and provenance records. Access to the working repository is controlled. The authors intend to deposit a public archival version with a permanent identifier before final publication.</w:t>
      </w:r>
    </w:p>
    <w:p w14:paraId="3943239F" w14:textId="03D7D94A" w:rsidR="008867B5" w:rsidRDefault="00000000">
      <w:pPr>
        <w:spacing w:after="80" w:line="269" w:lineRule="auto"/>
        <w:jc w:val="both"/>
      </w:pPr>
      <w:r w:rsidRPr="009E59DE">
        <w:rPr>
          <w:rFonts w:eastAsia="Times New Roman"/>
          <w:b/>
          <w:bCs/>
        </w:rPr>
        <w:t>C</w:t>
      </w:r>
      <w:r w:rsidR="00D556B0">
        <w:rPr>
          <w:rFonts w:eastAsia="Times New Roman"/>
          <w:b/>
          <w:bCs/>
        </w:rPr>
        <w:t>redit</w:t>
      </w:r>
      <w:r w:rsidRPr="009E59DE">
        <w:rPr>
          <w:rFonts w:eastAsia="Times New Roman"/>
          <w:b/>
          <w:bCs/>
        </w:rPr>
        <w:t xml:space="preserve"> author statement:</w:t>
      </w:r>
      <w:r>
        <w:rPr>
          <w:rFonts w:eastAsia="Times New Roman"/>
        </w:rPr>
        <w:t xml:space="preserve"> Shivam Bhardwaj: Conceptualization, methodology, software, investigation, formal analysis, visualization, writing - original draft. Jitendra Nath Srivastava: Supervision, validation, writing - review and editing. Akash Sanghi: Supervision, validation, writing - review and editing.</w:t>
      </w:r>
    </w:p>
    <w:p w14:paraId="5FBA6619" w14:textId="77777777" w:rsidR="008867B5" w:rsidRDefault="00000000">
      <w:pPr>
        <w:pStyle w:val="Heading2"/>
        <w:spacing w:before="120" w:after="60"/>
      </w:pPr>
      <w:r>
        <w:rPr>
          <w:rFonts w:ascii="Times New Roman" w:eastAsia="Times New Roman" w:hAnsi="Times New Roman"/>
          <w:color w:val="000000"/>
        </w:rPr>
        <w:t>Declaration of generative AI and AI-assisted technologies in the manuscript preparation process</w:t>
      </w:r>
    </w:p>
    <w:p w14:paraId="0CEBB709" w14:textId="327A1138" w:rsidR="008867B5" w:rsidRDefault="00000000">
      <w:pPr>
        <w:spacing w:after="80" w:line="269" w:lineRule="auto"/>
        <w:jc w:val="both"/>
      </w:pPr>
      <w:r>
        <w:t>The authors used  OpenAI to help edit the language, They reviewed all scientific decisions, analyses, code checks, references, and final text, and take full responsibility for the manuscript.</w:t>
      </w:r>
    </w:p>
    <w:p w14:paraId="49D9819A" w14:textId="77777777" w:rsidR="008867B5" w:rsidRDefault="00000000">
      <w:pPr>
        <w:pStyle w:val="Heading1"/>
        <w:spacing w:before="180" w:after="60"/>
      </w:pPr>
      <w:r>
        <w:rPr>
          <w:rFonts w:ascii="Times New Roman" w:eastAsia="Times New Roman" w:hAnsi="Times New Roman"/>
          <w:color w:val="000000"/>
        </w:rPr>
        <w:t>References</w:t>
      </w:r>
    </w:p>
    <w:p w14:paraId="384DC6AA" w14:textId="77777777" w:rsidR="008867B5" w:rsidRDefault="00000000">
      <w:pPr>
        <w:spacing w:after="20" w:line="240" w:lineRule="auto"/>
        <w:ind w:left="374" w:hanging="374"/>
      </w:pPr>
      <w:r>
        <w:rPr>
          <w:rFonts w:eastAsia="Times New Roman"/>
          <w:sz w:val="17"/>
        </w:rPr>
        <w:t>[1] Akyildiz IF, Su W, Sankarasubramaniam Y, Cayirci E. Wireless sensor networks: a survey. Computer Networks. 2002;38(4):393-422. doi:10.1016/S1389-1286(01)00302-4.</w:t>
      </w:r>
    </w:p>
    <w:p w14:paraId="1ACB39CF" w14:textId="77777777" w:rsidR="008867B5" w:rsidRDefault="00000000">
      <w:pPr>
        <w:spacing w:after="20" w:line="240" w:lineRule="auto"/>
        <w:ind w:left="374" w:hanging="374"/>
      </w:pPr>
      <w:r>
        <w:rPr>
          <w:rFonts w:eastAsia="Times New Roman"/>
          <w:sz w:val="17"/>
        </w:rPr>
        <w:t>[2] Al-Karaki JN, Kamal AE. Routing techniques in wireless sensor networks: a survey. IEEE Wireless Communications. 2004;11(6):6-28. doi:10.1109/MWC.2004.1368893.</w:t>
      </w:r>
    </w:p>
    <w:p w14:paraId="017569B5" w14:textId="77777777" w:rsidR="008867B5" w:rsidRDefault="00000000">
      <w:pPr>
        <w:spacing w:after="20" w:line="240" w:lineRule="auto"/>
        <w:ind w:left="374" w:hanging="374"/>
      </w:pPr>
      <w:r>
        <w:rPr>
          <w:rFonts w:eastAsia="Times New Roman"/>
          <w:sz w:val="17"/>
        </w:rPr>
        <w:t>[3] Heinzelman WR, Chandrakasan A, Balakrishnan H. Energy-efficient communication protocol for wireless microsensor networks. In: Proceedings of HICSS. 2000. doi:10.1109/HICSS.2000.926982.</w:t>
      </w:r>
    </w:p>
    <w:p w14:paraId="1064FE61" w14:textId="77777777" w:rsidR="008867B5" w:rsidRDefault="00000000">
      <w:pPr>
        <w:spacing w:after="20" w:line="240" w:lineRule="auto"/>
        <w:ind w:left="374" w:hanging="374"/>
      </w:pPr>
      <w:r>
        <w:rPr>
          <w:rFonts w:eastAsia="Times New Roman"/>
          <w:sz w:val="17"/>
        </w:rPr>
        <w:t>[4] De Couto DSJ, Aguayo D, Bicket J, Morris R. A high-throughput path metric for multi-hop wireless routing. In: Proceedings of MobiCom. 2003:134-146. doi:10.1145/938985.939000.</w:t>
      </w:r>
    </w:p>
    <w:p w14:paraId="0D7F7681" w14:textId="77777777" w:rsidR="008867B5" w:rsidRDefault="00000000">
      <w:pPr>
        <w:spacing w:after="20" w:line="240" w:lineRule="auto"/>
        <w:ind w:left="374" w:hanging="374"/>
      </w:pPr>
      <w:r>
        <w:rPr>
          <w:rFonts w:eastAsia="Times New Roman"/>
          <w:sz w:val="17"/>
        </w:rPr>
        <w:t>[5] Winter T, Thubert P, Brandt A, et al. RPL: IPv6 Routing Protocol for Low-Power and Lossy Networks. RFC 6550. IETF; 2012. doi:10.17487/RFC6550.</w:t>
      </w:r>
    </w:p>
    <w:p w14:paraId="6DF1F8BB" w14:textId="77777777" w:rsidR="008867B5" w:rsidRDefault="00000000">
      <w:pPr>
        <w:spacing w:after="20" w:line="240" w:lineRule="auto"/>
        <w:ind w:left="374" w:hanging="374"/>
      </w:pPr>
      <w:r>
        <w:rPr>
          <w:rFonts w:eastAsia="Times New Roman"/>
          <w:sz w:val="17"/>
        </w:rPr>
        <w:t>[6] Song Y, Ni M, Liu J. Deep reinforcement learning for network routing optimization: A systematic survey. Neurocomputing. 2026;666:132263. doi:10.1016/j.neucom.2025.132263.</w:t>
      </w:r>
    </w:p>
    <w:p w14:paraId="76E01986" w14:textId="77777777" w:rsidR="008867B5" w:rsidRDefault="00000000">
      <w:pPr>
        <w:spacing w:after="20" w:line="240" w:lineRule="auto"/>
        <w:ind w:left="374" w:hanging="374"/>
      </w:pPr>
      <w:r>
        <w:rPr>
          <w:rFonts w:eastAsia="Times New Roman"/>
          <w:sz w:val="17"/>
        </w:rPr>
        <w:t>[7] Sutton RS, Barto AG. Reinforcement Learning: An Introduction. 2nd ed. MIT Press; 2018.</w:t>
      </w:r>
    </w:p>
    <w:p w14:paraId="0E402E62" w14:textId="77777777" w:rsidR="008867B5" w:rsidRDefault="00000000">
      <w:pPr>
        <w:spacing w:after="20" w:line="240" w:lineRule="auto"/>
        <w:ind w:left="374" w:hanging="374"/>
      </w:pPr>
      <w:r>
        <w:rPr>
          <w:rFonts w:eastAsia="Times New Roman"/>
          <w:sz w:val="17"/>
        </w:rPr>
        <w:t>[8] Schulman J, Wolski F, Dhariwal P, Radford A, Klimov O. Proximal Policy Optimization Algorithms. arXiv:1707.06347; 2017.</w:t>
      </w:r>
    </w:p>
    <w:p w14:paraId="4F400D17" w14:textId="77777777" w:rsidR="008867B5" w:rsidRDefault="00000000">
      <w:pPr>
        <w:spacing w:after="20" w:line="240" w:lineRule="auto"/>
        <w:ind w:left="374" w:hanging="374"/>
      </w:pPr>
      <w:r>
        <w:rPr>
          <w:rFonts w:eastAsia="Times New Roman"/>
          <w:sz w:val="17"/>
        </w:rPr>
        <w:t>[9] Schulman J, Moritz P, Levine S, Jordan M, Abbeel P. High-dimensional continuous control using generalized advantage estimation. In: ICLR; 2016. arXiv:1506.02438.</w:t>
      </w:r>
    </w:p>
    <w:p w14:paraId="6742FAA1" w14:textId="77777777" w:rsidR="008867B5" w:rsidRDefault="00000000">
      <w:pPr>
        <w:spacing w:after="20" w:line="240" w:lineRule="auto"/>
        <w:ind w:left="374" w:hanging="374"/>
      </w:pPr>
      <w:r>
        <w:rPr>
          <w:rFonts w:eastAsia="Times New Roman"/>
          <w:sz w:val="17"/>
        </w:rPr>
        <w:t>[10] Achiam J, Held D, Tamar A, Abbeel P. Constrained policy optimization. Proceedings of Machine Learning Research. 2017;70:22-31.</w:t>
      </w:r>
    </w:p>
    <w:p w14:paraId="0F95D313" w14:textId="77777777" w:rsidR="008867B5" w:rsidRDefault="00000000">
      <w:pPr>
        <w:spacing w:after="20" w:line="240" w:lineRule="auto"/>
        <w:ind w:left="374" w:hanging="374"/>
      </w:pPr>
      <w:r>
        <w:rPr>
          <w:rFonts w:eastAsia="Times New Roman"/>
          <w:sz w:val="17"/>
        </w:rPr>
        <w:t>[11] Vaswani A, Shazeer N, Parmar N, et al. Attention is all you need. Advances in Neural Information Processing Systems. 2017;30:5998-6008.</w:t>
      </w:r>
    </w:p>
    <w:p w14:paraId="01CF388D" w14:textId="77777777" w:rsidR="008867B5" w:rsidRDefault="00000000">
      <w:pPr>
        <w:spacing w:after="20" w:line="240" w:lineRule="auto"/>
        <w:ind w:left="374" w:hanging="374"/>
      </w:pPr>
      <w:r>
        <w:rPr>
          <w:rFonts w:eastAsia="Times New Roman"/>
          <w:sz w:val="17"/>
        </w:rPr>
        <w:t>[12] Zaheer M, Kottur S, Ravanbakhsh S, Poczos B, Salakhutdinov R, Smola AJ. Deep Sets. Advances in Neural Information Processing Systems. 2017;30:3391-3401.</w:t>
      </w:r>
    </w:p>
    <w:p w14:paraId="05B938FE" w14:textId="77777777" w:rsidR="008867B5" w:rsidRDefault="00000000">
      <w:pPr>
        <w:spacing w:after="20" w:line="240" w:lineRule="auto"/>
        <w:ind w:left="374" w:hanging="374"/>
      </w:pPr>
      <w:r>
        <w:rPr>
          <w:rFonts w:eastAsia="Times New Roman"/>
          <w:sz w:val="17"/>
        </w:rPr>
        <w:t>[13] Neely MJ. Stochastic Network Optimization with Application to Communication and Queueing Systems. Morgan &amp; Claypool; 2010.</w:t>
      </w:r>
    </w:p>
    <w:p w14:paraId="2DCC0B7E" w14:textId="77777777" w:rsidR="008867B5" w:rsidRDefault="00000000">
      <w:pPr>
        <w:spacing w:after="20" w:line="240" w:lineRule="auto"/>
        <w:ind w:left="374" w:hanging="374"/>
      </w:pPr>
      <w:r>
        <w:rPr>
          <w:rFonts w:eastAsia="Times New Roman"/>
          <w:sz w:val="17"/>
        </w:rPr>
        <w:t>[14] Yang J, He S, Xu Y, Chen L, Ren J. A trusted routing scheme using blockchain and reinforcement learning for wireless sensor networks. Sensors. 2019;19(4):970. doi:10.3390/s19040970.</w:t>
      </w:r>
    </w:p>
    <w:p w14:paraId="07E1B97D" w14:textId="77777777" w:rsidR="008867B5" w:rsidRDefault="00000000">
      <w:pPr>
        <w:spacing w:after="20" w:line="240" w:lineRule="auto"/>
        <w:ind w:left="374" w:hanging="374"/>
      </w:pPr>
      <w:r>
        <w:rPr>
          <w:sz w:val="18"/>
        </w:rPr>
        <w:t>[15] Wang C, Hu H, Fan X. Intelligent clustering and routing protocol for wireless sensor networks using quantum inspired Harris Hawk optimizer and deep reinforcement learning. Ad Hoc Networks. 2025;178:103914. doi:10.1016/j.adhoc.2025.103914.</w:t>
      </w:r>
    </w:p>
    <w:p w14:paraId="79959EA3" w14:textId="77777777" w:rsidR="008867B5" w:rsidRDefault="00000000">
      <w:pPr>
        <w:spacing w:after="20" w:line="240" w:lineRule="auto"/>
        <w:ind w:left="374" w:hanging="374"/>
      </w:pPr>
      <w:r>
        <w:rPr>
          <w:rFonts w:eastAsia="Times New Roman"/>
          <w:sz w:val="17"/>
        </w:rPr>
        <w:t>[16] Manogaran N, Raphael MTM, Raja R, Jayakumar AK, Nandagopal M, Balusamy B, Ghinea G. Developing a novel adaptive double deep Q-learning-based routing strategy for IoT-based wireless sensor network with federated learning. Sensors. 2025;25(10):3084. doi:10.3390/s25103084.</w:t>
      </w:r>
    </w:p>
    <w:p w14:paraId="7BF3D630" w14:textId="77777777" w:rsidR="008867B5" w:rsidRDefault="00000000">
      <w:pPr>
        <w:spacing w:after="20" w:line="240" w:lineRule="auto"/>
        <w:ind w:left="374" w:hanging="374"/>
      </w:pPr>
      <w:r>
        <w:rPr>
          <w:rFonts w:eastAsia="Times New Roman"/>
          <w:sz w:val="17"/>
        </w:rPr>
        <w:t>[17] Tao S, Tang H, Wang J, Li B. A failure risk-aware multi-hop routing protocol in LPWANs using deep Q-network. Sensors. 2025;25(14):4416. doi:10.3390/s25144416.</w:t>
      </w:r>
    </w:p>
    <w:p w14:paraId="546CDCC2" w14:textId="77777777" w:rsidR="008867B5" w:rsidRDefault="00000000">
      <w:pPr>
        <w:spacing w:after="20" w:line="240" w:lineRule="auto"/>
        <w:ind w:left="374" w:hanging="374"/>
      </w:pPr>
      <w:r>
        <w:rPr>
          <w:rFonts w:eastAsia="Times New Roman"/>
          <w:sz w:val="17"/>
        </w:rPr>
        <w:t>[18] Song Y, Zhou J, Li X, Liu J. Enabling robust and generalized DRL-driven routing optimization via exploration of graph neural networks. IEEE Transactions on Cognitive Communications and Networking. 2025;11(6):4281-4298. doi:10.1109/TCCN.2025.3544276.</w:t>
      </w:r>
    </w:p>
    <w:p w14:paraId="6F5DD8EA" w14:textId="77777777" w:rsidR="008867B5" w:rsidRDefault="00000000">
      <w:pPr>
        <w:spacing w:after="20" w:line="240" w:lineRule="auto"/>
        <w:ind w:left="374" w:hanging="374"/>
      </w:pPr>
      <w:r>
        <w:rPr>
          <w:rFonts w:eastAsia="Times New Roman"/>
          <w:sz w:val="17"/>
        </w:rPr>
        <w:t>[19] Wigmore J, Modiano E. Generalizable policy learning using graph neural networks. In: Proceedings of MobiHoc 2025. 2025:251-260. doi:10.1145/3704413.3764422.</w:t>
      </w:r>
    </w:p>
    <w:p w14:paraId="7E576C0F" w14:textId="77777777" w:rsidR="008867B5" w:rsidRDefault="00000000">
      <w:pPr>
        <w:spacing w:after="20" w:line="240" w:lineRule="auto"/>
        <w:ind w:left="374" w:hanging="374"/>
      </w:pPr>
      <w:r>
        <w:rPr>
          <w:rFonts w:eastAsia="Times New Roman"/>
          <w:sz w:val="17"/>
        </w:rPr>
        <w:t>[20] Venkatesan C, Al-Otaibi S, Vijayan BV, Sathiya T, Jamjoom MM, Surendiran J. AI-enhanced routing and slicing strategy for QoS-aware mobile ad hoc networks. Scientific Reports. 2026;16:4468. doi:10.1038/s41598-025-34588-x.</w:t>
      </w:r>
    </w:p>
    <w:p w14:paraId="7AD98098" w14:textId="77777777" w:rsidR="008867B5" w:rsidRDefault="00000000">
      <w:pPr>
        <w:spacing w:after="20" w:line="240" w:lineRule="auto"/>
        <w:ind w:left="374" w:hanging="374"/>
      </w:pPr>
      <w:r>
        <w:rPr>
          <w:rFonts w:eastAsia="Times New Roman"/>
          <w:sz w:val="17"/>
        </w:rPr>
        <w:lastRenderedPageBreak/>
        <w:t>[21] Betam S, Nagendram S, Kumar BP, Chennaiah MB, Aravinth SS, Rafi M, Naveed QN, Islam S, Assefa BG. A dynamic reward framework for scalable and efficient IoT-WSN routing using deep reinforcement learning. Scientific Reports. 2026. doi:10.1038/s41598-026-61080-x.</w:t>
      </w:r>
    </w:p>
    <w:p w14:paraId="05273EE2" w14:textId="77777777" w:rsidR="008867B5" w:rsidRDefault="00000000">
      <w:pPr>
        <w:spacing w:after="20" w:line="240" w:lineRule="auto"/>
        <w:ind w:left="374" w:hanging="374"/>
      </w:pPr>
      <w:r>
        <w:rPr>
          <w:rFonts w:eastAsia="Times New Roman"/>
          <w:sz w:val="17"/>
        </w:rPr>
        <w:t>[22] Lata AA, Kang M. RLFS-OR: Reinforcement learning-based forwarder selection for opportunistic routing in wireless sensor networks. Electronics. 2026;15(5):910. doi:10.3390/electronics15050910.</w:t>
      </w:r>
    </w:p>
    <w:p w14:paraId="4DA41AB9" w14:textId="77777777" w:rsidR="008867B5" w:rsidRDefault="00000000">
      <w:pPr>
        <w:spacing w:after="20" w:line="240" w:lineRule="auto"/>
        <w:ind w:left="374" w:hanging="374"/>
      </w:pPr>
      <w:r>
        <w:rPr>
          <w:sz w:val="18"/>
        </w:rPr>
        <w:t>[23] Iqbal A, Siddiqui MF. Feasibility-aware reinforcement learning for reliable hop-constrained routing in wireless sensor networks. Computers, Materials &amp; Continua. 2026;89(1):Article 85. doi:10.32604/cmc.2026.084851.</w:t>
      </w:r>
    </w:p>
    <w:p w14:paraId="2BA21502" w14:textId="77777777" w:rsidR="008867B5" w:rsidRDefault="00000000">
      <w:pPr>
        <w:spacing w:after="20" w:line="240" w:lineRule="auto"/>
        <w:ind w:left="374" w:hanging="374"/>
      </w:pPr>
      <w:r>
        <w:rPr>
          <w:rFonts w:eastAsia="Times New Roman"/>
          <w:sz w:val="17"/>
        </w:rPr>
        <w:t>[24] Bala K, Venu D, Dudi BP, Nirmala V, Kumar KA, Manohara M. Federated deep reinforcement Q-learning for secure and energy-efficient data routing in Internet of Things networks. Peer-to-Peer Networking and Applications. 2026;19:88. doi:10.1007/s12083-026-02236-4.</w:t>
      </w:r>
    </w:p>
    <w:p w14:paraId="040CB37D" w14:textId="77777777" w:rsidR="008867B5" w:rsidRDefault="00000000">
      <w:pPr>
        <w:spacing w:after="20" w:line="240" w:lineRule="auto"/>
        <w:ind w:left="374" w:hanging="374"/>
      </w:pPr>
      <w:r>
        <w:rPr>
          <w:rFonts w:eastAsia="Times New Roman"/>
          <w:sz w:val="17"/>
        </w:rPr>
        <w:t>[25] Gupta R, Gupta SK, Singh SB, Kumar R, Muthukkumar R. Adaptive deep reinforcement learning-based secure routing for wireless sensor networks. Scientific Reports. 2026. doi:10.1038/s41598-026-62519-x.</w:t>
      </w:r>
    </w:p>
    <w:p w14:paraId="764E7A01" w14:textId="77777777" w:rsidR="008867B5" w:rsidRDefault="00000000">
      <w:pPr>
        <w:spacing w:after="20" w:line="240" w:lineRule="auto"/>
        <w:ind w:left="374" w:hanging="374"/>
      </w:pPr>
      <w:r>
        <w:rPr>
          <w:rFonts w:eastAsia="Times New Roman"/>
          <w:sz w:val="17"/>
        </w:rPr>
        <w:t>[26] Mercy SS. Coordinate attention-driven multi-agent adaptive deep reinforcement learning model for resilient and energy-efficient routing in WSNs. Sustainable Computing: Informatics and Systems. 2026;51:101427. doi:10.1016/j.suscom.2026.101427.</w:t>
      </w:r>
    </w:p>
    <w:p w14:paraId="3BAB7006" w14:textId="77777777" w:rsidR="008867B5" w:rsidRDefault="00000000">
      <w:pPr>
        <w:spacing w:after="20" w:line="240" w:lineRule="auto"/>
        <w:ind w:left="374" w:hanging="374"/>
      </w:pPr>
      <w:r>
        <w:rPr>
          <w:rFonts w:eastAsia="Times New Roman"/>
          <w:sz w:val="17"/>
        </w:rPr>
        <w:t>[27] Ramachandra S, Baskar M. Real-time multi-level trust-based secure routing for improved QoS in WSN using blockchain. Results in Engineering. 2025;26:104732. doi:10.1016/j.rineng.2025.104732.</w:t>
      </w:r>
    </w:p>
    <w:sectPr w:rsidR="008867B5" w:rsidSect="00034616">
      <w:headerReference w:type="default" r:id="rId13"/>
      <w:footerReference w:type="default" r:id="rId14"/>
      <w:pgSz w:w="12240" w:h="15840"/>
      <w:pgMar w:top="1134" w:right="1219" w:bottom="1134" w:left="12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034A83" w14:textId="77777777" w:rsidR="00F43BA7" w:rsidRDefault="00F43BA7">
      <w:pPr>
        <w:spacing w:after="0" w:line="240" w:lineRule="auto"/>
      </w:pPr>
      <w:r>
        <w:separator/>
      </w:r>
    </w:p>
  </w:endnote>
  <w:endnote w:type="continuationSeparator" w:id="0">
    <w:p w14:paraId="61B0F5A7" w14:textId="77777777" w:rsidR="00F43BA7" w:rsidRDefault="00F4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E644FB" w14:textId="77777777" w:rsidR="008867B5" w:rsidRDefault="00000000">
    <w:pPr>
      <w:pStyle w:val="Footer"/>
      <w:jc w:val="center"/>
    </w:pPr>
    <w:r>
      <w:rPr>
        <w:rFonts w:eastAsia="Times New Roman"/>
        <w:sz w:val="16"/>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594ED2" w14:textId="77777777" w:rsidR="00F43BA7" w:rsidRDefault="00F43BA7">
      <w:pPr>
        <w:spacing w:after="0" w:line="240" w:lineRule="auto"/>
      </w:pPr>
      <w:r>
        <w:separator/>
      </w:r>
    </w:p>
  </w:footnote>
  <w:footnote w:type="continuationSeparator" w:id="0">
    <w:p w14:paraId="0EA24A00" w14:textId="77777777" w:rsidR="00F43BA7" w:rsidRDefault="00F43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74F5E5" w14:textId="402FAEBF" w:rsidR="008867B5" w:rsidRDefault="008867B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53256B7"/>
    <w:multiLevelType w:val="multilevel"/>
    <w:tmpl w:val="CF7E9648"/>
    <w:lvl w:ilvl="0">
      <w:start w:val="1"/>
      <w:numFmt w:val="decimal"/>
      <w:pStyle w:val="ListBullet"/>
      <w:lvlText w:val="%1."/>
      <w:lvlJc w:val="left"/>
      <w:pPr>
        <w:tabs>
          <w:tab w:val="num" w:pos="600"/>
        </w:tabs>
        <w:ind w:left="600" w:hanging="600"/>
      </w:pPr>
      <w:rPr>
        <w:rFonts w:ascii="Times New Roman" w:hAnsi="Times New Roman"/>
        <w:color w:val="000000"/>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BA710A9"/>
    <w:multiLevelType w:val="multilevel"/>
    <w:tmpl w:val="A36E4D10"/>
    <w:lvl w:ilvl="0">
      <w:start w:val="1"/>
      <w:numFmt w:val="decimal"/>
      <w:lvlText w:val="%1."/>
      <w:lvlJc w:val="left"/>
      <w:pPr>
        <w:tabs>
          <w:tab w:val="num" w:pos="600"/>
        </w:tabs>
        <w:ind w:left="600" w:hanging="600"/>
      </w:pPr>
      <w:rPr>
        <w:rFonts w:ascii="Times New Roman" w:hAnsi="Times New Roman"/>
        <w:color w:val="000000"/>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1041677">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67B5"/>
    <w:rsid w:val="009E59DE"/>
    <w:rsid w:val="00A0540E"/>
    <w:rsid w:val="00AA1D8D"/>
    <w:rsid w:val="00B47730"/>
    <w:rsid w:val="00BA183F"/>
    <w:rsid w:val="00C17CD0"/>
    <w:rsid w:val="00C53618"/>
    <w:rsid w:val="00CB0664"/>
    <w:rsid w:val="00D556B0"/>
    <w:rsid w:val="00F43B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74AAC"/>
  <w14:defaultImageDpi w14:val="300"/>
  <w15:docId w15:val="{731AB30D-5C54-1D4B-8233-DF75C8BEF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line="240" w:lineRule="auto"/>
    </w:pPr>
    <w:rPr>
      <w:rFonts w:ascii="Cambria Math" w:hAnsi="Cambria Ma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7394</Words>
  <Characters>42146</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Permutation-Equivariant Local-Attention Constrained Routing for IoT Wireless Sensor Networks</dc:title>
  <dc:subject>SCI-level submission manuscript targeted to Ad Hoc Networks</dc:subject>
  <dc:creator>Shivam Bhardwaj; Jitendra Nath Srivastava; Akash Sanghi</dc:creator>
  <cp:keywords>IoT WSN routing; constrained PPO; local attention; QoS; trust</cp:keywords>
  <dc:description>Technical and language revision checked against the frozen source and recorded experiment outputs.</dc:description>
  <cp:lastModifiedBy>Shivam Bhardwaj</cp:lastModifiedBy>
  <cp:revision>5</cp:revision>
  <dcterms:created xsi:type="dcterms:W3CDTF">2013-12-23T23:15:00Z</dcterms:created>
  <dcterms:modified xsi:type="dcterms:W3CDTF">2026-09-12T06:23:00Z</dcterms:modified>
  <cp:category/>
</cp:coreProperties>
</file>