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A Reproducible Benchmark of Receipt Assisted Passive Feedback and Authenticated Routing in Wireless Sensor Networks</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Missing forwarding evidence can reflect packet loss, contention or an unobserved transmission, making feedback design a joint problem of inference and airtime. We benchmark ACK-gated censored passive feedback against active proofs in 750 IEEE 802.15.4 runs on 30 new fixtures, with naive-passive, frozen-prior and capacity-matched policy controls. Under blackholes, delivery increases from 71.28% to 75.94%, a paired gain of 4.67 percentage points (95% interval 2.36–6.97; Holm-adjusted p=0.0161). Energy per delivered byte falls while total modeled radio energy rises slightly. The controls do not establish a unique censoring or attention advantage. A separate 180-run experiment tests frozen policies over authenticated messages and node-local records. Attention delivers 81.61% in benign conditions and 61.11% under selective dropping, without an established advantage over greedy or multilayer-perceptron routing. Serial-interface testing identifies and corrects a receive-time freshness error. Compiled UART-to-radio firmware runs on four emulated Cortex-M3 boards; neural inference and cryptography execute on the host PC. Each host-policy control delivers ten of ten packets. A further 240-run factorial study separates proof traffic from evidence handling; adding proofs reduces delivery by 6.11 percentage points with always-on listening. An isolated Cortex-M3 harness reproduces actor decisions and executes HMAC-SHA256 and Ed25519. An exploratory 60–300 s extension exposes routing-energy exhaustion and increasing service debt. The contribution is a traceable comparison of feedback mechanisms and transport boundaries; the evidence does not establish sustained operation, physical-board performance, measured energy consumption or absolute deadline compliance.</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A subsequent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Benchmark contribution</w:t>
      </w:r>
    </w:p>
    <w:p>
      <w:pPr>
        <w:keepNext w:val="0"/>
        <w:pageBreakBefore w:val="0"/>
        <w:widowControl/>
        <w:spacing w:line="276" w:lineRule="auto" w:after="120"/>
      </w:pPr>
      <w:r>
        <w:t>We benchmark ACK-gated censored passive feedback against active proofs while retaining controls for missing-evidence penalties, evidence updating and policy capacity. Own first-hop ACK success gates credit; each observer–relay–packet record retains its strongest matched observation; missing evidence leaves the effective failure count unchanged. Packet-reception callbacks connect the ledger to simulated radio events. In Fig. 1, Eq. (1) supplies the candidate shortlist, while Eq. (2) scores the retained candidates. Figure 2 maps the record updates in Eqs. (3)–(4). The benchmark builds on established watchdog, censoring and learning methods.</w:t>
      </w:r>
    </w:p>
    <w:p>
      <w:pPr>
        <w:keepNext w:val="0"/>
        <w:pageBreakBefore w:val="0"/>
        <w:widowControl/>
        <w:spacing w:line="276" w:lineRule="auto" w:after="120"/>
      </w:pPr>
      <w:r>
        <w:t>The prespecified decision combines a blackhole delivery comparison against active proofs with delivery, critical-service and energy-efficiency margins against frozen-prior attention. Naive-passive and capacity-matched controls assess whether the outcome can be attributed specifically to censoring or policy architecture. An improvement over active proofs alone cannot establish either attribution.</w:t>
      </w:r>
    </w:p>
    <w:p>
      <w:pPr>
        <w:keepNext w:val="0"/>
        <w:pageBreakBefore w:val="0"/>
        <w:widowControl/>
        <w:spacing w:line="276" w:lineRule="auto" w:after="120"/>
      </w:pPr>
      <w:r>
        <w:t>A second implementation stage examines whether the frozen policies can use authenticated messages and node-local transit records. It comprises 180 new radio runs and separate serial-interface and firmware-emulation checks. Sections 2–4 report the feedback benchmark; Section 5 describes the authenticated transport and evaluates it separately. Its changed observation model prevents carrying the earlier performance claim into this branch.</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acts on effective counts and is not a Bayesian update. Max-strength deduplication bounds the evidence state but does not remove the clipping artifact. Equation (5) uses 1.645 as a fixed multiplier on a beta-form standard deviation; neither this coefficient nor the score clipping provides calibrated 95% coverage or an exact Beta quantile. The fixture-level confidence intervals reported in the results are calculated independently of this routing heuristic. Changing these scoring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pre-extension implementation had 83 passing tests, including the radio callback checks. The post-freeze suite in Sections 5.6–5.7 has 107 passing tests.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the authenticated branch in Fig. 7 assigns no credit to third-party overhearing. Unlike Eq. (3), positive forwarding evidence requires a verified sink receipt and a successful local MAC acknowledgment; missing receipts remain censored. The frozen policies therefore encounter a changed observation model rather than an exact replication of the original ledger.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establishing neither superiority nor equivalence. Replacing the training RSSI proxy with LQI, using raw queue counts and restricting forwarding credit to signed receipts can change the input distribution; their causal effects were not isolated.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present MCU firmware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embedded policy/crypto execution or calibrated current consumption.</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Duty-cycled MAC performance, drift tolerance, integrated target inference and measured energy require separate validation.</w:t>
      </w:r>
    </w:p>
    <w:p>
      <w:pPr>
        <w:pStyle w:val="Heading2"/>
        <w:keepNext/>
      </w:pPr>
      <w:r>
        <w:t>5.6 Factorial traffic controls and power gating</w:t>
      </w:r>
    </w:p>
    <w:p>
      <w:pPr>
        <w:keepNext w:val="0"/>
        <w:pageBreakBefore w:val="0"/>
        <w:widowControl/>
        <w:spacing w:line="276" w:lineRule="auto" w:after="120"/>
      </w:pPr>
      <w:r>
        <w:t>A separate ns-3.47 extension tests proof traffic while holding the evidence rule fixed within each contrast. Its amended source and 30-test analysis plan were committed as 752c11e7fa3c6af427ffe4edb8fa37d3fbcd5bc7 before fixtures 89001–89030 were evaluated. An initial proof-callback error stopped a preliminary 88001 batch; those partial captures and technical pilot 76901 are excluded. Thirty fixtures, four arms and two duty settings yield 240 four-second runs, each offering 60 packets. All arms use the same bounded positive-credit rule, ACK gate, 128-record global simulation-ledger capacity, 2 s retention and frozen attention actor. Unlike Eq. (4), each record clips q once to [0.05, 1] and weights each eligible uncredited increment in s by that fixed value. Proof frames consume traffic but never enter the ledger. Censored versus naive mode changes expiry penalties and late-evidence handling. Table 8 reports arm means; Fig. 11 shows the proof-traffic contrasts.</w:t>
      </w:r>
    </w:p>
    <w:p>
      <w:pPr>
        <w:keepNext w:val="0"/>
        <w:pageBreakBefore w:val="0"/>
        <w:widowControl/>
        <w:spacing w:line="276" w:lineRule="auto" w:after="120"/>
      </w:pPr>
      <w:r>
        <w:t>With always-on listening, adding proofs reduces censored-mode delivery by 6.11 percentage points (unadjusted paired 95% interval −8.94 to −3.28; Holm p=0.00349), and naive-mode delivery by 5.61 points (−7.94 to −3.29; Holm p=0.000852). No evidence-mode or interaction contrast survives the separate 30-test correction. These results identify a traffic contribution in this extension, not the complete cause of the original 4.67-point gain. The nominal 20% awake schedule rejects requests while asleep and has no rendezvous protocol; delivery falls to approximately 13–14%. Busy MAC transactions defer sleep, so nominal duty is not actual PHY residence.</w:t>
      </w:r>
    </w:p>
    <w:p>
      <w:pPr>
        <w:keepNext/>
        <w:pageBreakBefore w:val="0"/>
        <w:widowControl/>
        <w:spacing w:line="276" w:lineRule="auto" w:after="120"/>
      </w:pPr>
      <w:r>
        <w:t>Table 8. Factorial arm means.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1512"/>
        <w:gridCol w:w="1512"/>
        <w:gridCol w:w="1512"/>
        <w:gridCol w:w="1512"/>
        <w:gridCol w:w="1512"/>
        <w:gridCol w:w="1512"/>
      </w:tblGrid>
      <w:tr>
        <w:trPr>
          <w:cantSplit/>
          <w:tblHeader/>
        </w:trPr>
        <w:tc>
          <w:tcPr>
            <w:tcW w:type="dxa" w:w="1134"/>
          </w:tcPr>
          <w:p>
            <w:pPr>
              <w:spacing w:after="60" w:before="60" w:line="240" w:lineRule="auto"/>
            </w:pPr>
            <w:r>
              <w:rPr>
                <w:rFonts w:ascii="Times New Roman" w:hAnsi="Times New Roman"/>
                <w:b/>
                <w:sz w:val="18"/>
              </w:rPr>
              <w:t>Nominal awake</w:t>
            </w:r>
          </w:p>
        </w:tc>
        <w:tc>
          <w:tcPr>
            <w:tcW w:type="dxa" w:w="1304"/>
          </w:tcPr>
          <w:p>
            <w:pPr>
              <w:spacing w:after="60" w:before="60" w:line="240" w:lineRule="auto"/>
            </w:pPr>
            <w:r>
              <w:rPr>
                <w:rFonts w:ascii="Times New Roman" w:hAnsi="Times New Roman"/>
                <w:b/>
                <w:sz w:val="18"/>
              </w:rPr>
              <w:t>Evidence</w:t>
            </w:r>
          </w:p>
        </w:tc>
        <w:tc>
          <w:tcPr>
            <w:tcW w:type="dxa" w:w="850"/>
          </w:tcPr>
          <w:p>
            <w:pPr>
              <w:spacing w:after="60" w:before="60" w:line="240" w:lineRule="auto"/>
            </w:pPr>
            <w:r>
              <w:rPr>
                <w:rFonts w:ascii="Times New Roman" w:hAnsi="Times New Roman"/>
                <w:b/>
                <w:sz w:val="18"/>
              </w:rPr>
              <w:t>Proofs</w:t>
            </w:r>
          </w:p>
        </w:tc>
        <w:tc>
          <w:tcPr>
            <w:tcW w:type="dxa" w:w="1417"/>
          </w:tcPr>
          <w:p>
            <w:pPr>
              <w:spacing w:after="60" w:before="60" w:line="240" w:lineRule="auto"/>
            </w:pPr>
            <w:r>
              <w:rPr>
                <w:rFonts w:ascii="Times New Roman" w:hAnsi="Times New Roman"/>
                <w:b/>
                <w:sz w:val="18"/>
              </w:rPr>
              <w:t>Delivery (%)</w:t>
            </w:r>
          </w:p>
        </w:tc>
        <w:tc>
          <w:tcPr>
            <w:tcW w:type="dxa" w:w="1701"/>
          </w:tcPr>
          <w:p>
            <w:pPr>
              <w:spacing w:after="60" w:before="60" w:line="240" w:lineRule="auto"/>
            </w:pPr>
            <w:r>
              <w:rPr>
                <w:rFonts w:ascii="Times New Roman" w:hAnsi="Times New Roman"/>
                <w:b/>
                <w:sz w:val="18"/>
              </w:rPr>
              <w:t>Critical failure (%)</w:t>
            </w:r>
          </w:p>
        </w:tc>
        <w:tc>
          <w:tcPr>
            <w:tcW w:type="dxa" w:w="1701"/>
          </w:tcPr>
          <w:p>
            <w:pPr>
              <w:spacing w:after="60" w:before="60" w:line="240" w:lineRule="auto"/>
            </w:pPr>
            <w:r>
              <w:rPr>
                <w:rFonts w:ascii="Times New Roman" w:hAnsi="Times New Roman"/>
                <w:b/>
                <w:sz w:val="18"/>
              </w:rPr>
              <w:t>Radio energy (J)</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74.94</w:t>
            </w:r>
          </w:p>
        </w:tc>
        <w:tc>
          <w:tcPr>
            <w:tcW w:type="dxa" w:w="1701"/>
          </w:tcPr>
          <w:p>
            <w:pPr>
              <w:spacing w:after="60" w:before="60" w:line="240" w:lineRule="auto"/>
            </w:pPr>
            <w:r>
              <w:rPr>
                <w:rFonts w:ascii="Times New Roman" w:hAnsi="Times New Roman"/>
                <w:b w:val="0"/>
                <w:sz w:val="18"/>
              </w:rPr>
              <w:t>24.37</w:t>
            </w:r>
          </w:p>
        </w:tc>
        <w:tc>
          <w:tcPr>
            <w:tcW w:type="dxa" w:w="1701"/>
          </w:tcPr>
          <w:p>
            <w:pPr>
              <w:spacing w:after="60" w:before="60" w:line="240" w:lineRule="auto"/>
            </w:pPr>
            <w:r>
              <w:rPr>
                <w:rFonts w:ascii="Times New Roman" w:hAnsi="Times New Roman"/>
                <w:b w:val="0"/>
                <w:sz w:val="18"/>
              </w:rPr>
              <w:t>22.547516</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68.83</w:t>
            </w:r>
          </w:p>
        </w:tc>
        <w:tc>
          <w:tcPr>
            <w:tcW w:type="dxa" w:w="1701"/>
          </w:tcPr>
          <w:p>
            <w:pPr>
              <w:spacing w:after="60" w:before="60" w:line="240" w:lineRule="auto"/>
            </w:pPr>
            <w:r>
              <w:rPr>
                <w:rFonts w:ascii="Times New Roman" w:hAnsi="Times New Roman"/>
                <w:b w:val="0"/>
                <w:sz w:val="18"/>
              </w:rPr>
              <w:t>32.51</w:t>
            </w:r>
          </w:p>
        </w:tc>
        <w:tc>
          <w:tcPr>
            <w:tcW w:type="dxa" w:w="1701"/>
          </w:tcPr>
          <w:p>
            <w:pPr>
              <w:spacing w:after="60" w:before="60" w:line="240" w:lineRule="auto"/>
            </w:pPr>
            <w:r>
              <w:rPr>
                <w:rFonts w:ascii="Times New Roman" w:hAnsi="Times New Roman"/>
                <w:b w:val="0"/>
                <w:sz w:val="18"/>
              </w:rPr>
              <w:t>22.546980</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75.56</w:t>
            </w:r>
          </w:p>
        </w:tc>
        <w:tc>
          <w:tcPr>
            <w:tcW w:type="dxa" w:w="1701"/>
          </w:tcPr>
          <w:p>
            <w:pPr>
              <w:spacing w:after="60" w:before="60" w:line="240" w:lineRule="auto"/>
            </w:pPr>
            <w:r>
              <w:rPr>
                <w:rFonts w:ascii="Times New Roman" w:hAnsi="Times New Roman"/>
                <w:b w:val="0"/>
                <w:sz w:val="18"/>
              </w:rPr>
              <w:t>24.14</w:t>
            </w:r>
          </w:p>
        </w:tc>
        <w:tc>
          <w:tcPr>
            <w:tcW w:type="dxa" w:w="1701"/>
          </w:tcPr>
          <w:p>
            <w:pPr>
              <w:spacing w:after="60" w:before="60" w:line="240" w:lineRule="auto"/>
            </w:pPr>
            <w:r>
              <w:rPr>
                <w:rFonts w:ascii="Times New Roman" w:hAnsi="Times New Roman"/>
                <w:b w:val="0"/>
                <w:sz w:val="18"/>
              </w:rPr>
              <w:t>22.547497</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69.94</w:t>
            </w:r>
          </w:p>
        </w:tc>
        <w:tc>
          <w:tcPr>
            <w:tcW w:type="dxa" w:w="1701"/>
          </w:tcPr>
          <w:p>
            <w:pPr>
              <w:spacing w:after="60" w:before="60" w:line="240" w:lineRule="auto"/>
            </w:pPr>
            <w:r>
              <w:rPr>
                <w:rFonts w:ascii="Times New Roman" w:hAnsi="Times New Roman"/>
                <w:b w:val="0"/>
                <w:sz w:val="18"/>
              </w:rPr>
              <w:t>30.89</w:t>
            </w:r>
          </w:p>
        </w:tc>
        <w:tc>
          <w:tcPr>
            <w:tcW w:type="dxa" w:w="1701"/>
          </w:tcPr>
          <w:p>
            <w:pPr>
              <w:spacing w:after="60" w:before="60" w:line="240" w:lineRule="auto"/>
            </w:pPr>
            <w:r>
              <w:rPr>
                <w:rFonts w:ascii="Times New Roman" w:hAnsi="Times New Roman"/>
                <w:b w:val="0"/>
                <w:sz w:val="18"/>
              </w:rPr>
              <w:t>22.547013</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9.791828</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9.749594</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9.804775</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9.760433</w:t>
            </w:r>
          </w:p>
        </w:tc>
      </w:tr>
    </w:tbl>
    <w:p>
      <w:pPr>
        <w:keepNext/>
        <w:pageBreakBefore w:val="0"/>
        <w:widowControl/>
        <w:spacing w:line="276" w:lineRule="auto" w:after="120" w:before="120"/>
      </w:pPr>
      <w:r>
        <w:drawing>
          <wp:inline xmlns:a="http://schemas.openxmlformats.org/drawingml/2006/main" xmlns:pic="http://schemas.openxmlformats.org/drawingml/2006/picture">
            <wp:extent cx="5616000" cy="2658724"/>
            <wp:docPr id="11" name="Picture 11"/>
            <wp:cNvGraphicFramePr>
              <a:graphicFrameLocks noChangeAspect="1"/>
            </wp:cNvGraphicFramePr>
            <a:graphic>
              <a:graphicData uri="http://schemas.openxmlformats.org/drawingml/2006/picture">
                <pic:pic>
                  <pic:nvPicPr>
                    <pic:cNvPr id="0" name="fig11_factorial_delivery.png"/>
                    <pic:cNvPicPr/>
                  </pic:nvPicPr>
                  <pic:blipFill>
                    <a:blip r:embed="rId20"/>
                    <a:stretch>
                      <a:fillRect/>
                    </a:stretch>
                  </pic:blipFill>
                  <pic:spPr>
                    <a:xfrm>
                      <a:off x="0" y="0"/>
                      <a:ext cx="5616000" cy="2658724"/>
                    </a:xfrm>
                    <a:prstGeom prst="rect"/>
                  </pic:spPr>
                </pic:pic>
              </a:graphicData>
            </a:graphic>
          </wp:inline>
        </w:drawing>
      </w:r>
    </w:p>
    <w:p>
      <w:pPr>
        <w:keepNext w:val="0"/>
        <w:pageBreakBefore w:val="0"/>
        <w:widowControl/>
        <w:spacing w:line="276" w:lineRule="auto" w:after="120"/>
      </w:pPr>
      <w:r>
        <w:t>Fig. 11. Proof-traffic delivery effects.</w:t>
      </w:r>
    </w:p>
    <w:p>
      <w:pPr>
        <w:keepNext w:val="0"/>
        <w:pageBreakBefore w:val="0"/>
        <w:widowControl/>
        <w:spacing w:line="276" w:lineRule="auto" w:after="120"/>
      </w:pPr>
      <w:r>
        <w:t>Hard power gating stops the experimental bridge at each sensor’s 0.5 J budget. Twenty-seven further 60 s runs cross three fixtures, three feedback arms and three nominal awake fractions. All remain within the 50 J aggregate sensor budget, with zero post-cut transmissions; the audit reconciles 2,727 radio-energy identities. The bounded ledger has zero final watches in all nine runs, whereas legacy controls retain records. All sensors still exhaust their budgets within 60 s. These tests address power accounting and ledger retirement, not sustained service or a whole-system memory bound.</w:t>
      </w:r>
    </w:p>
    <w:p>
      <w:pPr>
        <w:pStyle w:val="Heading2"/>
        <w:keepNext/>
      </w:pPr>
      <w:r>
        <w:t>5.7 Clock envelope and Cortex M3 execution</w:t>
      </w:r>
    </w:p>
    <w:p>
      <w:pPr>
        <w:keepNext w:val="0"/>
        <w:pageBreakBefore w:val="0"/>
        <w:widowControl/>
        <w:spacing w:line="276" w:lineRule="auto" w:after="120"/>
      </w:pPr>
      <w:r>
        <w:t>Optional freshness handling uses an externally justified pairwise clock bound. A 40 ms offset bound plus 100 ppm relative drift over 300 s gives 70 ms tolerance. All 675 tested offset/drift combinations accept authentic fresh beacons, while replay and forged-tag checks remain effective. The wider window can also admit older messages near the expiry boundary. It neither synchronizes clocks nor verifies their physical drift; the original default behavior remains unchanged.</w:t>
      </w:r>
    </w:p>
    <w:p>
      <w:pPr>
        <w:keepNext w:val="0"/>
        <w:pageBreakBefore w:val="0"/>
        <w:widowControl/>
        <w:spacing w:line="276" w:lineRule="auto" w:after="120"/>
      </w:pPr>
      <w:r>
        <w:t>A bare-metal C harness executes the 44,161-parameter actor, HMAC-SHA256 and Monocypher 4.0.3 Ed25519 on QEMU 11.1.2’s MPS2 AN385 Cortex-M3 model [23, 24]. Eight retained radio decisions and eight candidate-permutation controls produce 128 logits; all 16 actions match PyTorch and span eight candidate indices. The largest logit difference is 1.7881393432617188e-7, below the 1e-5 tolerance. HMAC matches RFC 4231 case 1; Ed25519 signatures match independent Python verification, and a corrupted signature is rejected. Table 9 records the execution checks.</w:t>
      </w:r>
    </w:p>
    <w:p>
      <w:pPr>
        <w:keepNext/>
        <w:pageBreakBefore w:val="0"/>
        <w:widowControl/>
        <w:spacing w:line="276" w:lineRule="auto" w:after="120"/>
      </w:pPr>
      <w:r>
        <w:t>Table 9. Isolated target checks.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4536"/>
        <w:gridCol w:w="4536"/>
      </w:tblGrid>
      <w:tr>
        <w:trPr>
          <w:cantSplit/>
          <w:tblHeader/>
        </w:trPr>
        <w:tc>
          <w:tcPr>
            <w:tcW w:type="dxa" w:w="3628"/>
          </w:tcPr>
          <w:p>
            <w:pPr>
              <w:spacing w:after="60" w:before="60" w:line="240" w:lineRule="auto"/>
            </w:pPr>
            <w:r>
              <w:rPr>
                <w:rFonts w:ascii="Times New Roman" w:hAnsi="Times New Roman"/>
                <w:b/>
                <w:sz w:val="18"/>
              </w:rPr>
              <w:t>Check</w:t>
            </w:r>
          </w:p>
        </w:tc>
        <w:tc>
          <w:tcPr>
            <w:tcW w:type="dxa" w:w="4535"/>
          </w:tcPr>
          <w:p>
            <w:pPr>
              <w:spacing w:after="60" w:before="60" w:line="240" w:lineRule="auto"/>
            </w:pPr>
            <w:r>
              <w:rPr>
                <w:rFonts w:ascii="Times New Roman" w:hAnsi="Times New Roman"/>
                <w:b/>
                <w:sz w:val="18"/>
              </w:rPr>
              <w:t>Observed result</w:t>
            </w:r>
          </w:p>
        </w:tc>
      </w:tr>
      <w:tr>
        <w:trPr>
          <w:cantSplit/>
        </w:trPr>
        <w:tc>
          <w:tcPr>
            <w:tcW w:type="dxa" w:w="3628"/>
          </w:tcPr>
          <w:p>
            <w:pPr>
              <w:spacing w:after="60" w:before="60" w:line="240" w:lineRule="auto"/>
            </w:pPr>
            <w:r>
              <w:rPr>
                <w:rFonts w:ascii="Times New Roman" w:hAnsi="Times New Roman"/>
                <w:b w:val="0"/>
                <w:sz w:val="18"/>
              </w:rPr>
              <w:t>Actor outputs</w:t>
            </w:r>
          </w:p>
        </w:tc>
        <w:tc>
          <w:tcPr>
            <w:tcW w:type="dxa" w:w="4535"/>
          </w:tcPr>
          <w:p>
            <w:pPr>
              <w:spacing w:after="60" w:before="60" w:line="240" w:lineRule="auto"/>
            </w:pPr>
            <w:r>
              <w:rPr>
                <w:rFonts w:ascii="Times New Roman" w:hAnsi="Times New Roman"/>
                <w:b w:val="0"/>
                <w:sz w:val="18"/>
              </w:rPr>
              <w:t>16/16 actions; 128 logits</w:t>
            </w:r>
          </w:p>
        </w:tc>
      </w:tr>
      <w:tr>
        <w:trPr>
          <w:cantSplit/>
        </w:trPr>
        <w:tc>
          <w:tcPr>
            <w:tcW w:type="dxa" w:w="3628"/>
          </w:tcPr>
          <w:p>
            <w:pPr>
              <w:spacing w:after="60" w:before="60" w:line="240" w:lineRule="auto"/>
            </w:pPr>
            <w:r>
              <w:rPr>
                <w:rFonts w:ascii="Times New Roman" w:hAnsi="Times New Roman"/>
                <w:b w:val="0"/>
                <w:sz w:val="18"/>
              </w:rPr>
              <w:t>Maximum logit error</w:t>
            </w:r>
          </w:p>
        </w:tc>
        <w:tc>
          <w:tcPr>
            <w:tcW w:type="dxa" w:w="4535"/>
          </w:tcPr>
          <w:p>
            <w:pPr>
              <w:spacing w:after="60" w:before="60" w:line="240" w:lineRule="auto"/>
            </w:pPr>
            <w:r>
              <w:rPr>
                <w:rFonts w:ascii="Times New Roman" w:hAnsi="Times New Roman"/>
                <w:b w:val="0"/>
                <w:sz w:val="18"/>
              </w:rPr>
              <w:t>1.7881393432617188e-7</w:t>
            </w:r>
          </w:p>
        </w:tc>
      </w:tr>
      <w:tr>
        <w:trPr>
          <w:cantSplit/>
        </w:trPr>
        <w:tc>
          <w:tcPr>
            <w:tcW w:type="dxa" w:w="3628"/>
          </w:tcPr>
          <w:p>
            <w:pPr>
              <w:spacing w:after="60" w:before="60" w:line="240" w:lineRule="auto"/>
            </w:pPr>
            <w:r>
              <w:rPr>
                <w:rFonts w:ascii="Times New Roman" w:hAnsi="Times New Roman"/>
                <w:b w:val="0"/>
                <w:sz w:val="18"/>
              </w:rPr>
              <w:t>HMAC / Ed25519</w:t>
            </w:r>
          </w:p>
        </w:tc>
        <w:tc>
          <w:tcPr>
            <w:tcW w:type="dxa" w:w="4535"/>
          </w:tcPr>
          <w:p>
            <w:pPr>
              <w:spacing w:after="60" w:before="60" w:line="240" w:lineRule="auto"/>
            </w:pPr>
            <w:r>
              <w:rPr>
                <w:rFonts w:ascii="Times New Roman" w:hAnsi="Times New Roman"/>
                <w:b w:val="0"/>
                <w:sz w:val="18"/>
              </w:rPr>
              <w:t>Known-answer / sign and verify passed</w:t>
            </w:r>
          </w:p>
        </w:tc>
      </w:tr>
      <w:tr>
        <w:trPr>
          <w:cantSplit/>
        </w:trPr>
        <w:tc>
          <w:tcPr>
            <w:tcW w:type="dxa" w:w="3628"/>
          </w:tcPr>
          <w:p>
            <w:pPr>
              <w:spacing w:after="60" w:before="60" w:line="240" w:lineRule="auto"/>
            </w:pPr>
            <w:r>
              <w:rPr>
                <w:rFonts w:ascii="Times New Roman" w:hAnsi="Times New Roman"/>
                <w:b w:val="0"/>
                <w:sz w:val="18"/>
              </w:rPr>
              <w:t>Text and read-only data</w:t>
            </w:r>
          </w:p>
        </w:tc>
        <w:tc>
          <w:tcPr>
            <w:tcW w:type="dxa" w:w="4535"/>
          </w:tcPr>
          <w:p>
            <w:pPr>
              <w:spacing w:after="60" w:before="60" w:line="240" w:lineRule="auto"/>
            </w:pPr>
            <w:r>
              <w:rPr>
                <w:rFonts w:ascii="Times New Roman" w:hAnsi="Times New Roman"/>
                <w:b w:val="0"/>
                <w:sz w:val="18"/>
              </w:rPr>
              <w:t>341,600 bytes</w:t>
            </w:r>
          </w:p>
        </w:tc>
      </w:tr>
      <w:tr>
        <w:trPr>
          <w:cantSplit/>
        </w:trPr>
        <w:tc>
          <w:tcPr>
            <w:tcW w:type="dxa" w:w="3628"/>
          </w:tcPr>
          <w:p>
            <w:pPr>
              <w:spacing w:after="60" w:before="60" w:line="240" w:lineRule="auto"/>
            </w:pPr>
            <w:r>
              <w:rPr>
                <w:rFonts w:ascii="Times New Roman" w:hAnsi="Times New Roman"/>
                <w:b w:val="0"/>
                <w:sz w:val="18"/>
              </w:rPr>
              <w:t>Observed stack watermark</w:t>
            </w:r>
          </w:p>
        </w:tc>
        <w:tc>
          <w:tcPr>
            <w:tcW w:type="dxa" w:w="4535"/>
          </w:tcPr>
          <w:p>
            <w:pPr>
              <w:spacing w:after="60" w:before="60" w:line="240" w:lineRule="auto"/>
            </w:pPr>
            <w:r>
              <w:rPr>
                <w:rFonts w:ascii="Times New Roman" w:hAnsi="Times New Roman"/>
                <w:b w:val="0"/>
                <w:sz w:val="18"/>
              </w:rPr>
              <w:t>3,080 bytes</w:t>
            </w:r>
          </w:p>
        </w:tc>
      </w:tr>
      <w:tr>
        <w:trPr>
          <w:cantSplit/>
        </w:trPr>
        <w:tc>
          <w:tcPr>
            <w:tcW w:type="dxa" w:w="3628"/>
          </w:tcPr>
          <w:p>
            <w:pPr>
              <w:spacing w:after="60" w:before="60" w:line="240" w:lineRule="auto"/>
            </w:pPr>
            <w:r>
              <w:rPr>
                <w:rFonts w:ascii="Times New Roman" w:hAnsi="Times New Roman"/>
                <w:b w:val="0"/>
                <w:sz w:val="18"/>
              </w:rPr>
              <w:t>Linker limits</w:t>
            </w:r>
          </w:p>
        </w:tc>
        <w:tc>
          <w:tcPr>
            <w:tcW w:type="dxa" w:w="4535"/>
          </w:tcPr>
          <w:p>
            <w:pPr>
              <w:spacing w:after="60" w:before="60" w:line="240" w:lineRule="auto"/>
            </w:pPr>
            <w:r>
              <w:rPr>
                <w:rFonts w:ascii="Times New Roman" w:hAnsi="Times New Roman"/>
                <w:b w:val="0"/>
                <w:sz w:val="18"/>
              </w:rPr>
              <w:t>512 KiB flash; 32 KiB SRAM</w:t>
            </w:r>
          </w:p>
        </w:tc>
      </w:tr>
    </w:tbl>
    <w:p>
      <w:pPr>
        <w:keepNext w:val="0"/>
        <w:pageBreakBefore w:val="0"/>
        <w:widowControl/>
        <w:spacing w:line="276" w:lineRule="auto" w:after="120" w:before="120"/>
      </w:pPr>
      <w:r>
        <w:t>The image omits radio buffers, RTOS state and integrated protocol memory; its observed stack watermark is not a worst-case bound. Public test keys are used only for validation. This isolated instruction harness and the CC2538 UART/radio bridge in Section 5.4 are distinct experiments. Neither their separate success nor the activation approximation’s agreement on these vectors validates a complete embedded routing system, physical timing or measured energy.</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benchmark supports replacing the tested active-proof mechanism within its prespecified margins. Because eligibility and expiry rules change together with control traffic, the observed difference cannot be assigned to proof airtime alone. Comparisons with naive passive and frozen prior do not establish a unique censoring effect after correction. Retaining the earlier unsuccessful architecture comparisons prevents the feedback result from being recast as evidence for neural-policy superiority.</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frozen experiments provide neither a long-horizon reclamation policy nor measured embedded inference cost. Sections 5.6–5.7 add bounded-state tests and isolated instruction-level execution; integrated firmware costs remain unmeasured.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physical clock offset or drift, which remain unmeasured; Section 5.7 tests a declared virtual envelope.</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keepNext/>
        <w:pageBreakBefore w:val="0"/>
        <w:widowControl/>
        <w:spacing w:line="276" w:lineRule="auto" w:after="120"/>
      </w:pPr>
      <w:r>
        <w:t>6.2 Future experiments</w:t>
      </w:r>
    </w:p>
    <w:p>
      <w:pPr>
        <w:keepNext w:val="0"/>
        <w:pageBreakBefore w:val="0"/>
        <w:widowControl/>
        <w:spacing w:line="276" w:lineRule="auto" w:after="120"/>
      </w:pPr>
      <w:r>
        <w:t>Section 5.6 separates proof generation from the declared evidence rule, but its periodic sleep primitive lacks rendezvous. An observation policy could choose silence, passive listening or an authenticated probe according to the expected reduction in delivery loss relative to measured radio and processing cost. A discriminating deployment experiment would integrate rendezvous, test adversarial receipts and clock uncertainty, and reserve new physical-board settings. This would evaluate evidence acquisition under execution costs absent from the isolated harness.</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ACK-gated censored passive feedback passed the prespecified replacement test on 30 new fixtures, improving blackhole delivery over active proofs by 4.67 percentage points. The matched controls establish neither a unique censoring effect nor an attention advantage. In the separate 180-run authenticated transport study, frozen policies operate on received wire state and local service records without an established attention benefit. Serial-interface testing corrected a receive-time error, and four emulated Cortex-M3 boards execute the compiled UART-to-radio bridge while inference and cryptography remain on the host. The 60–300 s extension exposes routing-energy exhaustion and increasing source debt. Together, these results define the benchmark’s supported feedback comparison and deployment boundary: absolute service compliance, physical-board operation, integrated on-board policy/crypto execution and measured energy remain unvalidated. The 240-run factorial extension identifies a proof-traffic delivery penalty with always-on listening, while severe loss under periodic sleeping limits transfer of that finding. Isolated Cortex-M3 execution verifies actor outputs and cryptographic primitives, not a complete embedded radio system.</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p>
      <w:pPr>
        <w:spacing w:line="276" w:lineRule="auto"/>
      </w:pPr>
      <w:r>
        <w:t>[23] L. Vaillant et al., “Monocypher,” release 4.0.3, 2026. Available: https://monocypher.org/changelog. Accessed October 18, 2026.</w:t>
      </w:r>
    </w:p>
    <w:p>
      <w:pPr>
        <w:spacing w:line="276" w:lineRule="auto"/>
      </w:pPr>
      <w:r>
        <w:t>[24] QEMU Project, “Arm MPS2 and MPS3 boards,” QEMU System Emulation Documentation. Available: https://www.qemu.org/docs/master/system/arm/mps2.html. Accessed October 18, 2026.</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