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jc w:val="center"/>
      </w:pPr>
      <w:r>
        <w:rPr>
          <w:rFonts w:ascii="Times New Roman" w:hAnsi="Times New Roman"/>
          <w:b/>
          <w:color w:val="000000"/>
        </w:rPr>
        <w:t>Receipt Assisted Passive Feedback for Multihop Wireless Sensor Routing</w:t>
      </w:r>
    </w:p>
    <w:p>
      <w:pPr>
        <w:widowControl/>
        <w:jc w:val="center"/>
      </w:pPr>
      <w:r>
        <w:rPr>
          <w:rFonts w:ascii="Times New Roman" w:hAnsi="Times New Roman"/>
          <w:color w:val="000000"/>
        </w:rPr>
        <w:t>Shivam Bhardwaj, Jitendra Nath Srivastava and Akash Sanghi</w:t>
      </w:r>
    </w:p>
    <w:p>
      <w:pPr>
        <w:widowControl/>
        <w:jc w:val="center"/>
      </w:pPr>
      <w:r>
        <w:rPr>
          <w:rFonts w:ascii="Times New Roman" w:hAnsi="Times New Roman"/>
          <w:color w:val="000000"/>
        </w:rPr>
        <w:t>Faculty of Engineering and Technology, Invertis University, Bareilly, Uttar Pradesh 243123, India</w:t>
      </w:r>
    </w:p>
    <w:p>
      <w:pPr>
        <w:widowControl/>
      </w:pPr>
      <w:r>
        <w:rPr>
          <w:rFonts w:ascii="Times New Roman" w:hAnsi="Times New Roman"/>
          <w:color w:val="000000"/>
        </w:rPr>
        <w:t>Corresponding author: shibambhardwaj@gmail.com</w:t>
        <w:br/>
        <w:t>Coauthors: jitendranathshrivastava@gmail.com; sanghiakash@gmail.com</w:t>
      </w:r>
    </w:p>
    <w:p>
      <w:pPr>
        <w:widowControl/>
      </w:pPr>
      <w:r>
        <w:rPr>
          <w:rFonts w:ascii="Times New Roman" w:hAnsi="Times New Roman"/>
          <w:color w:val="000000"/>
        </w:rPr>
        <w:t>Running title: Passive Feedback for Sensor Routing</w:t>
      </w:r>
    </w:p>
    <w:p>
      <w:pPr>
        <w:pStyle w:val="Heading1"/>
      </w:pPr>
      <w:r>
        <w:rPr>
          <w:rFonts w:ascii="Times New Roman" w:hAnsi="Times New Roman"/>
          <w:color w:val="000000"/>
        </w:rPr>
        <w:t>Abstract</w:t>
      </w:r>
    </w:p>
    <w:p>
      <w:pPr>
        <w:widowControl/>
      </w:pPr>
      <w:r>
        <w:rPr>
          <w:rFonts w:ascii="Times New Roman" w:hAnsi="Times New Roman"/>
          <w:color w:val="000000"/>
        </w:rPr>
        <w:t>Routing feedback consumes the channel it monitors and can confuse missing observations with forwarding failure. We evaluate receipt assisted passive feedback for a frozen local attention routing policy in an IEEE 802.15.4 simulator. A development study exposed adverse effects of explicit forwarding proofs. The redesigned ledger was then frozen before 750 runs on 30 new fixtures, using naive passive, active proof, frozen prior and capacity matched policy controls. Under blackholes, delivery increased from 71.28% with active proofs to 75.94%, a paired gain of 4.67 percentage points with a 95% confidence interval of 2.36–6.97 and Holm adjusted p=0.0161. All four prespecified incremental gate checks passed. Neither censoring nor attention established superiority over its matched controls. Energy per delivered byte improved, while total modeled radio energy increased slightly. The results support a bounded replacement of the proof based mechanism under the tested assumptions, with open limits in authentication, distributed state, duty cycling and absolute service compliance.</w:t>
      </w:r>
    </w:p>
    <w:p>
      <w:pPr>
        <w:widowControl/>
      </w:pPr>
      <w:r>
        <w:rPr>
          <w:rFonts w:ascii="Times New Roman" w:hAnsi="Times New Roman"/>
          <w:color w:val="000000"/>
        </w:rPr>
        <w:t>Index Terms: Feedback censoring, Multihop routing, Passive monitoring, Reproducibility, Wireless sensor networks</w:t>
      </w:r>
    </w:p>
    <w:p>
      <w:pPr>
        <w:pStyle w:val="Heading1"/>
      </w:pPr>
      <w:r>
        <w:rPr>
          <w:rFonts w:ascii="Times New Roman" w:hAnsi="Times New Roman"/>
          <w:color w:val="000000"/>
        </w:rPr>
        <w:t>I. Introduction</w:t>
      </w:r>
    </w:p>
    <w:p>
      <w:pPr>
        <w:widowControl/>
      </w:pPr>
      <w:r>
        <w:rPr>
          <w:rFonts w:ascii="Times New Roman" w:hAnsi="Times New Roman"/>
          <w:color w:val="000000"/>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pPr>
      <w:r>
        <w:rPr>
          <w:rFonts w:ascii="Times New Roman" w:hAnsi="Times New Roman"/>
          <w:color w:val="000000"/>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pPr>
      <w:r>
        <w:rPr>
          <w:rFonts w:ascii="Times New Roman" w:hAnsi="Times New Roman"/>
          <w:color w:val="000000"/>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pPr>
      <w:r>
        <w:rPr>
          <w:rFonts w:ascii="Times New Roman" w:hAnsi="Times New Roman"/>
          <w:color w:val="000000"/>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pPr>
      <w:r>
        <w:rPr>
          <w:rFonts w:ascii="Times New Roman" w:hAnsi="Times New Roman"/>
          <w:color w:val="000000"/>
        </w:rPr>
        <w:t>A. Contribution and research questions</w:t>
      </w:r>
    </w:p>
    <w:p>
      <w:pPr>
        <w:widowControl/>
      </w:pPr>
      <w:r>
        <w:rPr>
          <w:rFonts w:ascii="Times New Roman" w:hAnsi="Times New Roman"/>
          <w:color w:val="000000"/>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pPr>
      <w:r>
        <w:rPr>
          <w:rFonts w:ascii="Times New Roman" w:hAnsi="Times New Roman"/>
          <w:color w:val="000000"/>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pStyle w:val="Heading1"/>
      </w:pPr>
      <w:r>
        <w:rPr>
          <w:rFonts w:ascii="Times New Roman" w:hAnsi="Times New Roman"/>
          <w:color w:val="000000"/>
        </w:rPr>
        <w:t>II. System model and methods</w:t>
      </w:r>
    </w:p>
    <w:p>
      <w:pPr>
        <w:pStyle w:val="Heading2"/>
      </w:pPr>
      <w:r>
        <w:rPr>
          <w:rFonts w:ascii="Times New Roman" w:hAnsi="Times New Roman"/>
          <w:color w:val="000000"/>
        </w:rPr>
        <w:t>A. Radio traffic and threat model</w:t>
      </w:r>
    </w:p>
    <w:p>
      <w:pPr>
        <w:widowControl/>
      </w:pPr>
      <w:r>
        <w:rPr>
          <w:rFonts w:ascii="Times New Roman" w:hAnsi="Times New Roman"/>
          <w:color w:val="000000"/>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pPr>
      <w:r>
        <w:rPr>
          <w:rFonts w:ascii="Times New Roman" w:hAnsi="Times New Roman"/>
          <w:color w:val="000000"/>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pPr>
      <w:r>
        <w:rPr>
          <w:rFonts w:ascii="Times New Roman" w:hAnsi="Times New Roman"/>
          <w:color w:val="000000"/>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pPr>
      <w:r>
        <w:rPr>
          <w:rFonts w:ascii="Times New Roman" w:hAnsi="Times New Roman"/>
          <w:color w:val="000000"/>
        </w:rPr>
        <w:t>B. State construction and frozen routing policy</w:t>
      </w:r>
    </w:p>
    <w:p>
      <w:pPr>
        <w:widowControl/>
      </w:pPr>
      <w:r>
        <w:rPr>
          <w:rFonts w:ascii="Times New Roman" w:hAnsi="Times New Roman"/>
          <w:color w:val="000000"/>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384" w:lineRule="auto"/>
        <w:jc w:val="left"/>
      </w:pPr>
      <w:r>
        <w:rPr>
          <w:rFonts w:ascii="Times New Roman" w:hAnsi="Times New Roman"/>
          <w:color w:val="000000"/>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rPr>
        <w:tab/>
        <w:t>(1)</w:t>
      </w:r>
    </w:p>
    <w:p>
      <w:pPr>
        <w:widowControl/>
        <w:spacing w:line="276" w:lineRule="auto" w:after="60"/>
      </w:pPr>
      <w:r>
        <w:rPr>
          <w:rFonts w:ascii="Times New Roman" w:hAnsi="Times New Roman"/>
          <w:color w:val="000000"/>
        </w:rPr>
        <w:t>• g is sinkward progress divided by 50 m; q is estimated MAC success probability; both are dimensionless.</w:t>
      </w:r>
    </w:p>
    <w:p>
      <w:pPr>
        <w:widowControl/>
        <w:spacing w:line="276" w:lineRule="auto" w:after="60"/>
      </w:pPr>
      <w:r>
        <w:rPr>
          <w:rFonts w:ascii="Times New Roman" w:hAnsi="Times New Roman"/>
          <w:color w:val="000000"/>
        </w:rPr>
        <w:t>• e is remaining modeled energy divided by 0.5 J, Q is pending-request pressure normalized by 32, and R is the evidence-risk upper proxy; all are dimensionless.</w:t>
      </w:r>
    </w:p>
    <w:p>
      <w:pPr>
        <w:widowControl/>
      </w:pPr>
      <w:r>
        <w:rPr>
          <w:rFonts w:ascii="Times New Roman" w:hAnsi="Times New Roman"/>
          <w:color w:val="000000"/>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pPr>
      <w:r>
        <w:rPr>
          <w:rFonts w:ascii="Times New Roman" w:hAnsi="Times New Roman"/>
          <w:color w:val="000000"/>
        </w:rPr>
        <w:t>Separate shared encoders transform context x and candidate h into 96-dimensional vectors. Query-to-candidate scoring and a shared bias produce the logit</w:t>
      </w:r>
    </w:p>
    <w:p>
      <w:pPr>
        <w:keepNext/>
        <w:tabs>
          <w:tab w:pos="4535" w:val="center"/>
          <w:tab w:pos="9071" w:val="right"/>
        </w:tabs>
        <w:spacing w:line="384" w:lineRule="auto"/>
        <w:jc w:val="left"/>
      </w:pPr>
      <w:r>
        <w:rPr>
          <w:rFonts w:ascii="Times New Roman" w:hAnsi="Times New Roman"/>
          <w:color w:val="000000"/>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rPr>
        <w:tab/>
        <w:t>(2)</w:t>
      </w:r>
    </w:p>
    <w:p>
      <w:pPr>
        <w:widowControl/>
        <w:spacing w:line="276" w:lineRule="auto" w:after="60"/>
      </w:pPr>
      <w:r>
        <w:rPr>
          <w:rFonts w:ascii="Times New Roman" w:hAnsi="Times New Roman"/>
          <w:color w:val="000000"/>
        </w:rPr>
        <w:t>• ℓ is a dimensionless action logit; x and h are the context and candidate feature vectors.</w:t>
      </w:r>
    </w:p>
    <w:p>
      <w:pPr>
        <w:widowControl/>
        <w:spacing w:line="276" w:lineRule="auto" w:after="60"/>
      </w:pPr>
      <w:r>
        <w:rPr>
          <w:rFonts w:ascii="Times New Roman" w:hAnsi="Times New Roman"/>
          <w:color w:val="000000"/>
        </w:rPr>
        <w:t>• qθ and kθ are learned query/key transforms and bθ is a learned candidate bias; θ is fixed throughout transfer.</w:t>
      </w:r>
    </w:p>
    <w:p>
      <w:pPr>
        <w:widowControl/>
      </w:pPr>
      <w:r>
        <w:rPr>
          <w:rFonts w:ascii="Times New Roman" w:hAnsi="Times New Roman"/>
          <w:color w:val="000000"/>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pPr>
      <w:r>
        <w:rPr>
          <w:rFonts w:ascii="Times New Roman" w:hAnsi="Times New Roman"/>
          <w:color w:val="000000"/>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pPr>
      <w:r>
        <w:rPr>
          <w:rFonts w:ascii="Times New Roman" w:hAnsi="Times New Roman"/>
          <w:color w:val="000000"/>
        </w:rPr>
        <w:t>C. Receipt assisted censored evidence</w:t>
      </w:r>
    </w:p>
    <w:p>
      <w:pPr>
        <w:widowControl/>
      </w:pPr>
      <w:r>
        <w:rPr>
          <w:rFonts w:ascii="Times New Roman" w:hAnsi="Times New Roman"/>
          <w:color w:val="000000"/>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384" w:lineRule="auto"/>
        <w:jc w:val="left"/>
      </w:pPr>
      <w:r>
        <w:rPr>
          <w:rFonts w:ascii="Times New Roman" w:hAnsi="Times New Roman"/>
          <w:color w:val="000000"/>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rPr>
        <w:tab/>
        <w:t>(3)</w:t>
      </w:r>
    </w:p>
    <w:p>
      <w:pPr>
        <w:widowControl/>
        <w:spacing w:line="276" w:lineRule="auto" w:after="60"/>
      </w:pPr>
      <w:r>
        <w:rPr>
          <w:rFonts w:ascii="Times New Roman" w:hAnsi="Times New Roman"/>
          <w:color w:val="000000"/>
        </w:rPr>
        <w:t>• s is the strongest evidence strength, dimensionless and bounded by 1.</w:t>
      </w:r>
    </w:p>
    <w:p>
      <w:pPr>
        <w:widowControl/>
        <w:spacing w:line="276" w:lineRule="auto" w:after="60"/>
      </w:pPr>
      <w:r>
        <w:rPr>
          <w:rFonts w:ascii="Times New Roman" w:hAnsi="Times New Roman"/>
          <w:color w:val="000000"/>
        </w:rPr>
        <w:t>• I_overheard and I_receipt indicate matched received forwarding frames and reverse receipts, respectively; they are dimensionless binary observations.</w:t>
      </w:r>
    </w:p>
    <w:p>
      <w:pPr>
        <w:widowControl/>
      </w:pPr>
      <w:r>
        <w:rPr>
          <w:rFonts w:ascii="Times New Roman" w:hAnsi="Times New Roman"/>
          <w:color w:val="000000"/>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384" w:lineRule="auto"/>
        <w:jc w:val="left"/>
      </w:pPr>
      <w:r>
        <w:rPr>
          <w:rFonts w:ascii="Times New Roman" w:hAnsi="Times New Roman"/>
          <w:color w:val="000000"/>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rPr>
        <w:tab/>
        <w:t>(4)</w:t>
      </w:r>
    </w:p>
    <w:p>
      <w:pPr>
        <w:widowControl/>
        <w:spacing w:line="276" w:lineRule="auto" w:after="60"/>
      </w:pPr>
      <w:r>
        <w:rPr>
          <w:rFonts w:ascii="Times New Roman" w:hAnsi="Times New Roman"/>
          <w:color w:val="000000"/>
        </w:rPr>
        <w:t>• α is a dimensionless effective success count, initialized to 1; c is the credited record strength, initialized to 0.</w:t>
      </w:r>
    </w:p>
    <w:p>
      <w:pPr>
        <w:widowControl/>
        <w:spacing w:line="276" w:lineRule="auto" w:after="60"/>
      </w:pPr>
      <w:r>
        <w:rPr>
          <w:rFonts w:ascii="Times New Roman" w:hAnsi="Times New Roman"/>
          <w:color w:val="000000"/>
        </w:rPr>
        <w:t>• q is the dimensionless link-success estimate at registration. The clipping floor applies to each positive increment, not to their sum.</w:t>
      </w:r>
    </w:p>
    <w:p>
      <w:pPr>
        <w:widowControl/>
      </w:pPr>
      <w:r>
        <w:rPr>
          <w:rFonts w:ascii="Times New Roman" w:hAnsi="Times New Roman"/>
          <w:color w:val="000000"/>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pPr>
      <w:r>
        <w:rPr>
          <w:rFonts w:ascii="Times New Roman" w:hAnsi="Times New Roman"/>
          <w:color w:val="000000"/>
        </w:rPr>
        <w:t>The existing risk coordinates are retained as evidence preferences. With the rate-anomaly term inactive, the mean and upper proxy are</w:t>
      </w:r>
    </w:p>
    <w:p>
      <w:pPr>
        <w:keepNext/>
        <w:tabs>
          <w:tab w:pos="4535" w:val="center"/>
          <w:tab w:pos="9071" w:val="right"/>
        </w:tabs>
        <w:spacing w:line="384" w:lineRule="auto"/>
        <w:jc w:val="left"/>
      </w:pPr>
      <w:r>
        <w:rPr>
          <w:rFonts w:ascii="Times New Roman" w:hAnsi="Times New Roman"/>
          <w:color w:val="000000"/>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rPr>
        <w:tab/>
        <w:t>(5)</w:t>
      </w:r>
    </w:p>
    <w:p>
      <w:pPr>
        <w:widowControl/>
        <w:spacing w:line="276" w:lineRule="auto" w:after="60"/>
      </w:pPr>
      <w:r>
        <w:rPr>
          <w:rFonts w:ascii="Times New Roman" w:hAnsi="Times New Roman"/>
          <w:color w:val="000000"/>
        </w:rPr>
        <w:t>• ρ and R are dimensionless risk coordinates.</w:t>
      </w:r>
    </w:p>
    <w:p>
      <w:pPr>
        <w:widowControl/>
        <w:spacing w:line="276" w:lineRule="auto" w:after="60"/>
      </w:pPr>
      <w:r>
        <w:rPr>
          <w:rFonts w:ascii="Times New Roman" w:hAnsi="Times New Roman"/>
          <w:color w:val="000000"/>
        </w:rPr>
        <w:t>• σ is the beta-form standard deviation sqrt[αβ / ((α+β)²(α+β+1))], used as a dimensionless uncertainty proxy rather than a calibrated maliciousness interval.</w:t>
      </w:r>
    </w:p>
    <w:p>
      <w:pPr>
        <w:widowControl/>
      </w:pPr>
      <w:r>
        <w:rPr>
          <w:rFonts w:ascii="Times New Roman" w:hAnsi="Times New Roman"/>
          <w:color w:val="000000"/>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pPr>
      <w:r>
        <w:rPr>
          <w:rFonts w:ascii="Times New Roman" w:hAnsi="Times New Roman"/>
          <w:color w:val="000000"/>
        </w:rPr>
        <w:t>D. Source service state and simulator boundaries</w:t>
      </w:r>
    </w:p>
    <w:p>
      <w:pPr>
        <w:widowControl/>
      </w:pPr>
      <w:r>
        <w:rPr>
          <w:rFonts w:ascii="Times New Roman" w:hAnsi="Times New Roman"/>
          <w:color w:val="000000"/>
        </w:rPr>
        <w:t>Per-class service debt follows the virtual-queue form motivated by long-run constraint tracking [18]:</w:t>
      </w:r>
    </w:p>
    <w:p>
      <w:pPr>
        <w:keepNext/>
        <w:tabs>
          <w:tab w:pos="4535" w:val="center"/>
          <w:tab w:pos="9071" w:val="right"/>
        </w:tabs>
        <w:spacing w:line="384" w:lineRule="auto"/>
        <w:jc w:val="left"/>
      </w:pPr>
      <w:r>
        <w:rPr>
          <w:rFonts w:ascii="Times New Roman" w:hAnsi="Times New Roman"/>
          <w:color w:val="000000"/>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rPr>
        <w:tab/>
        <w:t>(6)</w:t>
      </w:r>
    </w:p>
    <w:p>
      <w:pPr>
        <w:widowControl/>
        <w:spacing w:line="276" w:lineRule="auto" w:after="60"/>
      </w:pPr>
      <w:r>
        <w:rPr>
          <w:rFonts w:ascii="Times New Roman" w:hAnsi="Times New Roman"/>
          <w:color w:val="000000"/>
        </w:rPr>
        <w:t>• Zc is a dimensionless source-service debt and bc is the allowed violation fraction for class c.</w:t>
      </w:r>
    </w:p>
    <w:p>
      <w:pPr>
        <w:widowControl/>
        <w:spacing w:line="276" w:lineRule="auto" w:after="60"/>
      </w:pPr>
      <w:r>
        <w:rPr>
          <w:rFonts w:ascii="Times New Roman" w:hAnsi="Times New Roman"/>
          <w:color w:val="000000"/>
        </w:rPr>
        <w:t>• I_violation is 1 for a missing or late delivered packet and 0 otherwise; loss has a separate analogous channel.</w:t>
      </w:r>
    </w:p>
    <w:p>
      <w:pPr>
        <w:widowControl/>
      </w:pPr>
      <w:r>
        <w:rPr>
          <w:rFonts w:ascii="Times New Roman" w:hAnsi="Times New Roman"/>
          <w:color w:val="000000"/>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pPr>
      <w:r>
        <w:rPr>
          <w:rFonts w:ascii="Times New Roman" w:hAnsi="Times New Roman"/>
          <w:color w:val="000000"/>
        </w:rPr>
        <w:t>Algorithm 1 specifies the tested observer logic. Its event sequence appears in Fig. 2. Physical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pPr>
      <w:r>
        <w:rPr>
          <w:rFonts w:ascii="Times New Roman" w:hAnsi="Times New Roman"/>
          <w:color w:val="000000"/>
        </w:rPr>
        <w:t>III. Experimental design</w:t>
      </w:r>
    </w:p>
    <w:p>
      <w:pPr>
        <w:pStyle w:val="Heading2"/>
      </w:pPr>
      <w:r>
        <w:rPr>
          <w:rFonts w:ascii="Times New Roman" w:hAnsi="Times New Roman"/>
          <w:color w:val="000000"/>
        </w:rPr>
        <w:t>A. Development separation and untouched fixtures</w:t>
      </w:r>
    </w:p>
    <w:p>
      <w:pPr>
        <w:widowControl/>
      </w:pPr>
      <w:r>
        <w:rPr>
          <w:rFonts w:ascii="Times New Roman" w:hAnsi="Times New Roman"/>
          <w:color w:val="000000"/>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pPr>
      <w:r>
        <w:rPr>
          <w:rFonts w:ascii="Times New Roman" w:hAnsi="Times New Roman"/>
          <w:color w:val="000000"/>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pPr>
      <w:r>
        <w:rPr>
          <w:rFonts w:ascii="Times New Roman" w:hAnsi="Times New Roman"/>
          <w:color w:val="000000"/>
        </w:rPr>
        <w:t>B. Endpoints and radio accounting</w:t>
      </w:r>
    </w:p>
    <w:p>
      <w:pPr>
        <w:widowControl/>
      </w:pPr>
      <w:r>
        <w:rPr>
          <w:rFonts w:ascii="Times New Roman" w:hAnsi="Times New Roman"/>
          <w:color w:val="000000"/>
        </w:rPr>
        <w:t>The primary routing summaries count sink reception against all offered source packets. Delivery fraction is</w:t>
      </w:r>
    </w:p>
    <w:p>
      <w:pPr>
        <w:keepNext/>
        <w:tabs>
          <w:tab w:pos="4535" w:val="center"/>
          <w:tab w:pos="9071" w:val="right"/>
        </w:tabs>
        <w:spacing w:line="384" w:lineRule="auto"/>
        <w:jc w:val="left"/>
      </w:pPr>
      <w:r>
        <w:rPr>
          <w:rFonts w:ascii="Times New Roman" w:hAnsi="Times New Roman"/>
          <w:color w:val="000000"/>
        </w:rPr>
        <w:tab/>
      </w:r>
      <m:oMath>
        <m:r>
          <m:t>D = </m:t>
        </m:r>
        <m:f>
          <m:num>
            <m:sSub>
              <m:e>
                <m:r>
                  <m:t>N</m:t>
                </m:r>
              </m:e>
              <m:sub>
                <m:r>
                  <m:t>delivered</m:t>
                </m:r>
              </m:sub>
            </m:sSub>
          </m:num>
          <m:den>
            <m:r>
              <m:t>60</m:t>
            </m:r>
          </m:den>
        </m:f>
      </m:oMath>
      <w:r>
        <w:rPr>
          <w:rFonts w:ascii="Times New Roman" w:hAnsi="Times New Roman"/>
          <w:color w:val="000000"/>
        </w:rPr>
        <w:tab/>
        <w:t>(7)</w:t>
      </w:r>
    </w:p>
    <w:p>
      <w:pPr>
        <w:widowControl/>
        <w:spacing w:line="276" w:lineRule="auto" w:after="60"/>
      </w:pPr>
      <w:r>
        <w:rPr>
          <w:rFonts w:ascii="Times New Roman" w:hAnsi="Times New Roman"/>
          <w:color w:val="000000"/>
        </w:rPr>
        <w:t>• D is dimensionless; Ndelivered counts distinct packet identifiers received by the sink during the 4 s horizon.</w:t>
      </w:r>
    </w:p>
    <w:p>
      <w:pPr>
        <w:widowControl/>
      </w:pPr>
      <w:r>
        <w:rPr>
          <w:rFonts w:ascii="Times New Roman" w:hAnsi="Times New Roman"/>
          <w:color w:val="000000"/>
        </w:rPr>
        <w:t>For critical class 0, non-delivery counts as a violation, as does delivery beyond 90 ms:</w:t>
      </w:r>
    </w:p>
    <w:p>
      <w:pPr>
        <w:keepNext/>
        <w:tabs>
          <w:tab w:pos="4535" w:val="center"/>
          <w:tab w:pos="9071" w:val="right"/>
        </w:tabs>
        <w:spacing w:line="384" w:lineRule="auto"/>
        <w:jc w:val="left"/>
      </w:pPr>
      <w:r>
        <w:rPr>
          <w:rFonts w:ascii="Times New Roman" w:hAnsi="Times New Roman"/>
          <w:color w:val="000000"/>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rPr>
        <w:tab/>
        <w:t>(8)</w:t>
      </w:r>
    </w:p>
    <w:p>
      <w:pPr>
        <w:widowControl/>
        <w:spacing w:line="276" w:lineRule="auto" w:after="60"/>
      </w:pPr>
      <w:r>
        <w:rPr>
          <w:rFonts w:ascii="Times New Roman" w:hAnsi="Times New Roman"/>
          <w:color w:val="000000"/>
        </w:rPr>
        <w:t>• V is a dimensionless violation fraction and C0 is the set of offered critical-class packets.</w:t>
      </w:r>
    </w:p>
    <w:p>
      <w:pPr>
        <w:widowControl/>
        <w:spacing w:line="276" w:lineRule="auto" w:after="60"/>
      </w:pPr>
      <w:r>
        <w:rPr>
          <w:rFonts w:ascii="Times New Roman" w:hAnsi="Times New Roman"/>
          <w:color w:val="000000"/>
        </w:rPr>
        <w:t>• delayp is sink reception time minus source generation time, in seconds.</w:t>
      </w:r>
    </w:p>
    <w:p>
      <w:pPr>
        <w:widowControl/>
      </w:pPr>
      <w:r>
        <w:rPr>
          <w:rFonts w:ascii="Times New Roman" w:hAnsi="Times New Roman"/>
          <w:color w:val="000000"/>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384" w:lineRule="auto"/>
        <w:jc w:val="left"/>
      </w:pPr>
      <w:r>
        <w:rPr>
          <w:rFonts w:ascii="Times New Roman" w:hAnsi="Times New Roman"/>
          <w:color w:val="000000"/>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rPr>
        <w:tab/>
        <w:t>(9)</w:t>
      </w:r>
    </w:p>
    <w:p>
      <w:pPr>
        <w:widowControl/>
        <w:spacing w:line="276" w:lineRule="auto" w:after="60"/>
      </w:pPr>
      <w:r>
        <w:rPr>
          <w:rFonts w:ascii="Times New Roman" w:hAnsi="Times New Roman"/>
          <w:color w:val="000000"/>
        </w:rPr>
        <w:t>• E is modeled sensor radio energy in joules; residence times T are in seconds and coefficients are amperes.</w:t>
      </w:r>
    </w:p>
    <w:p>
      <w:pPr>
        <w:widowControl/>
        <w:spacing w:line="276" w:lineRule="auto" w:after="60"/>
      </w:pPr>
      <w:r>
        <w:rPr>
          <w:rFonts w:ascii="Times New Roman" w:hAnsi="Times New Roman"/>
          <w:color w:val="000000"/>
        </w:rPr>
        <w:t>• The supply is 3 V. Currents are explicit assumptions, not calibrated measurements; CPU, sensing and cryptography are excluded.</w:t>
      </w:r>
    </w:p>
    <w:p>
      <w:pPr>
        <w:widowControl/>
      </w:pPr>
      <w:r>
        <w:rPr>
          <w:rFonts w:ascii="Times New Roman" w:hAnsi="Times New Roman"/>
          <w:color w:val="000000"/>
        </w:rPr>
        <w:t>Energy efficiency divides this common-horizon expenditure by delivered application payload bytes:</w:t>
      </w:r>
    </w:p>
    <w:p>
      <w:pPr>
        <w:keepNext/>
        <w:tabs>
          <w:tab w:pos="4535" w:val="center"/>
          <w:tab w:pos="9071" w:val="right"/>
        </w:tabs>
        <w:spacing w:line="384" w:lineRule="auto"/>
        <w:jc w:val="left"/>
      </w:pPr>
      <w:r>
        <w:rPr>
          <w:rFonts w:ascii="Times New Roman" w:hAnsi="Times New Roman"/>
          <w:color w:val="000000"/>
        </w:rPr>
        <w:tab/>
      </w:r>
      <m:oMath>
        <m:r>
          <m:t>η = </m:t>
        </m:r>
        <m:f>
          <m:num>
            <m:r>
              <m:t>E</m:t>
            </m:r>
          </m:num>
          <m:den>
            <m:r>
              <m:t>52 </m:t>
            </m:r>
            <m:sSub>
              <m:e>
                <m:r>
                  <m:t>N</m:t>
                </m:r>
              </m:e>
              <m:sub>
                <m:r>
                  <m:t>delivered</m:t>
                </m:r>
              </m:sub>
            </m:sSub>
          </m:den>
        </m:f>
      </m:oMath>
      <w:r>
        <w:rPr>
          <w:rFonts w:ascii="Times New Roman" w:hAnsi="Times New Roman"/>
          <w:color w:val="000000"/>
        </w:rPr>
        <w:tab/>
        <w:t>(10)</w:t>
      </w:r>
    </w:p>
    <w:p>
      <w:pPr>
        <w:widowControl/>
        <w:spacing w:line="276" w:lineRule="auto" w:after="60"/>
      </w:pPr>
      <w:r>
        <w:rPr>
          <w:rFonts w:ascii="Times New Roman" w:hAnsi="Times New Roman"/>
          <w:color w:val="000000"/>
        </w:rPr>
        <w:t>• η is radio joules per delivered payload byte; 52 is payload bytes per packet.</w:t>
      </w:r>
    </w:p>
    <w:p>
      <w:pPr>
        <w:widowControl/>
        <w:spacing w:line="276" w:lineRule="auto" w:after="60"/>
      </w:pPr>
      <w:r>
        <w:rPr>
          <w:rFonts w:ascii="Times New Roman" w:hAnsi="Times New Roman"/>
          <w:color w:val="000000"/>
        </w:rPr>
        <w:t>• A lower η can result from a larger delivered-byte denominator even if total E does not decrease.</w:t>
      </w:r>
    </w:p>
    <w:p>
      <w:pPr>
        <w:pStyle w:val="Heading2"/>
      </w:pPr>
      <w:r>
        <w:rPr>
          <w:rFonts w:ascii="Times New Roman" w:hAnsi="Times New Roman"/>
          <w:color w:val="000000"/>
        </w:rPr>
        <w:t>C. Statistical analysis and frozen gate</w:t>
      </w:r>
    </w:p>
    <w:p>
      <w:pPr>
        <w:widowControl/>
      </w:pPr>
      <w:r>
        <w:rPr>
          <w:rFonts w:ascii="Times New Roman" w:hAnsi="Times New Roman"/>
          <w:color w:val="000000"/>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pPr>
      <w:r>
        <w:rPr>
          <w:rFonts w:ascii="Times New Roman" w:hAnsi="Times New Roman"/>
          <w:color w:val="000000"/>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pPr>
      <w:r>
        <w:rPr>
          <w:rFonts w:ascii="Times New Roman" w:hAnsi="Times New Roman"/>
          <w:color w:val="000000"/>
        </w:rPr>
        <w:t>IV. Results</w:t>
      </w:r>
    </w:p>
    <w:p>
      <w:pPr>
        <w:pStyle w:val="Heading2"/>
      </w:pPr>
      <w:r>
        <w:rPr>
          <w:rFonts w:ascii="Times New Roman" w:hAnsi="Times New Roman"/>
          <w:color w:val="000000"/>
        </w:rPr>
        <w:t>A. Delivery and matched controls</w:t>
      </w:r>
    </w:p>
    <w:p>
      <w:pPr>
        <w:widowControl/>
      </w:pPr>
      <w:r>
        <w:rPr>
          <w:rFonts w:ascii="Times New Roman" w:hAnsi="Times New Roman"/>
          <w:color w:val="000000"/>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pPr>
      <w:r>
        <w:rPr>
          <w:rFonts w:ascii="Times New Roman" w:hAnsi="Times New Roman"/>
          <w:color w:val="000000"/>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pPr>
      <w:r>
        <w:rPr>
          <w:rFonts w:ascii="Times New Roman" w:hAnsi="Times New Roman"/>
          <w:color w:val="000000"/>
        </w:rPr>
        <w:t>B. Energy efficiency and control traffic</w:t>
      </w:r>
    </w:p>
    <w:p>
      <w:pPr>
        <w:widowControl/>
      </w:pPr>
      <w:r>
        <w:rPr>
          <w:rFonts w:ascii="Times New Roman" w:hAnsi="Times New Roman"/>
          <w:color w:val="000000"/>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pPr>
      <w:r>
        <w:rPr>
          <w:rFonts w:ascii="Times New Roman" w:hAnsi="Times New Roman"/>
          <w:color w:val="000000"/>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pPr>
      <w:r>
        <w:rPr>
          <w:rFonts w:ascii="Times New Roman" w:hAnsi="Times New Roman"/>
          <w:color w:val="000000"/>
        </w:rPr>
        <w:t>C. Gate outcome and service limits</w:t>
      </w:r>
    </w:p>
    <w:p>
      <w:pPr>
        <w:widowControl/>
      </w:pPr>
      <w:r>
        <w:rPr>
          <w:rFonts w:ascii="Times New Roman" w:hAnsi="Times New Roman"/>
          <w:color w:val="000000"/>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pPr>
      <w:r>
        <w:rPr>
          <w:rFonts w:ascii="Times New Roman" w:hAnsi="Times New Roman"/>
          <w:color w:val="000000"/>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pPr>
      <w:r>
        <w:rPr>
          <w:rFonts w:ascii="Times New Roman" w:hAnsi="Times New Roman"/>
          <w:color w:val="000000"/>
        </w:rPr>
        <w:t>D. Implementation and trace audit</w:t>
      </w:r>
    </w:p>
    <w:p>
      <w:pPr>
        <w:widowControl/>
      </w:pPr>
      <w:r>
        <w:rPr>
          <w:rFonts w:ascii="Times New Roman" w:hAnsi="Times New Roman"/>
          <w:color w:val="000000"/>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full 51-test suite and the physical callback control passed again during this review.</w:t>
      </w:r>
    </w:p>
    <w:p>
      <w:pPr>
        <w:widowControl/>
      </w:pPr>
      <w:r>
        <w:rPr>
          <w:rFonts w:ascii="Times New Roman" w:hAnsi="Times New Roman"/>
          <w:color w:val="000000"/>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pPr>
      <w:r>
        <w:rPr>
          <w:rFonts w:ascii="Times New Roman" w:hAnsi="Times New Roman"/>
          <w:color w:val="000000"/>
        </w:rPr>
        <w:t>V. Discussion and conclusions</w:t>
      </w:r>
    </w:p>
    <w:p>
      <w:pPr>
        <w:pStyle w:val="Heading2"/>
      </w:pPr>
      <w:r>
        <w:rPr>
          <w:rFonts w:ascii="Times New Roman" w:hAnsi="Times New Roman"/>
          <w:color w:val="000000"/>
        </w:rPr>
        <w:t>A. Critical vulnerabilities and limitations</w:t>
      </w:r>
    </w:p>
    <w:p>
      <w:pPr>
        <w:widowControl/>
      </w:pPr>
      <w:r>
        <w:rPr>
          <w:rFonts w:ascii="Times New Roman" w:hAnsi="Times New Roman"/>
          <w:color w:val="000000"/>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pPr>
      <w:r>
        <w:rPr>
          <w:rFonts w:ascii="Times New Roman" w:hAnsi="Times New Roman"/>
          <w:color w:val="000000"/>
        </w:rPr>
        <w:t>State locality is incomplete in the frozen benchmark. Geometry, packet history and reverse receipt paths are simulator inputs; beacon values use receive-gated metadata. Source-only service debt does not establish transit-aware distributed queue control. Forged receipts, deceptive telemetry, compromised sources, collusion and mobility are untested. Successful passive transmission is evidence of an attempt, not intended-receiver delivery, and the effective-count score is not a live intrusion detector.</w:t>
      </w:r>
    </w:p>
    <w:p>
      <w:pPr>
        <w:widowControl/>
      </w:pPr>
      <w:r>
        <w:rPr>
          <w:rFonts w:ascii="Times New Roman" w:hAnsi="Times New Roman"/>
          <w:color w:val="000000"/>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pPr>
      <w:r>
        <w:rPr>
          <w:rFonts w:ascii="Times New Roman" w:hAnsi="Times New Roman"/>
          <w:color w:val="000000"/>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pPr>
      <w:r>
        <w:rPr>
          <w:rFonts w:ascii="Times New Roman" w:hAnsi="Times New Roman"/>
          <w:color w:val="000000"/>
        </w:rPr>
        <w:t>B. High novelty opportunities</w:t>
      </w:r>
    </w:p>
    <w:p>
      <w:pPr>
        <w:widowControl/>
      </w:pPr>
      <w:r>
        <w:rPr>
          <w:rFonts w:ascii="Times New Roman" w:hAnsi="Times New Roman"/>
          <w:color w:val="000000"/>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2"/>
      </w:pPr>
      <w:r>
        <w:rPr>
          <w:rFonts w:ascii="Times New Roman" w:hAnsi="Times New Roman"/>
          <w:color w:val="000000"/>
        </w:rPr>
        <w:t>C. Post holdout engineering extension</w:t>
      </w:r>
    </w:p>
    <w:p>
      <w:pPr>
        <w:widowControl/>
      </w:pPr>
      <w:r>
        <w:rPr>
          <w:rFonts w:ascii="Times New Roman" w:hAnsi="Times New Roman"/>
          <w:color w:val="000000"/>
        </w:rPr>
        <w:t>A separate reference transport now serializes neighbor coordinates, local radio energy and queue state into received frame bytes. Each node maintains its own cache, reverse-receipt records and transit-service debt; a 13-byte visited bitset travels with the packet. Pairwise HMAC-SHA256 with a 128-bit tag authenticates hop messages [20]. Provisioned boot sessions and a 64-entry replay window reject stale or repeated messages. A source authenticator binds immutable data fields, and Ed25519 verifies sink-generated receipts [21]. Forwarding credit also requires the local first-hop MAC acknowledgment. Pairwise keys cannot authenticate a third party’s overheard onward transmission, so that observation is not credited in this extension.</w:t>
      </w:r>
    </w:p>
    <w:p>
      <w:pPr>
        <w:widowControl/>
      </w:pPr>
      <w:r>
        <w:rPr>
          <w:rFonts w:ascii="Times New Roman" w:hAnsi="Times New Roman"/>
          <w:color w:val="000000"/>
        </w:rPr>
        <w:t>The transport uses at most 114 application bytes per frame and up to 128 pending records per node with 2 s retirement. Keys are provisioned out of band; configuration reuse after a host restart is blocked by a persistent marker. This remains a host reference implementation without online key exchange or protected key storage. Legitimate key holders can still lie in their own telemetry or drop traffic. These mechanisms establish functional authentication checks, not a formal security proof or physical-device validation.</w:t>
      </w:r>
    </w:p>
    <w:p>
      <w:pPr>
        <w:widowControl/>
      </w:pPr>
      <w:r>
        <w:rPr>
          <w:rFonts w:ascii="Times New Roman" w:hAnsi="Times New Roman"/>
          <w:color w:val="000000"/>
        </w:rPr>
        <w:t>Thirty separate four-node chain fixtures, seeds 82001–82030, offered 300 packets and delivered 295. All fixtures, including packet and receipt losses, were retained. Thirty modified telemetry messages and 30 replayed messages received by the observer were rejected. An audit matched 2,552 received frames to prior transmitted bytes, verified 885 signed receipt transmissions and checked 120 modeled node-energy identities. This engineering control uses greedy progress routing; it is not an evaluation of the frozen attention policy on the new transport. Its delivery rate must not be compared directly with the 100-sensor holdout or substituted into that study’s decision gate.</w:t>
      </w:r>
    </w:p>
    <w:p>
      <w:pPr>
        <w:widowControl/>
      </w:pPr>
      <w:r>
        <w:rPr>
          <w:rFonts w:ascii="Times New Roman" w:hAnsi="Times New Roman"/>
          <w:color w:val="000000"/>
        </w:rPr>
        <w:t>The accompanying interactive architecture distinguishes the frozen benchmark from this authenticated transport. Real Chromium checks cover both versions at three widths and in light and dark themes. A serial radio adapter, private provisioning utility and current-trace integration tool prepare physical testing. No sensor boards or measured current captures were available here; board-specific firmware integration, instrument calibration and physical validation remain outstanding.</w:t>
      </w:r>
    </w:p>
    <w:p>
      <w:pPr>
        <w:pStyle w:val="Heading2"/>
      </w:pPr>
      <w:r>
        <w:rPr>
          <w:rFonts w:ascii="Times New Roman" w:hAnsi="Times New Roman"/>
          <w:color w:val="000000"/>
        </w:rPr>
        <w:t>D. Conclusions</w:t>
      </w:r>
    </w:p>
    <w:p>
      <w:pPr>
        <w:widowControl/>
      </w:pPr>
      <w:r>
        <w:rPr>
          <w:rFonts w:ascii="Times New Roman" w:hAnsi="Times New Roman"/>
          <w:color w:val="000000"/>
        </w:rPr>
        <w:t>Receipt assisted passive feedback passed a prespecified incremental gate on 30 new simulation fixtures. Blackhole delivery improved by 4.67 percentage points over active proofs, and the declared frozen-prior non-inferiority margins held. The matched controls did not establish a unique censoring or attention advantage. Energy efficiency improved through delivered-byte yield while total modeled radio joules increased slightly. The defensible contribution is a reproducible feedback comparison with explicit attribution boundaries. Integrated evaluation of the frozen policy with authenticated embedded state exchange and absolute service compliance remains open.</w:t>
      </w:r>
    </w:p>
    <w:p>
      <w:pPr>
        <w:pStyle w:val="Heading1"/>
      </w:pPr>
      <w:r>
        <w:rPr>
          <w:rFonts w:ascii="Times New Roman" w:hAnsi="Times New Roman"/>
          <w:color w:val="000000"/>
        </w:rPr>
        <w:t>Acknowledgments</w:t>
      </w:r>
    </w:p>
    <w:p>
      <w:pPr>
        <w:widowControl/>
      </w:pPr>
      <w:r>
        <w:rPr>
          <w:rFonts w:ascii="Times New Roman" w:hAnsi="Times New Roman"/>
          <w:color w:val="000000"/>
        </w:rPr>
        <w:t>No external funding was received. The authors declare no competing interests. This simulation study involved no human participants, clinical data or animal experiments.</w:t>
      </w:r>
    </w:p>
    <w:p>
      <w:pPr>
        <w:widowControl/>
      </w:pPr>
      <w:r>
        <w:rPr>
          <w:rFonts w:ascii="Times New Roman" w:hAnsi="Times New Roman"/>
          <w:color w:val="000000"/>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widowControl/>
      </w:pPr>
      <w:r>
        <w:rPr>
          <w:rFonts w:ascii="Times New Roman" w:hAnsi="Times New Roman"/>
          <w:color w:val="000000"/>
        </w:rPr>
        <w:t>Author contributions: Shivam Bhardwaj, conceptualization, methodology, software, investigation and original draft; Jitendra Nath Srivastava, validation and review; Akash Sanghi, supervision and review. These roles retain the author-provided source statement. Generative AI assisted drafting, code preparation and figure generation; the authors are responsible for verification and final approval.</w:t>
      </w:r>
    </w:p>
    <w:p>
      <w:pPr>
        <w:pStyle w:val="Heading1"/>
      </w:pPr>
      <w:r>
        <w:rPr>
          <w:rFonts w:ascii="Times New Roman" w:hAnsi="Times New Roman"/>
          <w:color w:val="000000"/>
        </w:rPr>
        <w:t>References</w:t>
      </w:r>
    </w:p>
    <w:p>
      <w:pPr>
        <w:widowControl/>
        <w:spacing w:line="276" w:lineRule="auto" w:after="140"/>
      </w:pPr>
      <w:r>
        <w:rPr>
          <w:rFonts w:ascii="Times New Roman" w:hAnsi="Times New Roman"/>
          <w:color w:val="000000"/>
        </w:rPr>
        <w:t>[1] T. Winter et al., “RPL: IPv6 Routing Protocol for Low-Power and Lossy Networks,” IETF, RFC 6550, 2012. DOI: 10.17487/RFC6550.</w:t>
      </w:r>
    </w:p>
    <w:p>
      <w:pPr>
        <w:widowControl/>
        <w:spacing w:line="276" w:lineRule="auto" w:after="140"/>
      </w:pPr>
      <w:r>
        <w:rPr>
          <w:rFonts w:ascii="Times New Roman" w:hAnsi="Times New Roman"/>
          <w:color w:val="000000"/>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rPr>
        <w:t>[21] S. Josefsson and I. Liusvaara, “Edwards-curve digital signature algorithm (EdDSA),” IETF, RFC 8032, 2017. DOI: 10.17487/RFC8032.</w:t>
      </w:r>
    </w:p>
    <w:p>
      <w:r>
        <w:rPr>
          <w:rFonts w:ascii="Times New Roman" w:hAnsi="Times New Roman"/>
          <w:color w:val="000000"/>
        </w:rPr>
        <w:br w:type="page"/>
      </w:r>
    </w:p>
    <w:p>
      <w:pPr>
        <w:pStyle w:val="Heading1"/>
      </w:pPr>
      <w:r>
        <w:rPr>
          <w:rFonts w:ascii="Times New Roman" w:hAnsi="Times New Roman"/>
          <w:color w:val="000000"/>
        </w:rPr>
        <w:t>Algorithm 1 Observer feedback and routing</w:t>
      </w:r>
    </w:p>
    <w:p>
      <w:pPr>
        <w:widowControl/>
        <w:spacing w:line="312" w:lineRule="auto" w:after="100"/>
      </w:pPr>
      <w:r>
        <w:rPr>
          <w:rFonts w:ascii="Times New Roman" w:hAnsi="Times New Roman"/>
          <w:color w:val="000000"/>
        </w:rPr>
        <w:t>Input: received MAC events, cached telemetry, fixed policy θ, ledger mode and 150 ms timeout.</w:t>
      </w:r>
    </w:p>
    <w:p>
      <w:pPr>
        <w:widowControl/>
        <w:spacing w:line="312" w:lineRule="auto" w:after="100"/>
      </w:pPr>
      <w:r>
        <w:rPr>
          <w:rFonts w:ascii="Times New Roman" w:hAnsi="Times New Roman"/>
          <w:color w:val="000000"/>
        </w:rPr>
        <w:t>Output: next-hop requests and updated observer evidence coordinates.</w:t>
      </w:r>
    </w:p>
    <w:p>
      <w:pPr>
        <w:widowControl/>
        <w:spacing w:line="312" w:lineRule="auto" w:after="100"/>
      </w:pPr>
      <w:r>
        <w:rPr>
          <w:rFonts w:ascii="Times New Roman" w:hAnsi="Times New Roman"/>
          <w:color w:val="000000"/>
        </w:rPr>
        <w:t>Steps:</w:t>
      </w:r>
    </w:p>
    <w:p>
      <w:pPr>
        <w:widowControl/>
        <w:spacing w:line="312" w:lineRule="auto" w:after="100"/>
      </w:pPr>
      <w:r>
        <w:rPr>
          <w:rFonts w:ascii="Times New Roman" w:hAnsi="Times New Roman"/>
          <w:color w:val="000000"/>
        </w:rPr>
        <w:t>1. At a routing event, reject a visited or exhausted node and enforce the 22-hop cap.</w:t>
      </w:r>
    </w:p>
    <w:p>
      <w:pPr>
        <w:widowControl/>
        <w:spacing w:line="312" w:lineRule="auto" w:after="100"/>
      </w:pPr>
      <w:r>
        <w:rPr>
          <w:rFonts w:ascii="Times New Roman" w:hAnsi="Times New Roman"/>
          <w:color w:val="000000"/>
        </w:rPr>
        <w:t>2. Construct receive-gated candidates, retain at most eight and evaluate the masked fixed policy.</w:t>
      </w:r>
    </w:p>
    <w:p>
      <w:pPr>
        <w:widowControl/>
        <w:spacing w:line="312" w:lineRule="auto" w:after="100"/>
      </w:pPr>
      <w:r>
        <w:rPr>
          <w:rFonts w:ascii="Times New Roman" w:hAnsi="Times New Roman"/>
          <w:color w:val="000000"/>
        </w:rPr>
        <w:t>3. Register the observer–relay–packet record with expected link success; send the data frame.</w:t>
      </w:r>
    </w:p>
    <w:p>
      <w:pPr>
        <w:widowControl/>
        <w:spacing w:line="312" w:lineRule="auto" w:after="100"/>
      </w:pPr>
      <w:r>
        <w:rPr>
          <w:rFonts w:ascii="Times New Roman" w:hAnsi="Times New Roman"/>
          <w:color w:val="000000"/>
        </w:rPr>
        <w:t>4. On own first-hop ACK success, mark the record eligible; credit any stored uncredited observation.</w:t>
      </w:r>
    </w:p>
    <w:p>
      <w:pPr>
        <w:widowControl/>
        <w:spacing w:line="312" w:lineRule="auto" w:after="100"/>
      </w:pPr>
      <w:r>
        <w:rPr>
          <w:rFonts w:ascii="Times New Roman" w:hAnsi="Times New Roman"/>
          <w:color w:val="000000"/>
        </w:rPr>
        <w:t>5. On ACK failure, close the passive record without success or failure credit.</w:t>
      </w:r>
    </w:p>
    <w:p>
      <w:pPr>
        <w:widowControl/>
        <w:spacing w:line="312" w:lineRule="auto" w:after="100"/>
      </w:pPr>
      <w:r>
        <w:rPr>
          <w:rFonts w:ascii="Times New Roman" w:hAnsi="Times New Roman"/>
          <w:color w:val="000000"/>
        </w:rPr>
        <w:t>6. On a matched received forward attempt, retain maximum strength 0.5.</w:t>
      </w:r>
    </w:p>
    <w:p>
      <w:pPr>
        <w:widowControl/>
        <w:spacing w:line="312" w:lineRule="auto" w:after="100"/>
      </w:pPr>
      <w:r>
        <w:rPr>
          <w:rFonts w:ascii="Times New Roman" w:hAnsi="Times New Roman"/>
          <w:color w:val="000000"/>
        </w:rPr>
        <w:t>7. On a matched received reverse delivery receipt, retain maximum strength 1.0.</w:t>
      </w:r>
    </w:p>
    <w:p>
      <w:pPr>
        <w:widowControl/>
        <w:spacing w:line="312" w:lineRule="auto" w:after="100"/>
      </w:pPr>
      <w:r>
        <w:rPr>
          <w:rFonts w:ascii="Times New Roman" w:hAnsi="Times New Roman"/>
          <w:color w:val="000000"/>
        </w:rPr>
        <w:t>8. Apply a positive update only if eligible and strength exceeds credited strength; deduplicate repeats.</w:t>
      </w:r>
    </w:p>
    <w:p>
      <w:pPr>
        <w:widowControl/>
        <w:spacing w:line="312" w:lineRule="auto" w:after="100"/>
      </w:pPr>
      <w:r>
        <w:rPr>
          <w:rFonts w:ascii="Times New Roman" w:hAnsi="Times New Roman"/>
          <w:color w:val="000000"/>
        </w:rPr>
        <w:t>9. At each 1 ms poll, close expired records; censor missing evidence in the proposed arm.</w:t>
      </w:r>
    </w:p>
    <w:p>
      <w:pPr>
        <w:widowControl/>
        <w:spacing w:line="312" w:lineRule="auto" w:after="100"/>
      </w:pPr>
      <w:r>
        <w:rPr>
          <w:rFonts w:ascii="Times New Roman" w:hAnsi="Times New Roman"/>
          <w:color w:val="000000"/>
        </w:rPr>
        <w:t>10. Allow a later receipt to upgrade an acknowledged censored record; keep failure count at its prior.</w:t>
      </w:r>
    </w:p>
    <w:p>
      <w:pPr>
        <w:widowControl/>
        <w:spacing w:line="312" w:lineRule="auto" w:after="100"/>
      </w:pPr>
      <w:r>
        <w:rPr>
          <w:rFonts w:ascii="Times New Roman" w:hAnsi="Times New Roman"/>
          <w:color w:val="000000"/>
        </w:rPr>
        <w:t>11. Update source service debt on receipt or service expiry; retain the frozen policy for later decisions.</w:t>
      </w:r>
    </w:p>
    <w:p>
      <w:r>
        <w:rPr>
          <w:rFonts w:ascii="Times New Roman" w:hAnsi="Times New Roman"/>
          <w:color w:val="000000"/>
        </w:rPr>
        <w:br w:type="page"/>
      </w:r>
    </w:p>
    <w:p>
      <w:pPr>
        <w:keepNext/>
        <w:widowControl/>
        <w:spacing w:line="240" w:lineRule="auto"/>
      </w:pPr>
      <w:r>
        <w:rPr>
          <w:rFonts w:ascii="Times New Roman" w:hAnsi="Times New Roman"/>
          <w:color w:val="000000"/>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r>
        <w:rPr>
          <w:rFonts w:ascii="Times New Roman" w:hAnsi="Times New Roman"/>
          <w:color w:val="000000"/>
        </w:rPr>
        <w:br w:type="page"/>
      </w:r>
    </w:p>
    <w:p>
      <w:pPr>
        <w:keepNext/>
        <w:widowControl/>
        <w:spacing w:line="240" w:lineRule="auto"/>
      </w:pPr>
      <w:r>
        <w:rPr>
          <w:rFonts w:ascii="Times New Roman" w:hAnsi="Times New Roman"/>
          <w:color w:val="000000"/>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r>
        <w:rPr>
          <w:rFonts w:ascii="Times New Roman" w:hAnsi="Times New Roman"/>
          <w:color w:val="000000"/>
        </w:rPr>
        <w:br w:type="page"/>
      </w:r>
    </w:p>
    <w:p>
      <w:pPr>
        <w:keepNext/>
        <w:widowControl/>
        <w:spacing w:line="240" w:lineRule="auto"/>
      </w:pPr>
      <w:r>
        <w:rPr>
          <w:rFonts w:ascii="Times New Roman" w:hAnsi="Times New Roman"/>
          <w:color w:val="000000"/>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r>
        <w:rPr>
          <w:rFonts w:ascii="Times New Roman" w:hAnsi="Times New Roman"/>
          <w:color w:val="000000"/>
        </w:rPr>
        <w:br w:type="page"/>
      </w:r>
    </w:p>
    <w:p>
      <w:pPr>
        <w:keepNext/>
        <w:widowControl/>
        <w:spacing w:line="240" w:lineRule="auto"/>
      </w:pPr>
      <w:r>
        <w:rPr>
          <w:rFonts w:ascii="Times New Roman" w:hAnsi="Times New Roman"/>
          <w:color w:val="000000"/>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r>
        <w:rPr>
          <w:rFonts w:ascii="Times New Roman" w:hAnsi="Times New Roman"/>
          <w:color w:val="000000"/>
        </w:rPr>
        <w:br w:type="page"/>
      </w:r>
    </w:p>
    <w:p>
      <w:pPr>
        <w:keepNext/>
        <w:widowControl/>
        <w:spacing w:line="240" w:lineRule="auto"/>
      </w:pPr>
      <w:r>
        <w:rPr>
          <w:rFonts w:ascii="Times New Roman" w:hAnsi="Times New Roman"/>
          <w:color w:val="000000"/>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rPr>
        <w:t>Fig. 1. Architecture and state boundaries.</w:t>
      </w:r>
    </w:p>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rPr>
        <w:t>Fig. 2. Censored feedback flow.</w:t>
      </w:r>
    </w:p>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rPr>
        <w:t>Fig. 3. Frozen evaluation flow.</w:t>
      </w:r>
    </w:p>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rPr>
        <w:t>Fig. 4. Delivery effects with paired 95% intervals.</w:t>
      </w:r>
    </w:p>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rPr>
        <w:t>Fig. 5. Blackhole fixture outcomes and paired effects.</w:t>
      </w:r>
    </w:p>
    <w:p>
      <w:r>
        <w:rPr>
          <w:rFonts w:ascii="Times New Roman" w:hAnsi="Times New Roman"/>
          <w:color w:val="000000"/>
        </w:rPr>
        <w:br w:type="page"/>
      </w:r>
    </w:p>
    <w:p>
      <w:pPr>
        <w:keepNext/>
        <w:spacing w:line="240" w:lineRule="auto"/>
        <w:jc w:val="center"/>
      </w:pPr>
      <w:r>
        <w:rPr>
          <w:rFonts w:ascii="Times New Roman" w:hAnsi="Times New Roman"/>
          <w:color w:val="000000"/>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rPr>
        <w:t>Fig. 6. Radio effects with paired 95% intervals.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