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Bhardwaj¹*, Dr. Abhishek Kumar Pandey² and Dr. Abhinandan Tripathi³</w:t>
      </w:r>
    </w:p>
    <w:p>
      <w:pPr>
        <w:widowControl/>
        <w:spacing w:line="276" w:lineRule="auto"/>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widowControl/>
        <w:spacing w:line="276" w:lineRule="auto"/>
      </w:pPr>
      <w:r>
        <w:rPr>
          <w:rFonts w:ascii="Times New Roman" w:hAnsi="Times New Roman"/>
          <w:color w:val="000000"/>
          <w:sz w:val="22"/>
        </w:rPr>
        <w:t>*Corresponding author: Shivam Bhardwaj; shibambhardwaj@gmail.com</w:t>
        <w:br/>
        <w:t>Abhishek Kumar Pandey: abhishek.pandey2@bennett.edu.in; ORCID: 0000-0003-3799-9754</w:t>
        <w:br/>
        <w:t>Abhinandan Tripathi: abhinandan282@bit.ac.in</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A separate four-board Cortex-M3 emulator executes compiled radio-interface firmware; all three host-policy controls deliver ten of ten packets. These results provide traceable feedback and implementation evidence while exposing transfer and attribution limits. Virtual serial interfaces and modeled radio energy do not establish physical board operation, measured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83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pseudo-terminal devices model the firmware API without MCU execution. Rechecks with greedy, multilayer perceptron and attention host policies each deliver ten of ten packets. A separate Renode 1.17.0 backend executes compiled C firmware on four emulated CC2538 ARM Cortex-M3 boards (Fig. 7). Firmware parses UART JSON, enforces frame bounds, drives the IEEE 802.15.4 radio FIFO and correlates MAC acknowledgments. Host processes retain routing inference and cryptography. All three controls deliver ten of ten packets and return ten verified source receipts each. Each run passes five probes: labeled uncalibrated telemetry, exact 114-byte delivery and acknowledgment, rejection of 115-byte frames, malformed-hex rejection and failed out-of-range transmission. The independent capture audit verifies received bytes against MCU UART output, public sink signatures and packet identities. Development captures are retained for startup synchronization and metadata corrections. A stricter later audit rejects an older greedy capture because its relay-1 final log is missing, despite its retained summary. New runs require all ten offered packet identities at the sink, ten runtime-accepted signed source receipts, complete source/relay final records, five successful probes and a public capture audit before receiving a pass status; all three new controls meet this gate.</w:t>
      </w:r>
    </w:p>
    <w:p>
      <w:pPr>
        <w:spacing w:line="276" w:lineRule="auto"/>
      </w:pPr>
      <w:r>
        <w:rPr>
          <w:rFonts w:ascii="Times New Roman" w:hAnsi="Times New Roman"/>
          <w:color w:val="000000"/>
          <w:sz w:val="22"/>
        </w:rPr>
        <w:t>Renode uses a deterministic range medium, not the ns-3 physical-layer model of the statistical study. Its energy fraction is a fixed placeholder explicitly labeled emulated_no_power_model; queue telemetry counts pending MCU acknowledgment records. No battery result follows from this fixture. The four-node chain provides one feasible next hop per relay, so successful execution does not compare policy quality or estimate reliability. Deadline debts remain nonzero. Compiled firmware execution is demonstrated only in emulation; physical clock and pin initialization, embedded policy/crypto execution, physical RF behavior and calibrated current measurements remain unvalidated.</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Compiled radio-interface firmware also executes on four emulated Cortex-M3 boards. Absolute service compliance, physical-board firmware operation, embedded policy/crypto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sz w:val="22"/>
        </w:rPr>
        <w:t>Fig. 1. Architecture and state boundaries.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sz w:val="22"/>
        </w:rPr>
        <w:t>Fig. 2. Censored feedback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sz w:val="22"/>
        </w:rPr>
        <w:t>Fig. 3. Frozen evaluation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sz w:val="22"/>
        </w:rPr>
        <w:t>Fig. 4. Delivery effects with paired 95% intervals.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sz w:val="22"/>
        </w:rPr>
        <w:t>Fig. 5. Blackhole fixture outcomes and paired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sz w:val="22"/>
        </w:rPr>
        <w:t>Fig. 6. Radio effects with paired 95% intervals.</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4142022"/>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6"/>
                    <a:stretch>
                      <a:fillRect/>
                    </a:stretch>
                  </pic:blipFill>
                  <pic:spPr>
                    <a:xfrm>
                      <a:off x="0" y="0"/>
                      <a:ext cx="5760000" cy="4142022"/>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3999730"/>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3999730"/>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