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Matched feedback rules separate missing-evidence penalties from proof traffic.</w:t>
      </w:r>
    </w:p>
    <w:p>
      <w:pPr>
        <w:pStyle w:val="ListBullet"/>
      </w:pPr>
      <w:r>
        <w:t>Counterbalanced relay identities test three retained policies in 1,440 runs.</w:t>
      </w:r>
    </w:p>
    <w:p>
      <w:pPr>
        <w:pStyle w:val="ListBullet"/>
      </w:pPr>
      <w:r>
        <w:t>Recorded risk changes alter logits without changing archived relay choices.</w:t>
      </w:r>
    </w:p>
    <w:p>
      <w:pPr>
        <w:pStyle w:val="ListBullet"/>
      </w:pPr>
      <w:r>
        <w:t>Compiler optimization leaves 68 of 200 signed-receipt deadlines unmet.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