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Failure Boundaries of Censored Passive Feedback in Authenticated Wireless Sensor Routing</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Censoring missing forwarding evidence avoids treating every unobserved transmission as malicious, but it also removes a route for revising earlier positive evidence. We benchmark this trade-off using active-proof, naive-passive, frozen-prior and capacity-matched routing controls. In 750 IEEE 802.15.4 runs on thirty new fixtures, ACK-gated censored feedback raises blackhole delivery from 71.28% to 75.94% relative to active proofs, a paired gain of 4.67 percentage points (95% interval 2.36–6.97; Holm-adjusted p=0.0161). This conditional gain does not establish a unique censoring or attention advantage. A separate 600-run Cooja transfer experiment exposes a failure after a previously cooperative relay begins dropping traffic: with scheduled processing delays, censored feedback delivers 32.94% and active proofs 79.11%. Enabling proof generation while retaining censored evidence delivers 32.83%, indicating that proof generation alone does not restore delivery in this setting. These experiments use different implementations and cannot isolate behavior change as the sole cause of their contrasting outcomes. Separate authenticated transfer and factorial studies retain the absence of demonstrated attention superiority and a proof-traffic penalty under always-on listening. Fixed-point MCU emulation improves execution, but signed-receipt deadline misses remain 68/200. The contribution is a reproducible characterization of conditional feedback performance and an exposed adaptation limitation, rather than a universally preferable routing mechanism. Fixed geometry, heuristic risk scores, scheduled processing delays and unmeasured physical RF and energy restrict deployment inference.</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Earlier architecture comparisons found no joint advantage over a multilayer perceptron of similar capacity. The earlier 600-run telemetry study likewise found no advantage after correction for multiple testing and exposed the traffic cost of active proofs. Both stages and their raw outputs are retained. They motivated the present comparison of receipt-assisted passive feedback with active proofs, subject to prespecified margins against a frozen-prior control on new fixtures.</w:t>
      </w:r>
    </w:p>
    <w:p>
      <w:pPr>
        <w:pStyle w:val="Heading2"/>
        <w:keepNext/>
        <w:pageBreakBefore w:val="0"/>
        <w:widowControl/>
        <w:spacing w:line="276" w:lineRule="auto" w:after="120"/>
      </w:pPr>
      <w:r>
        <w:t>1.1 Feedback performance and failure boundaries</w:t>
      </w:r>
    </w:p>
    <w:p>
      <w:pPr>
        <w:keepNext w:val="0"/>
        <w:pageBreakBefore w:val="0"/>
        <w:widowControl/>
        <w:spacing w:line="276" w:lineRule="auto" w:after="120"/>
      </w:pPr>
      <w:r>
        <w:t>The benchmark examines when suppressing negative updates from missing evidence helps delivery and when it leaves a routing policy unable to revise earlier favorable evidence. ACK-gated censored passive feedback is compared with active proofs, naive passive feedback, frozen priors and capacity-matched policies. Own first-hop ACK success gates credit; each observer–relay–packet record retains its strongest matched observation; missing evidence leaves the effective failure count unchanged. Packet-reception callbacks connect the ledger to simulated radio events. In Fig. 1, Eq. (1) supplies the candidate shortlist, while Eq. (2) scores the retained candidates. Figure 2 maps the record updates in Eqs. (3)–(4). The benchmark builds on established watchdog, censoring and learning methods.</w:t>
      </w:r>
    </w:p>
    <w:p>
      <w:pPr>
        <w:keepNext w:val="0"/>
        <w:pageBreakBefore w:val="0"/>
        <w:widowControl/>
        <w:spacing w:line="276" w:lineRule="auto" w:after="120"/>
      </w:pPr>
      <w:r>
        <w:t>The original prespecified decision combines a blackhole delivery comparison against active proofs with delivery, critical-service and energy-efficiency margins against frozen-prior attention. Its conditional gain is retained alongside the separate Cooja transfer failure in Section 5.9. The contributions are the controlled feedback comparison, an exposed limitation in adaptation after relay behavior changes, and a traceable separation of policy transfer from emulated execution. None establishes a new learning algorithm, a unique censoring advantage or a deployment guarantee.</w:t>
      </w:r>
    </w:p>
    <w:p>
      <w:pPr>
        <w:keepNext w:val="0"/>
        <w:pageBreakBefore w:val="0"/>
        <w:widowControl/>
        <w:spacing w:line="276" w:lineRule="auto" w:after="120"/>
      </w:pPr>
      <w:r>
        <w:t>A separate implementation stage evaluates frozen policies using authenticated messages and node-local transit records in 180 radio runs, followed by serial-interface, firmware-emulation and Cooja checks. Sections 2–4 retain the original feedback benchmark; Section 5 evaluates the changed transport and execution conditions. Section 6 connects the conditional gain and transfer failure without pooling their outcomes or treating their different observation models as an isolated causal contrast.</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t>• For observer u and candidate v, g is sinkward progress divided by 50 m and q is the current estimated MAC success probability; both are dimensionless.</w:t>
      </w:r>
    </w:p>
    <w:p>
      <w:pPr>
        <w:keepNext w:val="0"/>
        <w:pageBreakBefore w:val="0"/>
        <w:widowControl/>
        <w:spacing w:line="276" w:lineRule="auto" w:after="120"/>
      </w:pPr>
      <w:r>
        <w:t>• Candidate energy fraction e is remaining modeled energy divided by 0.5 J; Q is pending-request pressure normalized by 32; R is the dimensionless risk score from Eq. (5). The preselection score S is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node-local service-debt coordinates, updated only at sources in this benchmark.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Equation (1) uses hand-set preselection coefficients, not learned parameters. The retained source records the values but contains no systematic tuning history. The later ±20% coefficient experiment in Section 5.5 is a local sensitivity check and does not retrospectively optimize this score. Equation (2) divides the query–key product by the square root of 96, as implemented in PyTorch.</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t>• For context vector x at observer u and candidate feature vector h for link (u,v), ℓ is a dimensionless action logit. Both feature vectors contain normalized, dimensionless coordinates in the frozen benchmark.</w:t>
      </w:r>
    </w:p>
    <w:p>
      <w:pPr>
        <w:keepNext w:val="0"/>
        <w:pageBreakBefore w:val="0"/>
        <w:widowControl/>
        <w:spacing w:line="276" w:lineRule="auto" w:after="120"/>
      </w:pPr>
      <w:r>
        <w:t>• qθ and kθ are learned query and key transforms; bθ is the learned scalar candidate bias. The symbol qθ denotes a neural transform, whereas q in Eqs. (1) and (4) denotes link success. Parameters θ are fixed during evaluation.</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maintains a separate record for each selected sensor relay v and packet p. Evidence strength s and credited strength c are indexed by that record; effective counts α and β are shared across records for the same observer–relay pair. Each record stores the link-success estimate at registration, ACK status and expiry. A matched overheard forwarding frame contributes strength 0.5 and a reverse receipt generated by sink delivery contributes strength 1.0. Equation (3) retains the maximum, suppressing duplicate credit.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t>• s is the strongest matched evidence for record (u,v,p), initialized to 0 and bounded by 1; it is dimensionless.</w:t>
      </w:r>
    </w:p>
    <w:p>
      <w:pPr>
        <w:keepNext w:val="0"/>
        <w:pageBreakBefore w:val="0"/>
        <w:widowControl/>
        <w:spacing w:line="276" w:lineRule="auto" w:after="120"/>
      </w:pPr>
      <w:r>
        <w:t>• I_overheard and I_receipt are dimensionless binary indicators of a matched forwarding-frame event and reverse-receipt event for the same record. Their weights are 0.5 and 1 in Eq. (3).</w:t>
      </w:r>
    </w:p>
    <w:p>
      <w:pPr>
        <w:keepNext/>
        <w:pageBreakBefore w:val="0"/>
        <w:widowControl/>
        <w:spacing w:line="276" w:lineRule="auto" w:after="120"/>
      </w:pPr>
      <w:r>
        <w:t>Credit is assigned only when the observer’s own first hop is acknowledged and s exceeds c. Evidence received before the ACK is stored. When that ACK arrives, the same eligibility check applies to the stored evidence. In Eq. (4), q denotes the value cached when record (u,v,p) was registered, rather than a later link estimate. The update is executed only for a strictly positive uncredited increment: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t>• α is the dimensionless effective success count for observer–relay pair (u,v), initialized to 1; c is the dimensionless credited strength for record (u,v,p), initialized to 0.</w:t>
      </w:r>
    </w:p>
    <w:p>
      <w:pPr>
        <w:keepNext w:val="0"/>
        <w:pageBreakBefore w:val="0"/>
        <w:widowControl/>
        <w:spacing w:line="276" w:lineRule="auto" w:after="120"/>
      </w:pPr>
      <w:r>
        <w:t>• q is the dimensionless cached registration-time link-success estimate. The clip operator limits each positive increment to [0.05, 1]; c is then set to the current s.</w:t>
      </w:r>
    </w:p>
    <w:p>
      <w:pPr>
        <w:keepNext w:val="0"/>
        <w:pageBreakBefore w:val="0"/>
        <w:widowControl/>
        <w:spacing w:line="276" w:lineRule="auto" w:after="120"/>
      </w:pPr>
      <w:r>
        <w:t>In the censored arm, β stays at its initial value of 1 for each observer–relay pair. A failed first hop closes the record without positive credit. For an acknowledged first hop, expiry is set 150 ms after the ACK; absent forwarding evidence causes closure without a failure increment. A later matched observation can still increase s and earn previously unassigned credit. For q&lt;0.1, the 0.05 floor can make two half-credit updates exceed one full q-weighted update. The smallest q in the audited decisions was 0.6923, so this case did not occur in those decisions.</w:t>
      </w:r>
    </w:p>
    <w:p>
      <w:pPr>
        <w:widowControl/>
        <w:spacing w:line="276" w:lineRule="auto" w:after="120"/>
      </w:pPr>
      <w:r>
        <w:t>The static floor in Eq. (4) acts on effective counts and is not a Bayesian update. Max-strength deduplication bounds the evidence state but does not remove the clipping artifact. Equation (5) uses 1.645 as a fixed multiplier on a beta-form standard deviation; neither this coefficient nor the score clipping provides calibrated 95% coverage or an exact Beta quantile. The fixture-level confidence intervals reported in the results are calculated independently of this routing heuristic. Changing these scoring rules would define a different feedback mechanism.</w:t>
      </w:r>
    </w:p>
    <w:p>
      <w:pPr>
        <w:keepNext/>
        <w:pageBreakBefore w:val="0"/>
        <w:widowControl/>
        <w:spacing w:line="276" w:lineRule="auto" w:after="120"/>
      </w:pPr>
      <w:r>
        <w:t>With the rate-anomaly term disabled, the retained policy maps the pair-specific effective counts to a risk coordinate ρ and an augmented routing score R:</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t>• ρ and R are dimensionless scores for observer–relay pair (u,v). The factor 0.75 scales both the failure-related coordinate and its uncertainty term; clipping bounds R to [0, 1].</w:t>
      </w:r>
    </w:p>
    <w:p>
      <w:pPr>
        <w:keepNext w:val="0"/>
        <w:pageBreakBefore w:val="0"/>
        <w:widowControl/>
        <w:spacing w:line="276" w:lineRule="auto" w:after="120"/>
      </w:pPr>
      <w:r>
        <w:t>• σ = sqrt[αβ / ((α+β)²(α+β+1))] is dimensionless, with α and β taken from the same observer–relay pair. The beta-form expression supplies a score component, not an evaluated posterior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a fixed source and traffic class c, the online service debt is updated once when that source settles a packet. The recurrence follows the virtual-queue form associated with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t>• Zc is the dimensionless debt for class c at the fixed source; bc is the dimensionless allowed violation fraction per settled class-c packet. The source index and update-event index are suppressed in Eq. (6).</w:t>
      </w:r>
    </w:p>
    <w:p>
      <w:pPr>
        <w:keepNext w:val="0"/>
        <w:pageBreakBefore w:val="0"/>
        <w:widowControl/>
        <w:spacing w:line="276" w:lineRule="auto" w:after="120"/>
      </w:pPr>
      <w:r>
        <w:t>• I_violation is 1 if no receipt is available by service expiry or receipt age exceeds the class deadline, and 0 otherwise. A separate loss-debt channel uses the analogous receipt/expiry outcome. These online indicators differ from the sink-arrival endpoint in Eq. (8).</w:t>
      </w:r>
    </w:p>
    <w:p>
      <w:pPr>
        <w:keepNext w:val="0"/>
        <w:pageBreakBefore w:val="0"/>
        <w:widowControl/>
        <w:spacing w:line="276" w:lineRule="auto" w:after="120"/>
      </w:pPr>
      <w:r>
        <w:t>Only sources update these debts, on receipt or a 1.5 s expiry; intermediate relays retain no complete debt for transit service. Receipt age includes the reverse path, so a timely sink delivery can still produce a late source-observed outcome. The simulator maintains a shared visited set and reverse-path map without serializing their dissemination. Beacon energy and queue values are likewise supplied as metadata keyed to a transmitted identifier, with access gated by a radio-receive callback. Figure 1 marks these simulator-held inputs. Section 5 evaluates a separate authenticated implementation that decodes transmitted state.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censored-passive event procedure; Table 3 specifies the other arms. Figure 2 shows the ACK gate and strongest-evidence lifecycle. Radio callback controls check reception of a two-hop forwarding observation, absence of reception at an out-of-range observer and absence of proof frames in the passive arm. They test callback paths rather than authentication or intrusion-classification accuracy.</w:t>
      </w:r>
    </w:p>
    <w:p>
      <w:pPr>
        <w:pStyle w:val="Heading1"/>
        <w:keepNext/>
        <w:pageBreakBefore w:val="0"/>
        <w:widowControl/>
        <w:spacing w:line="252" w:lineRule="auto" w:after="60"/>
        <w:jc w:val="left"/>
      </w:pPr>
      <w:r>
        <w:t>Algorithm 1: ACK-gated censored passive routing</w:t>
      </w:r>
    </w:p>
    <w:p>
      <w:pPr>
        <w:keepNext/>
        <w:keepLines/>
        <w:spacing w:before="0" w:after="20" w:line="252" w:lineRule="auto"/>
        <w:ind w:left="312" w:hanging="312"/>
        <w:jc w:val="left"/>
      </w:pPr>
      <w:r>
        <w:rPr>
          <w:rFonts w:ascii="Times New Roman" w:hAnsi="Times New Roman"/>
          <w:sz w:val="19"/>
        </w:rPr>
        <w:t>Input: radio events, cached telemetry, fixed policy θ; censored mode, 150 ms timeout.</w:t>
      </w:r>
    </w:p>
    <w:p>
      <w:pPr>
        <w:keepNext/>
        <w:keepLines/>
        <w:spacing w:before="0" w:after="20" w:line="252" w:lineRule="auto"/>
        <w:ind w:left="312" w:hanging="312"/>
        <w:jc w:val="left"/>
      </w:pPr>
      <w:r>
        <w:rPr>
          <w:rFonts w:ascii="Times New Roman" w:hAnsi="Times New Roman"/>
          <w:sz w:val="19"/>
        </w:rPr>
        <w:t>Output: next-hop requests, observer evidence and source-service debts.</w:t>
      </w:r>
    </w:p>
    <w:p>
      <w:pPr>
        <w:keepNext/>
        <w:keepLines/>
        <w:spacing w:before="0" w:after="20" w:line="252" w:lineRule="auto"/>
        <w:ind w:left="312" w:hanging="312"/>
        <w:jc w:val="left"/>
      </w:pPr>
      <w:r>
        <w:rPr>
          <w:rFonts w:ascii="Times New Roman" w:hAnsi="Times New Roman"/>
          <w:sz w:val="19"/>
        </w:rPr>
        <w:t>01.  For each received event or 1 ms polling tick:</w:t>
      </w:r>
    </w:p>
    <w:p>
      <w:pPr>
        <w:keepNext/>
        <w:keepLines/>
        <w:spacing w:before="0" w:after="20" w:line="252" w:lineRule="auto"/>
        <w:ind w:left="595" w:hanging="312"/>
        <w:jc w:val="left"/>
      </w:pPr>
      <w:r>
        <w:rPr>
          <w:rFonts w:ascii="Times New Roman" w:hAnsi="Times New Roman"/>
          <w:sz w:val="19"/>
        </w:rPr>
        <w:t>02.  If a routing request is pending:</w:t>
      </w:r>
    </w:p>
    <w:p>
      <w:pPr>
        <w:keepNext/>
        <w:keepLines/>
        <w:spacing w:before="0" w:after="20" w:line="252" w:lineRule="auto"/>
        <w:ind w:left="879" w:hanging="312"/>
        <w:jc w:val="left"/>
      </w:pPr>
      <w:r>
        <w:rPr>
          <w:rFonts w:ascii="Times New Roman" w:hAnsi="Times New Roman"/>
          <w:sz w:val="19"/>
        </w:rPr>
        <w:t>03.  Reject visited/exhausted nodes and the 22-hop cap; form at most eight candidates.</w:t>
      </w:r>
    </w:p>
    <w:p>
      <w:pPr>
        <w:keepNext/>
        <w:keepLines/>
        <w:spacing w:before="0" w:after="20" w:line="252" w:lineRule="auto"/>
        <w:ind w:left="879" w:hanging="312"/>
        <w:jc w:val="left"/>
      </w:pPr>
      <w:r>
        <w:rPr>
          <w:rFonts w:ascii="Times New Roman" w:hAnsi="Times New Roman"/>
          <w:sz w:val="19"/>
        </w:rPr>
        <w:t>04.  If none is feasible, stop this request; otherwise select the masked-policy argmax.</w:t>
      </w:r>
    </w:p>
    <w:p>
      <w:pPr>
        <w:keepNext/>
        <w:keepLines/>
        <w:spacing w:before="0" w:after="20" w:line="252" w:lineRule="auto"/>
        <w:ind w:left="879" w:hanging="312"/>
        <w:jc w:val="left"/>
      </w:pPr>
      <w:r>
        <w:rPr>
          <w:rFonts w:ascii="Times New Roman" w:hAnsi="Times New Roman"/>
          <w:sz w:val="19"/>
        </w:rPr>
        <w:t>05.  For a non-sink relay, register (u,v,p) and cache q at registration; transmit DATA.</w:t>
      </w:r>
    </w:p>
    <w:p>
      <w:pPr>
        <w:keepNext/>
        <w:keepLines/>
        <w:spacing w:before="0" w:after="20" w:line="252" w:lineRule="auto"/>
        <w:ind w:left="595" w:hanging="312"/>
        <w:jc w:val="left"/>
      </w:pPr>
      <w:r>
        <w:rPr>
          <w:rFonts w:ascii="Times New Roman" w:hAnsi="Times New Roman"/>
          <w:sz w:val="19"/>
        </w:rPr>
        <w:t>06.  Else if the event is the observer’s own first-hop MAC result:</w:t>
      </w:r>
    </w:p>
    <w:p>
      <w:pPr>
        <w:keepNext/>
        <w:keepLines/>
        <w:spacing w:before="0" w:after="20" w:line="252" w:lineRule="auto"/>
        <w:ind w:left="879" w:hanging="312"/>
        <w:jc w:val="left"/>
      </w:pPr>
      <w:r>
        <w:rPr>
          <w:rFonts w:ascii="Times New Roman" w:hAnsi="Times New Roman"/>
          <w:sz w:val="19"/>
        </w:rPr>
        <w:t>07.  On success, mark ACK eligibility and set expiry to ACK time + 150 ms.</w:t>
      </w:r>
    </w:p>
    <w:p>
      <w:pPr>
        <w:keepNext/>
        <w:keepLines/>
        <w:spacing w:before="0" w:after="20" w:line="252" w:lineRule="auto"/>
        <w:ind w:left="879" w:hanging="312"/>
        <w:jc w:val="left"/>
      </w:pPr>
      <w:r>
        <w:rPr>
          <w:rFonts w:ascii="Times New Roman" w:hAnsi="Times New Roman"/>
          <w:sz w:val="19"/>
        </w:rPr>
        <w:t>08.  On failure, close the record without incrementing α or β.</w:t>
      </w:r>
    </w:p>
    <w:p>
      <w:pPr>
        <w:keepNext/>
        <w:keepLines/>
        <w:spacing w:before="0" w:after="20" w:line="252" w:lineRule="auto"/>
        <w:ind w:left="595" w:hanging="312"/>
        <w:jc w:val="left"/>
      </w:pPr>
      <w:r>
        <w:rPr>
          <w:rFonts w:ascii="Times New Roman" w:hAnsi="Times New Roman"/>
          <w:sz w:val="19"/>
        </w:rPr>
        <w:t>09.  Else if matched forwarding evidence or a reverse receipt is received:</w:t>
      </w:r>
    </w:p>
    <w:p>
      <w:pPr>
        <w:keepNext/>
        <w:keepLines/>
        <w:spacing w:before="0" w:after="20" w:line="252" w:lineRule="auto"/>
        <w:ind w:left="879" w:hanging="312"/>
        <w:jc w:val="left"/>
      </w:pPr>
      <w:r>
        <w:rPr>
          <w:rFonts w:ascii="Times New Roman" w:hAnsi="Times New Roman"/>
          <w:sz w:val="19"/>
        </w:rPr>
        <w:t>10.  Ignore unknown records and closed records without a successful own ACK.</w:t>
      </w:r>
    </w:p>
    <w:p>
      <w:pPr>
        <w:keepNext/>
        <w:keepLines/>
        <w:spacing w:before="0" w:after="20" w:line="252" w:lineRule="auto"/>
        <w:ind w:left="879" w:hanging="312"/>
        <w:jc w:val="left"/>
      </w:pPr>
      <w:r>
        <w:rPr>
          <w:rFonts w:ascii="Times New Roman" w:hAnsi="Times New Roman"/>
          <w:sz w:val="19"/>
        </w:rPr>
        <w:t>11.  Update the strongest evidence s by Eq. (3), retaining any earlier stronger value.</w:t>
      </w:r>
    </w:p>
    <w:p>
      <w:pPr>
        <w:keepNext/>
        <w:keepLines/>
        <w:spacing w:before="0" w:after="20" w:line="252" w:lineRule="auto"/>
        <w:ind w:left="595" w:hanging="312"/>
        <w:jc w:val="left"/>
      </w:pPr>
      <w:r>
        <w:rPr>
          <w:rFonts w:ascii="Times New Roman" w:hAnsi="Times New Roman"/>
          <w:sz w:val="19"/>
        </w:rPr>
        <w:t>12.  After either a successful ACK or an accepted evidence event:</w:t>
      </w:r>
    </w:p>
    <w:p>
      <w:pPr>
        <w:keepNext/>
        <w:keepLines/>
        <w:spacing w:before="0" w:after="20" w:line="252" w:lineRule="auto"/>
        <w:ind w:left="879" w:hanging="312"/>
        <w:jc w:val="left"/>
      </w:pPr>
      <w:r>
        <w:rPr>
          <w:rFonts w:ascii="Times New Roman" w:hAnsi="Times New Roman"/>
          <w:sz w:val="19"/>
        </w:rPr>
        <w:t>13.  If ACK-eligible and s &gt; c, apply Eq. (4); then set credited strength c to s.</w:t>
      </w:r>
    </w:p>
    <w:p>
      <w:pPr>
        <w:keepNext/>
        <w:keepLines/>
        <w:spacing w:before="0" w:after="20" w:line="252" w:lineRule="auto"/>
        <w:ind w:left="595" w:hanging="312"/>
        <w:jc w:val="left"/>
      </w:pPr>
      <w:r>
        <w:rPr>
          <w:rFonts w:ascii="Times New Roman" w:hAnsi="Times New Roman"/>
          <w:sz w:val="19"/>
        </w:rPr>
        <w:t>14.  At each polling tick, close expired records without a β increment.</w:t>
      </w:r>
    </w:p>
    <w:p>
      <w:pPr>
        <w:keepNext/>
        <w:keepLines/>
        <w:spacing w:before="0" w:after="20" w:line="252" w:lineRule="auto"/>
        <w:ind w:left="879" w:hanging="312"/>
        <w:jc w:val="left"/>
      </w:pPr>
      <w:r>
        <w:rPr>
          <w:rFonts w:ascii="Times New Roman" w:hAnsi="Times New Roman"/>
          <w:sz w:val="19"/>
        </w:rPr>
        <w:t>15.  Retain acknowledged records so later matched evidence can upgrade s and c.</w:t>
      </w:r>
    </w:p>
    <w:p>
      <w:pPr>
        <w:keepNext/>
        <w:keepLines/>
        <w:spacing w:before="0" w:after="20" w:line="252" w:lineRule="auto"/>
        <w:ind w:left="595" w:hanging="312"/>
        <w:jc w:val="left"/>
      </w:pPr>
      <w:r>
        <w:rPr>
          <w:rFonts w:ascii="Times New Roman" w:hAnsi="Times New Roman"/>
          <w:sz w:val="19"/>
        </w:rPr>
        <w:t>16.  At a source receipt or 1.5 s service expiry, if the packet is unsettled:</w:t>
      </w:r>
    </w:p>
    <w:p>
      <w:pPr>
        <w:keepNext w:val="0"/>
        <w:keepLines/>
        <w:spacing w:before="0" w:after="20" w:line="252" w:lineRule="auto"/>
        <w:ind w:left="879" w:hanging="312"/>
        <w:jc w:val="left"/>
      </w:pPr>
      <w:r>
        <w:rPr>
          <w:rFonts w:ascii="Times New Roman" w:hAnsi="Times New Roman"/>
          <w:sz w:val="19"/>
        </w:rPr>
        <w:t>17.  Update its class debt once by Eq. (6), then mark the packet settled.</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records the source freeze, technical pilot and retained evaluation runs. Telemetry fixtures 76001–76030 informed the redesign. The protocol, source and decision rule were committed as 4027f071322cb5682f39329f656d76df3b68ff62 before fixtures 77001–77030 were evaluated. Technical pilot 76901 is excluded from inference. Each new fixture uses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compared with 71.28% for active proofs. The paired gain was 4.67 percentage points (95% CI [2.36, 6.97]; Holm p=0.0161). Figure 4 compares delivery contrasts across settings; Fig. 5 shows the paired blackhole observations and all control contrasts. Among the delivery contrasts, only the blackhole comparison against active proofs survived the 60-test correction. The energy-per-byte contrast also survives correction (Section 4.2).</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decreased by 0.0006443 J/byte relative to active proofs (95% CI [−0.0009740, −0.0003145]; Holm p=0.0239). Total modeled sensor radio energy rose from 22.546943 to 22.547473 J, with a mean increase of 0.000531 J computed before rounding. The lower ratio reflects delivery efficiency rather than reduced total energy. Receiving/listening accounts for an average 99.36% of modeled sensor radio energy across the 750 runs.</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pre-extension implementation had 83 passing tests, including the radio callback checks. The post-freeze suite in Sections 5.6–5.7 has 107 passing tests.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the authenticated branch in Fig. 7 assigns no credit to third-party overhearing. Unlike Eq. (3), positive forwarding evidence requires a verified sink receipt and a successful local MAC acknowledgment; missing receipts remain censored. The frozen policies therefore encounter a changed observation model rather than an exact replication of the original ledger.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establishing neither superiority nor equivalence. Replacing the training RSSI proxy with LQI, using raw queue counts and restricting forwarding credit to signed receipts can change the input distribution; their causal effects were not isolated. Greedy avoids neural weights and tensor inference, making it a sensible starting point for deployment assessment, although neighbor state, authentication and packet processing still incur costs.</w:t>
      </w:r>
    </w:p>
    <w:p>
      <w:pPr>
        <w:keepNext w:val="0"/>
        <w:pageBreakBefore w:val="0"/>
        <w:widowControl/>
        <w:spacing w:line="276" w:lineRule="auto" w:after="120"/>
      </w:pPr>
      <w:r>
        <w:t>The frozen host policies operate on serialized simulated-radio frames with multiple relay choices. For attention, critical-deadline failure is 31.17% in benign runs and 47.83% under selective dropping when undelivered packets count as failures. Total modeled radio energy is approximately 2.519 and 2.520 J per six-node run. Always-on listening and repeated authenticated telemetry dominate this radio-only account;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host-controlled firmware in this fixture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calibrated current consumption. Section 5.8 adds a separate live MCU policy/crypto pilot; this earlier host-driven fixture is unchanged.</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inference actor contains 44,161 parameters, requiring 176,644 FP32 weight bytes before runtime buffers; the full actor–critic contains 63,368 parameters. Removing training-only heads therefore changes the storage estimate, but neither count establishes target feasibility. Section 5.8 tests integrated target inference in emulation. Duty-cycled MAC performance, physical drift tolerance and measured energy still require separate validation.</w:t>
      </w:r>
    </w:p>
    <w:p>
      <w:pPr>
        <w:pStyle w:val="Heading2"/>
        <w:keepNext/>
      </w:pPr>
      <w:r>
        <w:t>5.6 Factorial traffic controls and power gating</w:t>
      </w:r>
    </w:p>
    <w:p>
      <w:pPr>
        <w:keepNext w:val="0"/>
        <w:pageBreakBefore w:val="0"/>
        <w:widowControl/>
        <w:spacing w:line="276" w:lineRule="auto" w:after="120"/>
      </w:pPr>
      <w:r>
        <w:t>A separate ns-3.47 extension tests proof traffic while holding the evidence rule fixed within each contrast. Its amended source and 30-test analysis plan were committed as 752c11e7fa3c6af427ffe4edb8fa37d3fbcd5bc7 before fixtures 89001–89030 were evaluated. An initial proof-callback error stopped a preliminary 88001 batch; those partial captures and technical pilot 76901 are excluded. Thirty fixtures, four arms and two duty settings yield 240 four-second runs, each offering 60 packets. All arms use the same bounded positive-credit rule, ACK gate, 128-record global simulation-ledger capacity, 2 s retention and frozen attention actor. Unlike Eq. (4), each record clips q once to [0.05, 1] and weights each eligible uncredited increment in s by that fixed value. Proof frames consume traffic but never enter the ledger. Censored versus naive mode changes expiry penalties and late-evidence handling. Table 8 reports arm means; Fig. 11 shows the proof-traffic contrasts.</w:t>
      </w:r>
    </w:p>
    <w:p>
      <w:pPr>
        <w:keepNext w:val="0"/>
        <w:pageBreakBefore w:val="0"/>
        <w:widowControl/>
        <w:spacing w:line="276" w:lineRule="auto" w:after="120"/>
      </w:pPr>
      <w:r>
        <w:t>With always-on listening, adding proofs reduces censored-mode delivery by 6.11 percentage points (unadjusted paired 95% interval −8.94 to −3.28; Holm p=0.00349), and naive-mode delivery by 5.61 points (−7.94 to −3.29; Holm p=0.000852). No evidence-mode or interaction contrast survives the separate 30-test correction. These results identify a traffic contribution in this extension, not the complete cause of the original 4.67-point gain. The nominal 20% awake schedule rejects requests while asleep and has no rendezvous protocol; delivery falls to approximately 13–14%. Busy MAC transactions defer sleep, so nominal duty is not actual PHY residence.</w:t>
      </w:r>
    </w:p>
    <w:p>
      <w:pPr>
        <w:keepNext/>
        <w:pageBreakBefore w:val="0"/>
        <w:widowControl/>
        <w:spacing w:line="276" w:lineRule="auto" w:after="120"/>
      </w:pPr>
      <w:r>
        <w:t>Table 8. Factorial arm means.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1512"/>
        <w:gridCol w:w="1512"/>
        <w:gridCol w:w="1512"/>
        <w:gridCol w:w="1512"/>
        <w:gridCol w:w="1512"/>
        <w:gridCol w:w="1512"/>
      </w:tblGrid>
      <w:tr>
        <w:trPr>
          <w:cantSplit/>
          <w:tblHeader/>
        </w:trPr>
        <w:tc>
          <w:tcPr>
            <w:tcW w:type="dxa" w:w="1134"/>
          </w:tcPr>
          <w:p>
            <w:pPr>
              <w:spacing w:after="60" w:before="60" w:line="240" w:lineRule="auto"/>
            </w:pPr>
            <w:r>
              <w:rPr>
                <w:rFonts w:ascii="Times New Roman" w:hAnsi="Times New Roman"/>
                <w:b/>
                <w:sz w:val="18"/>
              </w:rPr>
              <w:t>Nominal awake</w:t>
            </w:r>
          </w:p>
        </w:tc>
        <w:tc>
          <w:tcPr>
            <w:tcW w:type="dxa" w:w="1304"/>
          </w:tcPr>
          <w:p>
            <w:pPr>
              <w:spacing w:after="60" w:before="60" w:line="240" w:lineRule="auto"/>
            </w:pPr>
            <w:r>
              <w:rPr>
                <w:rFonts w:ascii="Times New Roman" w:hAnsi="Times New Roman"/>
                <w:b/>
                <w:sz w:val="18"/>
              </w:rPr>
              <w:t>Evidence</w:t>
            </w:r>
          </w:p>
        </w:tc>
        <w:tc>
          <w:tcPr>
            <w:tcW w:type="dxa" w:w="850"/>
          </w:tcPr>
          <w:p>
            <w:pPr>
              <w:spacing w:after="60" w:before="60" w:line="240" w:lineRule="auto"/>
            </w:pPr>
            <w:r>
              <w:rPr>
                <w:rFonts w:ascii="Times New Roman" w:hAnsi="Times New Roman"/>
                <w:b/>
                <w:sz w:val="18"/>
              </w:rPr>
              <w:t>Proofs</w:t>
            </w:r>
          </w:p>
        </w:tc>
        <w:tc>
          <w:tcPr>
            <w:tcW w:type="dxa" w:w="1417"/>
          </w:tcPr>
          <w:p>
            <w:pPr>
              <w:spacing w:after="60" w:before="60" w:line="240" w:lineRule="auto"/>
            </w:pPr>
            <w:r>
              <w:rPr>
                <w:rFonts w:ascii="Times New Roman" w:hAnsi="Times New Roman"/>
                <w:b/>
                <w:sz w:val="18"/>
              </w:rPr>
              <w:t>Delivery (%)</w:t>
            </w:r>
          </w:p>
        </w:tc>
        <w:tc>
          <w:tcPr>
            <w:tcW w:type="dxa" w:w="1701"/>
          </w:tcPr>
          <w:p>
            <w:pPr>
              <w:spacing w:after="60" w:before="60" w:line="240" w:lineRule="auto"/>
            </w:pPr>
            <w:r>
              <w:rPr>
                <w:rFonts w:ascii="Times New Roman" w:hAnsi="Times New Roman"/>
                <w:b/>
                <w:sz w:val="18"/>
              </w:rPr>
              <w:t>Critical failure (%)</w:t>
            </w:r>
          </w:p>
        </w:tc>
        <w:tc>
          <w:tcPr>
            <w:tcW w:type="dxa" w:w="1701"/>
          </w:tcPr>
          <w:p>
            <w:pPr>
              <w:spacing w:after="60" w:before="60" w:line="240" w:lineRule="auto"/>
            </w:pPr>
            <w:r>
              <w:rPr>
                <w:rFonts w:ascii="Times New Roman" w:hAnsi="Times New Roman"/>
                <w:b/>
                <w:sz w:val="18"/>
              </w:rPr>
              <w:t>Radio energy (J)</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74.94</w:t>
            </w:r>
          </w:p>
        </w:tc>
        <w:tc>
          <w:tcPr>
            <w:tcW w:type="dxa" w:w="1701"/>
          </w:tcPr>
          <w:p>
            <w:pPr>
              <w:spacing w:after="60" w:before="60" w:line="240" w:lineRule="auto"/>
            </w:pPr>
            <w:r>
              <w:rPr>
                <w:rFonts w:ascii="Times New Roman" w:hAnsi="Times New Roman"/>
                <w:b w:val="0"/>
                <w:sz w:val="18"/>
              </w:rPr>
              <w:t>24.37</w:t>
            </w:r>
          </w:p>
        </w:tc>
        <w:tc>
          <w:tcPr>
            <w:tcW w:type="dxa" w:w="1701"/>
          </w:tcPr>
          <w:p>
            <w:pPr>
              <w:spacing w:after="60" w:before="60" w:line="240" w:lineRule="auto"/>
            </w:pPr>
            <w:r>
              <w:rPr>
                <w:rFonts w:ascii="Times New Roman" w:hAnsi="Times New Roman"/>
                <w:b w:val="0"/>
                <w:sz w:val="18"/>
              </w:rPr>
              <w:t>22.547516</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68.83</w:t>
            </w:r>
          </w:p>
        </w:tc>
        <w:tc>
          <w:tcPr>
            <w:tcW w:type="dxa" w:w="1701"/>
          </w:tcPr>
          <w:p>
            <w:pPr>
              <w:spacing w:after="60" w:before="60" w:line="240" w:lineRule="auto"/>
            </w:pPr>
            <w:r>
              <w:rPr>
                <w:rFonts w:ascii="Times New Roman" w:hAnsi="Times New Roman"/>
                <w:b w:val="0"/>
                <w:sz w:val="18"/>
              </w:rPr>
              <w:t>32.51</w:t>
            </w:r>
          </w:p>
        </w:tc>
        <w:tc>
          <w:tcPr>
            <w:tcW w:type="dxa" w:w="1701"/>
          </w:tcPr>
          <w:p>
            <w:pPr>
              <w:spacing w:after="60" w:before="60" w:line="240" w:lineRule="auto"/>
            </w:pPr>
            <w:r>
              <w:rPr>
                <w:rFonts w:ascii="Times New Roman" w:hAnsi="Times New Roman"/>
                <w:b w:val="0"/>
                <w:sz w:val="18"/>
              </w:rPr>
              <w:t>22.546980</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75.56</w:t>
            </w:r>
          </w:p>
        </w:tc>
        <w:tc>
          <w:tcPr>
            <w:tcW w:type="dxa" w:w="1701"/>
          </w:tcPr>
          <w:p>
            <w:pPr>
              <w:spacing w:after="60" w:before="60" w:line="240" w:lineRule="auto"/>
            </w:pPr>
            <w:r>
              <w:rPr>
                <w:rFonts w:ascii="Times New Roman" w:hAnsi="Times New Roman"/>
                <w:b w:val="0"/>
                <w:sz w:val="18"/>
              </w:rPr>
              <w:t>24.14</w:t>
            </w:r>
          </w:p>
        </w:tc>
        <w:tc>
          <w:tcPr>
            <w:tcW w:type="dxa" w:w="1701"/>
          </w:tcPr>
          <w:p>
            <w:pPr>
              <w:spacing w:after="60" w:before="60" w:line="240" w:lineRule="auto"/>
            </w:pPr>
            <w:r>
              <w:rPr>
                <w:rFonts w:ascii="Times New Roman" w:hAnsi="Times New Roman"/>
                <w:b w:val="0"/>
                <w:sz w:val="18"/>
              </w:rPr>
              <w:t>22.547497</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69.94</w:t>
            </w:r>
          </w:p>
        </w:tc>
        <w:tc>
          <w:tcPr>
            <w:tcW w:type="dxa" w:w="1701"/>
          </w:tcPr>
          <w:p>
            <w:pPr>
              <w:spacing w:after="60" w:before="60" w:line="240" w:lineRule="auto"/>
            </w:pPr>
            <w:r>
              <w:rPr>
                <w:rFonts w:ascii="Times New Roman" w:hAnsi="Times New Roman"/>
                <w:b w:val="0"/>
                <w:sz w:val="18"/>
              </w:rPr>
              <w:t>30.89</w:t>
            </w:r>
          </w:p>
        </w:tc>
        <w:tc>
          <w:tcPr>
            <w:tcW w:type="dxa" w:w="1701"/>
          </w:tcPr>
          <w:p>
            <w:pPr>
              <w:spacing w:after="60" w:before="60" w:line="240" w:lineRule="auto"/>
            </w:pPr>
            <w:r>
              <w:rPr>
                <w:rFonts w:ascii="Times New Roman" w:hAnsi="Times New Roman"/>
                <w:b w:val="0"/>
                <w:sz w:val="18"/>
              </w:rPr>
              <w:t>22.547013</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9.791828</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9.749594</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9.804775</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9.760433</w:t>
            </w:r>
          </w:p>
        </w:tc>
      </w:tr>
    </w:tbl>
    <w:p>
      <w:pPr>
        <w:keepNext/>
        <w:pageBreakBefore w:val="0"/>
        <w:widowControl/>
        <w:spacing w:line="276" w:lineRule="auto" w:after="120" w:before="120"/>
      </w:pPr>
      <w:r>
        <w:drawing>
          <wp:inline xmlns:a="http://schemas.openxmlformats.org/drawingml/2006/main" xmlns:pic="http://schemas.openxmlformats.org/drawingml/2006/picture">
            <wp:extent cx="5616000" cy="2658724"/>
            <wp:docPr id="11" name="Picture 11"/>
            <wp:cNvGraphicFramePr>
              <a:graphicFrameLocks noChangeAspect="1"/>
            </wp:cNvGraphicFramePr>
            <a:graphic>
              <a:graphicData uri="http://schemas.openxmlformats.org/drawingml/2006/picture">
                <pic:pic>
                  <pic:nvPicPr>
                    <pic:cNvPr id="0" name="fig11_factorial_delivery.png"/>
                    <pic:cNvPicPr/>
                  </pic:nvPicPr>
                  <pic:blipFill>
                    <a:blip r:embed="rId20"/>
                    <a:stretch>
                      <a:fillRect/>
                    </a:stretch>
                  </pic:blipFill>
                  <pic:spPr>
                    <a:xfrm>
                      <a:off x="0" y="0"/>
                      <a:ext cx="5616000" cy="2658724"/>
                    </a:xfrm>
                    <a:prstGeom prst="rect"/>
                  </pic:spPr>
                </pic:pic>
              </a:graphicData>
            </a:graphic>
          </wp:inline>
        </w:drawing>
      </w:r>
    </w:p>
    <w:p>
      <w:pPr>
        <w:keepNext w:val="0"/>
        <w:pageBreakBefore w:val="0"/>
        <w:widowControl/>
        <w:spacing w:line="276" w:lineRule="auto" w:after="120"/>
      </w:pPr>
      <w:r>
        <w:t>Fig. 11. Proof-traffic delivery effects.</w:t>
      </w:r>
    </w:p>
    <w:p>
      <w:pPr>
        <w:keepNext w:val="0"/>
        <w:pageBreakBefore w:val="0"/>
        <w:widowControl/>
        <w:spacing w:line="276" w:lineRule="auto" w:after="120"/>
      </w:pPr>
      <w:r>
        <w:t>Hard power gating stops the experimental bridge at each sensor’s 0.5 J budget. Twenty-seven further 60 s runs cross three fixtures, three feedback arms and three nominal awake fractions. All remain within the 50 J aggregate sensor budget, with zero post-cut transmissions; the audit reconciles 2,727 radio-energy identities. The bounded ledger has zero final watches in all nine runs, whereas legacy controls retain records. All sensors still exhaust their budgets within 60 s. These tests address power accounting and ledger retirement, not sustained service or a whole-system memory bound.</w:t>
      </w:r>
    </w:p>
    <w:p>
      <w:pPr>
        <w:pStyle w:val="Heading2"/>
        <w:keepNext/>
      </w:pPr>
      <w:r>
        <w:t>5.7 Clock envelope and Cortex M3 execution</w:t>
      </w:r>
    </w:p>
    <w:p>
      <w:pPr>
        <w:keepNext w:val="0"/>
        <w:pageBreakBefore w:val="0"/>
        <w:widowControl/>
        <w:spacing w:line="276" w:lineRule="auto" w:after="120"/>
      </w:pPr>
      <w:r>
        <w:t>Optional freshness handling uses an externally justified pairwise clock bound. A 40 ms offset bound plus 100 ppm relative drift over 300 s gives 70 ms tolerance. All 675 tested offset/drift combinations accept authentic fresh beacons, while replay and forged-tag checks remain effective. The wider window can also admit older messages near the expiry boundary. It neither synchronizes clocks nor verifies their physical drift; the original default behavior remains unchanged.</w:t>
      </w:r>
    </w:p>
    <w:p>
      <w:pPr>
        <w:keepNext w:val="0"/>
        <w:pageBreakBefore w:val="0"/>
        <w:widowControl/>
        <w:spacing w:line="276" w:lineRule="auto" w:after="120"/>
      </w:pPr>
      <w:r>
        <w:t>A bare-metal C harness executes the 44,161-parameter actor, HMAC-SHA256 and Monocypher 4.0.3 Ed25519 on QEMU 11.1.2’s MPS2 AN385 Cortex-M3 model [23, 24]. Eight retained radio decisions and eight candidate-permutation controls produce 128 logits; all 16 actions match PyTorch and span eight candidate indices. The largest logit difference is 1.7881393432617188e-7, below the 1e-5 tolerance. HMAC matches RFC 4231 case 1; Ed25519 signatures match independent Python verification, and a corrupted signature is rejected. Table 9 records the execution checks.</w:t>
      </w:r>
    </w:p>
    <w:p>
      <w:pPr>
        <w:keepNext/>
        <w:pageBreakBefore w:val="0"/>
        <w:widowControl/>
        <w:spacing w:line="276" w:lineRule="auto" w:after="120"/>
      </w:pPr>
      <w:r>
        <w:t>Table 9. Isolated target checks.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4536"/>
        <w:gridCol w:w="4536"/>
      </w:tblGrid>
      <w:tr>
        <w:trPr>
          <w:cantSplit/>
          <w:tblHeader/>
        </w:trPr>
        <w:tc>
          <w:tcPr>
            <w:tcW w:type="dxa" w:w="3628"/>
          </w:tcPr>
          <w:p>
            <w:pPr>
              <w:spacing w:after="60" w:before="60" w:line="240" w:lineRule="auto"/>
            </w:pPr>
            <w:r>
              <w:rPr>
                <w:rFonts w:ascii="Times New Roman" w:hAnsi="Times New Roman"/>
                <w:b/>
                <w:sz w:val="18"/>
              </w:rPr>
              <w:t>Check</w:t>
            </w:r>
          </w:p>
        </w:tc>
        <w:tc>
          <w:tcPr>
            <w:tcW w:type="dxa" w:w="4535"/>
          </w:tcPr>
          <w:p>
            <w:pPr>
              <w:spacing w:after="60" w:before="60" w:line="240" w:lineRule="auto"/>
            </w:pPr>
            <w:r>
              <w:rPr>
                <w:rFonts w:ascii="Times New Roman" w:hAnsi="Times New Roman"/>
                <w:b/>
                <w:sz w:val="18"/>
              </w:rPr>
              <w:t>Observed result</w:t>
            </w:r>
          </w:p>
        </w:tc>
      </w:tr>
      <w:tr>
        <w:trPr>
          <w:cantSplit/>
        </w:trPr>
        <w:tc>
          <w:tcPr>
            <w:tcW w:type="dxa" w:w="3628"/>
          </w:tcPr>
          <w:p>
            <w:pPr>
              <w:spacing w:after="60" w:before="60" w:line="240" w:lineRule="auto"/>
            </w:pPr>
            <w:r>
              <w:rPr>
                <w:rFonts w:ascii="Times New Roman" w:hAnsi="Times New Roman"/>
                <w:b w:val="0"/>
                <w:sz w:val="18"/>
              </w:rPr>
              <w:t>Actor outputs</w:t>
            </w:r>
          </w:p>
        </w:tc>
        <w:tc>
          <w:tcPr>
            <w:tcW w:type="dxa" w:w="4535"/>
          </w:tcPr>
          <w:p>
            <w:pPr>
              <w:spacing w:after="60" w:before="60" w:line="240" w:lineRule="auto"/>
            </w:pPr>
            <w:r>
              <w:rPr>
                <w:rFonts w:ascii="Times New Roman" w:hAnsi="Times New Roman"/>
                <w:b w:val="0"/>
                <w:sz w:val="18"/>
              </w:rPr>
              <w:t>16/16 actions; 128 logits</w:t>
            </w:r>
          </w:p>
        </w:tc>
      </w:tr>
      <w:tr>
        <w:trPr>
          <w:cantSplit/>
        </w:trPr>
        <w:tc>
          <w:tcPr>
            <w:tcW w:type="dxa" w:w="3628"/>
          </w:tcPr>
          <w:p>
            <w:pPr>
              <w:spacing w:after="60" w:before="60" w:line="240" w:lineRule="auto"/>
            </w:pPr>
            <w:r>
              <w:rPr>
                <w:rFonts w:ascii="Times New Roman" w:hAnsi="Times New Roman"/>
                <w:b w:val="0"/>
                <w:sz w:val="18"/>
              </w:rPr>
              <w:t>Maximum logit error</w:t>
            </w:r>
          </w:p>
        </w:tc>
        <w:tc>
          <w:tcPr>
            <w:tcW w:type="dxa" w:w="4535"/>
          </w:tcPr>
          <w:p>
            <w:pPr>
              <w:spacing w:after="60" w:before="60" w:line="240" w:lineRule="auto"/>
            </w:pPr>
            <w:r>
              <w:rPr>
                <w:rFonts w:ascii="Times New Roman" w:hAnsi="Times New Roman"/>
                <w:b w:val="0"/>
                <w:sz w:val="18"/>
              </w:rPr>
              <w:t>1.7881393432617188e-7</w:t>
            </w:r>
          </w:p>
        </w:tc>
      </w:tr>
      <w:tr>
        <w:trPr>
          <w:cantSplit/>
        </w:trPr>
        <w:tc>
          <w:tcPr>
            <w:tcW w:type="dxa" w:w="3628"/>
          </w:tcPr>
          <w:p>
            <w:pPr>
              <w:spacing w:after="60" w:before="60" w:line="240" w:lineRule="auto"/>
            </w:pPr>
            <w:r>
              <w:rPr>
                <w:rFonts w:ascii="Times New Roman" w:hAnsi="Times New Roman"/>
                <w:b w:val="0"/>
                <w:sz w:val="18"/>
              </w:rPr>
              <w:t>HMAC / Ed25519</w:t>
            </w:r>
          </w:p>
        </w:tc>
        <w:tc>
          <w:tcPr>
            <w:tcW w:type="dxa" w:w="4535"/>
          </w:tcPr>
          <w:p>
            <w:pPr>
              <w:spacing w:after="60" w:before="60" w:line="240" w:lineRule="auto"/>
            </w:pPr>
            <w:r>
              <w:rPr>
                <w:rFonts w:ascii="Times New Roman" w:hAnsi="Times New Roman"/>
                <w:b w:val="0"/>
                <w:sz w:val="18"/>
              </w:rPr>
              <w:t>Known-answer / sign and verify passed</w:t>
            </w:r>
          </w:p>
        </w:tc>
      </w:tr>
      <w:tr>
        <w:trPr>
          <w:cantSplit/>
        </w:trPr>
        <w:tc>
          <w:tcPr>
            <w:tcW w:type="dxa" w:w="3628"/>
          </w:tcPr>
          <w:p>
            <w:pPr>
              <w:spacing w:after="60" w:before="60" w:line="240" w:lineRule="auto"/>
            </w:pPr>
            <w:r>
              <w:rPr>
                <w:rFonts w:ascii="Times New Roman" w:hAnsi="Times New Roman"/>
                <w:b w:val="0"/>
                <w:sz w:val="18"/>
              </w:rPr>
              <w:t>Text and read-only data</w:t>
            </w:r>
          </w:p>
        </w:tc>
        <w:tc>
          <w:tcPr>
            <w:tcW w:type="dxa" w:w="4535"/>
          </w:tcPr>
          <w:p>
            <w:pPr>
              <w:spacing w:after="60" w:before="60" w:line="240" w:lineRule="auto"/>
            </w:pPr>
            <w:r>
              <w:rPr>
                <w:rFonts w:ascii="Times New Roman" w:hAnsi="Times New Roman"/>
                <w:b w:val="0"/>
                <w:sz w:val="18"/>
              </w:rPr>
              <w:t>341,600 bytes</w:t>
            </w:r>
          </w:p>
        </w:tc>
      </w:tr>
      <w:tr>
        <w:trPr>
          <w:cantSplit/>
        </w:trPr>
        <w:tc>
          <w:tcPr>
            <w:tcW w:type="dxa" w:w="3628"/>
          </w:tcPr>
          <w:p>
            <w:pPr>
              <w:spacing w:after="60" w:before="60" w:line="240" w:lineRule="auto"/>
            </w:pPr>
            <w:r>
              <w:rPr>
                <w:rFonts w:ascii="Times New Roman" w:hAnsi="Times New Roman"/>
                <w:b w:val="0"/>
                <w:sz w:val="18"/>
              </w:rPr>
              <w:t>Observed stack watermark</w:t>
            </w:r>
          </w:p>
        </w:tc>
        <w:tc>
          <w:tcPr>
            <w:tcW w:type="dxa" w:w="4535"/>
          </w:tcPr>
          <w:p>
            <w:pPr>
              <w:spacing w:after="60" w:before="60" w:line="240" w:lineRule="auto"/>
            </w:pPr>
            <w:r>
              <w:rPr>
                <w:rFonts w:ascii="Times New Roman" w:hAnsi="Times New Roman"/>
                <w:b w:val="0"/>
                <w:sz w:val="18"/>
              </w:rPr>
              <w:t>3,080 bytes</w:t>
            </w:r>
          </w:p>
        </w:tc>
      </w:tr>
      <w:tr>
        <w:trPr>
          <w:cantSplit/>
        </w:trPr>
        <w:tc>
          <w:tcPr>
            <w:tcW w:type="dxa" w:w="3628"/>
          </w:tcPr>
          <w:p>
            <w:pPr>
              <w:spacing w:after="60" w:before="60" w:line="240" w:lineRule="auto"/>
            </w:pPr>
            <w:r>
              <w:rPr>
                <w:rFonts w:ascii="Times New Roman" w:hAnsi="Times New Roman"/>
                <w:b w:val="0"/>
                <w:sz w:val="18"/>
              </w:rPr>
              <w:t>Linker limits</w:t>
            </w:r>
          </w:p>
        </w:tc>
        <w:tc>
          <w:tcPr>
            <w:tcW w:type="dxa" w:w="4535"/>
          </w:tcPr>
          <w:p>
            <w:pPr>
              <w:spacing w:after="60" w:before="60" w:line="240" w:lineRule="auto"/>
            </w:pPr>
            <w:r>
              <w:rPr>
                <w:rFonts w:ascii="Times New Roman" w:hAnsi="Times New Roman"/>
                <w:b w:val="0"/>
                <w:sz w:val="18"/>
              </w:rPr>
              <w:t>512 KiB flash; 32 KiB SRAM</w:t>
            </w:r>
          </w:p>
        </w:tc>
      </w:tr>
    </w:tbl>
    <w:p>
      <w:pPr>
        <w:keepNext w:val="0"/>
        <w:pageBreakBefore w:val="0"/>
        <w:widowControl/>
        <w:spacing w:line="276" w:lineRule="auto" w:after="120" w:before="120"/>
      </w:pPr>
      <w:r>
        <w:t>The image omits radio buffers, RTOS state and integrated protocol memory; its observed stack watermark is not a worst-case bound. Public test keys are used only for validation. This isolated instruction harness and the CC2538 UART/radio bridge in Section 5.4 are distinct experiments. Neither their separate success nor the activation approximation’s agreement on these vectors validates a complete embedded routing system, physical timing or measured energy. Section 5.8 subsequently evaluates a combined radio and policy/crypto image under a narrower four-node protocol.</w:t>
      </w:r>
    </w:p>
    <w:p>
      <w:pPr>
        <w:pStyle w:val="Heading2"/>
        <w:keepNext/>
      </w:pPr>
      <w:r>
        <w:t>5.8 Live MCU routing and authentication</w:t>
      </w:r>
    </w:p>
    <w:p>
      <w:pPr>
        <w:keepNext w:val="0"/>
        <w:pageBreakBefore w:val="0"/>
        <w:widowControl/>
        <w:spacing w:line="276" w:lineRule="auto" w:after="120"/>
      </w:pPr>
      <w:r>
        <w:t>The four-node CC2538 pilot executes observation construction, frozen attention inference, hop authentication and receipt handling inside the MCU. The host triggers traffic and beacon exchange and captures UART output. Earlier public fixtures deliver twenty packets and verified receipts, with fifty matching routing decisions. Table 10 compares the retained private-key FP32 streams with two later implementations; each profile offers one hundred packets in a three-hop chain and one hundred in a geometry with two feasible source choices. These are sequential functional diagnostics, not independent statistical replicates or a new confirmatory comparison; N is the offered count.</w:t>
      </w:r>
    </w:p>
    <w:p>
      <w:pPr>
        <w:keepNext w:val="0"/>
        <w:pageBreakBefore w:val="0"/>
        <w:widowControl/>
        <w:spacing w:line="276" w:lineRule="auto" w:after="120"/>
      </w:pPr>
      <w:r>
        <w:t>Operation-level profiling identifies approximately 270 ms per-hop FP32 inference and 81 ms Ed25519 verification in the declared emulator. A separate Q22 implementation uses signed 32-bit weights and activations, 64-bit accumulators and an 8193-point tanh lookup table. Export checks bound arithmetic for input coordinates in [−32, 32]; nonfinite or out-of-domain inputs are rejected. The lookup table adds 32,772 bytes beyond the 176,644 parameter bytes. All five hundred retained decisions and the later MCU decisions match the FP32 reference at their recorded observations, with logit errors below 1e-4. This is tested approximation agreement, not universal action equivalence. Inference falls to approximately 12–13 ms with one candidate. Caching the provisioned sink signing key also removes repeated key derivation from the packet path.</w:t>
      </w:r>
    </w:p>
    <w:p>
      <w:pPr>
        <w:keepNext/>
        <w:pageBreakBefore w:val="0"/>
        <w:widowControl/>
        <w:spacing w:line="276" w:lineRule="auto" w:after="120"/>
      </w:pPr>
      <w:r>
        <w:t>Table 10. MCU receipt profiles.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474"/>
        <w:gridCol w:w="510"/>
        <w:gridCol w:w="1417"/>
        <w:gridCol w:w="1361"/>
        <w:gridCol w:w="907"/>
        <w:gridCol w:w="1361"/>
        <w:gridCol w:w="907"/>
      </w:tblGrid>
      <w:tr>
        <w:trPr>
          <w:cantSplit/>
          <w:tblHeader/>
        </w:trPr>
        <w:tc>
          <w:tcPr>
            <w:tcW w:type="dxa" w:w="1474"/>
          </w:tcPr>
          <w:p>
            <w:pPr>
              <w:keepNext/>
              <w:spacing w:before="60" w:after="60" w:line="240" w:lineRule="auto"/>
            </w:pPr>
            <w:r>
              <w:rPr>
                <w:rFonts w:ascii="Times New Roman" w:hAnsi="Times New Roman"/>
                <w:b/>
                <w:sz w:val="17"/>
              </w:rPr>
              <w:t>Profile / topology</w:t>
            </w:r>
          </w:p>
        </w:tc>
        <w:tc>
          <w:tcPr>
            <w:tcW w:type="dxa" w:w="510"/>
          </w:tcPr>
          <w:p>
            <w:pPr>
              <w:keepNext/>
              <w:spacing w:before="60" w:after="60" w:line="240" w:lineRule="auto"/>
            </w:pPr>
            <w:r>
              <w:rPr>
                <w:rFonts w:ascii="Times New Roman" w:hAnsi="Times New Roman"/>
                <w:b/>
                <w:sz w:val="17"/>
              </w:rPr>
              <w:t>N</w:t>
            </w:r>
          </w:p>
        </w:tc>
        <w:tc>
          <w:tcPr>
            <w:tcW w:type="dxa" w:w="1417"/>
          </w:tcPr>
          <w:p>
            <w:pPr>
              <w:keepNext/>
              <w:spacing w:before="60" w:after="60" w:line="240" w:lineRule="auto"/>
            </w:pPr>
            <w:r>
              <w:rPr>
                <w:rFonts w:ascii="Times New Roman" w:hAnsi="Times New Roman"/>
                <w:b/>
                <w:sz w:val="17"/>
              </w:rPr>
              <w:t>Delivered / Ed proofs</w:t>
            </w:r>
          </w:p>
        </w:tc>
        <w:tc>
          <w:tcPr>
            <w:tcW w:type="dxa" w:w="1361"/>
          </w:tcPr>
          <w:p>
            <w:pPr>
              <w:keepNext/>
              <w:spacing w:before="60" w:after="60" w:line="240" w:lineRule="auto"/>
            </w:pPr>
            <w:r>
              <w:rPr>
                <w:rFonts w:ascii="Times New Roman" w:hAnsi="Times New Roman"/>
                <w:b/>
                <w:sz w:val="17"/>
              </w:rPr>
              <w:t>Ed delay (ms)</w:t>
            </w:r>
          </w:p>
        </w:tc>
        <w:tc>
          <w:tcPr>
            <w:tcW w:type="dxa" w:w="907"/>
          </w:tcPr>
          <w:p>
            <w:pPr>
              <w:keepNext/>
              <w:spacing w:before="60" w:after="60" w:line="240" w:lineRule="auto"/>
            </w:pPr>
            <w:r>
              <w:rPr>
                <w:rFonts w:ascii="Times New Roman" w:hAnsi="Times New Roman"/>
                <w:b/>
                <w:sz w:val="17"/>
              </w:rPr>
              <w:t>Ed misses</w:t>
            </w:r>
          </w:p>
        </w:tc>
        <w:tc>
          <w:tcPr>
            <w:tcW w:type="dxa" w:w="1361"/>
          </w:tcPr>
          <w:p>
            <w:pPr>
              <w:keepNext/>
              <w:spacing w:before="60" w:after="60" w:line="240" w:lineRule="auto"/>
            </w:pPr>
            <w:r>
              <w:rPr>
                <w:rFonts w:ascii="Times New Roman" w:hAnsi="Times New Roman"/>
                <w:b/>
                <w:sz w:val="17"/>
              </w:rPr>
              <w:t>Fast delay (ms)</w:t>
            </w:r>
          </w:p>
        </w:tc>
        <w:tc>
          <w:tcPr>
            <w:tcW w:type="dxa" w:w="907"/>
          </w:tcPr>
          <w:p>
            <w:pPr>
              <w:keepNext/>
              <w:spacing w:before="60" w:after="60" w:line="240" w:lineRule="auto"/>
            </w:pPr>
            <w:r>
              <w:rPr>
                <w:rFonts w:ascii="Times New Roman" w:hAnsi="Times New Roman"/>
                <w:b/>
                <w:sz w:val="17"/>
              </w:rPr>
              <w:t>Fast misses</w:t>
            </w:r>
          </w:p>
        </w:tc>
      </w:tr>
      <w:tr>
        <w:trPr>
          <w:cantSplit/>
        </w:trPr>
        <w:tc>
          <w:tcPr>
            <w:tcW w:type="dxa" w:w="1474"/>
          </w:tcPr>
          <w:p>
            <w:pPr>
              <w:keepNext/>
              <w:spacing w:before="60" w:after="60" w:line="240" w:lineRule="auto"/>
            </w:pPr>
            <w:r>
              <w:rPr>
                <w:rFonts w:ascii="Times New Roman" w:hAnsi="Times New Roman"/>
                <w:b w:val="0"/>
                <w:sz w:val="17"/>
              </w:rPr>
              <w:t>FP32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1134–1142</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FP32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925–931</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331–339</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238–245</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Fast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333–343</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61–63</w:t>
            </w:r>
          </w:p>
        </w:tc>
        <w:tc>
          <w:tcPr>
            <w:tcW w:type="dxa" w:w="907"/>
          </w:tcPr>
          <w:p>
            <w:pPr>
              <w:keepNext/>
              <w:spacing w:before="60" w:after="60" w:line="240" w:lineRule="auto"/>
            </w:pPr>
            <w:r>
              <w:rPr>
                <w:rFonts w:ascii="Times New Roman" w:hAnsi="Times New Roman"/>
                <w:b w:val="0"/>
                <w:sz w:val="17"/>
              </w:rPr>
              <w:t>0</w:t>
            </w:r>
          </w:p>
        </w:tc>
      </w:tr>
      <w:tr>
        <w:trPr>
          <w:cantSplit/>
        </w:trPr>
        <w:tc>
          <w:tcPr>
            <w:tcW w:type="dxa" w:w="1474"/>
          </w:tcPr>
          <w:p>
            <w:pPr>
              <w:spacing w:before="60" w:after="60" w:line="240" w:lineRule="auto"/>
            </w:pPr>
            <w:r>
              <w:rPr>
                <w:rFonts w:ascii="Times New Roman" w:hAnsi="Times New Roman"/>
                <w:b w:val="0"/>
                <w:sz w:val="17"/>
              </w:rPr>
              <w:t>Fast / choice</w:t>
            </w:r>
          </w:p>
        </w:tc>
        <w:tc>
          <w:tcPr>
            <w:tcW w:type="dxa" w:w="510"/>
          </w:tcPr>
          <w:p>
            <w:pPr>
              <w:spacing w:before="60" w:after="60" w:line="240" w:lineRule="auto"/>
            </w:pPr>
            <w:r>
              <w:rPr>
                <w:rFonts w:ascii="Times New Roman" w:hAnsi="Times New Roman"/>
                <w:b w:val="0"/>
                <w:sz w:val="17"/>
              </w:rPr>
              <w:t>100</w:t>
            </w:r>
          </w:p>
        </w:tc>
        <w:tc>
          <w:tcPr>
            <w:tcW w:type="dxa" w:w="1417"/>
          </w:tcPr>
          <w:p>
            <w:pPr>
              <w:spacing w:before="60" w:after="60" w:line="240" w:lineRule="auto"/>
            </w:pPr>
            <w:r>
              <w:rPr>
                <w:rFonts w:ascii="Times New Roman" w:hAnsi="Times New Roman"/>
                <w:b w:val="0"/>
                <w:sz w:val="17"/>
              </w:rPr>
              <w:t>100 / 100</w:t>
            </w:r>
          </w:p>
        </w:tc>
        <w:tc>
          <w:tcPr>
            <w:tcW w:type="dxa" w:w="1361"/>
          </w:tcPr>
          <w:p>
            <w:pPr>
              <w:spacing w:before="60" w:after="60" w:line="240" w:lineRule="auto"/>
            </w:pPr>
            <w:r>
              <w:rPr>
                <w:rFonts w:ascii="Times New Roman" w:hAnsi="Times New Roman"/>
                <w:b w:val="0"/>
                <w:sz w:val="17"/>
              </w:rPr>
              <w:t>240–247</w:t>
            </w:r>
          </w:p>
        </w:tc>
        <w:tc>
          <w:tcPr>
            <w:tcW w:type="dxa" w:w="907"/>
          </w:tcPr>
          <w:p>
            <w:pPr>
              <w:spacing w:before="60" w:after="60" w:line="240" w:lineRule="auto"/>
            </w:pPr>
            <w:r>
              <w:rPr>
                <w:rFonts w:ascii="Times New Roman" w:hAnsi="Times New Roman"/>
                <w:b w:val="0"/>
                <w:sz w:val="17"/>
              </w:rPr>
              <w:t>34</w:t>
            </w:r>
          </w:p>
        </w:tc>
        <w:tc>
          <w:tcPr>
            <w:tcW w:type="dxa" w:w="1361"/>
          </w:tcPr>
          <w:p>
            <w:pPr>
              <w:spacing w:before="60" w:after="60" w:line="240" w:lineRule="auto"/>
            </w:pPr>
            <w:r>
              <w:rPr>
                <w:rFonts w:ascii="Times New Roman" w:hAnsi="Times New Roman"/>
                <w:b w:val="0"/>
                <w:sz w:val="17"/>
              </w:rPr>
              <w:t>49–50</w:t>
            </w:r>
          </w:p>
        </w:tc>
        <w:tc>
          <w:tcPr>
            <w:tcW w:type="dxa" w:w="907"/>
          </w:tcPr>
          <w:p>
            <w:pPr>
              <w:spacing w:before="60" w:after="60" w:line="240" w:lineRule="auto"/>
            </w:pPr>
            <w:r>
              <w:rPr>
                <w:rFonts w:ascii="Times New Roman" w:hAnsi="Times New Roman"/>
                <w:b w:val="0"/>
                <w:sz w:val="17"/>
              </w:rPr>
              <w:t>0</w:t>
            </w:r>
          </w:p>
        </w:tc>
      </w:tr>
    </w:tbl>
    <w:p>
      <w:pPr>
        <w:keepNext w:val="0"/>
        <w:pageBreakBefore w:val="0"/>
        <w:widowControl/>
        <w:spacing w:line="276" w:lineRule="auto" w:after="120"/>
      </w:pPr>
      <w:r>
        <w:t>The experimental fast profile adds a distinct 66-byte application frame: the fourteen-byte packet identity, a sixteen-byte source–sink HMAC, the twenty-byte hop header and its sixteen-byte hop tag. The sink emits this private receipt after verifying source data, then generates the original Ed25519 proof. Relays check the hop envelope and pending route and forward the private receipt opaquely; they assign no forwarding credit from it. Only the source authenticates the end-to-end MAC and settles its service debt early. The separate public proof remains subject to Ed25519 verification and the original MAC-ACK credit gate. A private MAC is not transferable public evidence, and its deadline endpoint is not the original signed-receipt endpoint.</w:t>
      </w:r>
    </w:p>
    <w:p>
      <w:pPr>
        <w:keepNext w:val="0"/>
        <w:pageBreakBefore w:val="0"/>
        <w:widowControl/>
        <w:spacing w:line="276" w:lineRule="auto" w:after="120"/>
      </w:pPr>
      <w:r>
        <w:t>Fixed-point inference reduces signed-receipt misses from 134/200 to 68/200; the 90 ms class still fails. In the fast profile, all two hundred private receipts meet their source deadlines, while all two hundred deferred Ed25519 proofs are eventually verified and sixty-eight miss the original signed deadline. Extra private receipts add three radio frames per chain packet or two per choice packet; no energy saving is inferred. Tested-path stack watermarks reach 6624 bytes, with 3968 static RAM bytes and intact guards under the 32 KiB linker budget. These are observed paths, not a worst-case stack bound.</w:t>
      </w:r>
    </w:p>
    <w:p>
      <w:pPr>
        <w:keepNext w:val="0"/>
        <w:pageBreakBefore w:val="0"/>
        <w:widowControl/>
        <w:spacing w:line="276" w:lineRule="auto" w:after="120"/>
      </w:pPr>
      <w:r>
        <w:t>Fresh pairwise keys and a signing seed are provisioned once over the trusted emulator UART; persisted host allocation reserves distinct boot sessions. The software rejects stale sessions, repeated provisioning, mismatched signing keys and forged fast MACs, and uses explicit wipes for temporary key material and UART buffers. Source replay state rolls across longer streams. None of this establishes protected MCU storage, authenticated physical provisioning or reboot-persistent device state. The pilot still fixes four nodes, nominal energy/queue inputs and test-triggered beacons. Physical RF/energy, overload, autonomous rendezvous and deployment behavior remain unvalidated; retrospective private hop-tag audits require the locally retained fixtures.</w:t>
      </w:r>
    </w:p>
    <w:p>
      <w:pPr>
        <w:pStyle w:val="Heading2"/>
        <w:keepNext/>
      </w:pPr>
      <w:r>
        <w:t>5.9 Cooja transfer and relay behavior change</w:t>
      </w:r>
    </w:p>
    <w:p>
      <w:pPr>
        <w:keepNext w:val="0"/>
        <w:pageBreakBefore w:val="0"/>
        <w:widowControl/>
        <w:spacing w:line="276" w:lineRule="auto" w:after="120"/>
      </w:pPr>
      <w:r>
        <w:t>A separate Cooja evaluation [25] runs the frozen Q22 actor and weighted feedback ledger inside four native Contiki-NG motes. Thirty new simulation seeds cross five arms, benign or post-warm-up blackhole behavior, and native or scheduled processing time: 600 runs and 36,000 offered packets. The source offers sixty packets at 300 ms intervals; two feasible relays connect it to the sink. All arms share geometry, traffic, authenticated beacons, nominal energy/queue inputs and the same checkpoint. Censored-plus-proof retains the censored evidence rule while enabling the active arm’s proof-generation rule; realized traffic can still differ as routes change. This is a four-node policy-transfer experiment, not a repetition of the original network-scale benchmark.</w:t>
      </w:r>
    </w:p>
    <w:p>
      <w:pPr>
        <w:keepNext w:val="0"/>
        <w:pageBreakBefore w:val="0"/>
        <w:widowControl/>
        <w:spacing w:line="276" w:lineRule="auto" w:after="120"/>
      </w:pPr>
      <w:r>
        <w:t>Actual CSMA callbacks supply first-hop MAC outcomes. A radio-driver hook observes successfully received forwarding frames before destination filtering, rather than reading simulator-held forwarding histories. Passive evidence has strength 0.5 and a signed sink receipt strength 1; the Python ledger independently replays ACK gating, 150 ms expiry, maximum-strength deduplication and late upgrades. Active proofs are authenticated hop messages emitted after successful downstream MAC outcomes. Public fixture keys support trace verification, not deployment secrecy. Sixteen local pending routes expire after two seconds; closed feedback records can remain eligible for late upgrades until their slots are reused.</w:t>
      </w:r>
    </w:p>
    <w:p>
      <w:pPr>
        <w:keepNext w:val="0"/>
        <w:pageBreakBefore w:val="0"/>
        <w:widowControl/>
        <w:spacing w:line="276" w:lineRule="auto" w:after="120"/>
      </w:pPr>
      <w:r>
        <w:t>Native execution does not account for Cortex-M3 instruction time. The delayed setting schedules outbound data after 14 ms, other outbound messages after 1 ms, received public receipts after 81 ms, sink data processing after 31 ms and other received frames after 1 ms. These per-packet assumptions do not model serial CPU service, overload or measured compute energy. Table 11 reports means over thirty seeds; Fig. 12 shows paired delivery contrasts, with a shared horizontal scale within each attack setting. Pointwise bootstrap intervals use 20,000 seed resamples. Two-sided paired sign-flip tests use 100,000 draws, with Holm adjustment across sixteen contrasts within each endpoint family. Delivery is primary; critical sink-deadline failures and total transmit-state duration form separate secondary families. Four direct matched-proof contrasts per endpoint were added after the protocol freeze as exploratory checks, with a separate Holm family; they do not alter primary inference.</w:t>
      </w:r>
    </w:p>
    <w:p>
      <w:pPr>
        <w:keepNext/>
        <w:pageBreakBefore w:val="0"/>
        <w:widowControl/>
        <w:spacing w:line="276" w:lineRule="auto" w:after="120"/>
      </w:pPr>
      <w:r>
        <w:t>Table 11. Cooja transfer results.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512"/>
        <w:gridCol w:w="1512"/>
        <w:gridCol w:w="1512"/>
        <w:gridCol w:w="1512"/>
        <w:gridCol w:w="1512"/>
        <w:gridCol w:w="1512"/>
      </w:tblGrid>
      <w:tr>
        <w:trPr>
          <w:cantSplit/>
          <w:tblHeader/>
        </w:trPr>
        <w:tc>
          <w:tcPr>
            <w:tcW w:type="dxa" w:w="1134"/>
          </w:tcPr>
          <w:p>
            <w:pPr>
              <w:spacing w:before="60" w:after="60" w:line="240" w:lineRule="auto"/>
            </w:pPr>
            <w:r>
              <w:rPr>
                <w:rFonts w:ascii="Times New Roman" w:hAnsi="Times New Roman"/>
                <w:b/>
                <w:sz w:val="17"/>
              </w:rPr>
              <w:t>Setting</w:t>
            </w:r>
          </w:p>
        </w:tc>
        <w:tc>
          <w:tcPr>
            <w:tcW w:type="dxa" w:w="1814"/>
          </w:tcPr>
          <w:p>
            <w:pPr>
              <w:spacing w:before="60" w:after="60" w:line="240" w:lineRule="auto"/>
            </w:pPr>
            <w:r>
              <w:rPr>
                <w:rFonts w:ascii="Times New Roman" w:hAnsi="Times New Roman"/>
                <w:b/>
                <w:sz w:val="17"/>
              </w:rPr>
              <w:t>Feedback arm</w:t>
            </w:r>
          </w:p>
        </w:tc>
        <w:tc>
          <w:tcPr>
            <w:tcW w:type="dxa" w:w="1474"/>
          </w:tcPr>
          <w:p>
            <w:pPr>
              <w:spacing w:before="60" w:after="60" w:line="240" w:lineRule="auto"/>
            </w:pPr>
            <w:r>
              <w:rPr>
                <w:rFonts w:ascii="Times New Roman" w:hAnsi="Times New Roman"/>
                <w:b/>
                <w:sz w:val="17"/>
              </w:rPr>
              <w:t>Delivery base (%)</w:t>
            </w:r>
          </w:p>
        </w:tc>
        <w:tc>
          <w:tcPr>
            <w:tcW w:type="dxa" w:w="1474"/>
          </w:tcPr>
          <w:p>
            <w:pPr>
              <w:spacing w:before="60" w:after="60" w:line="240" w:lineRule="auto"/>
            </w:pPr>
            <w:r>
              <w:rPr>
                <w:rFonts w:ascii="Times New Roman" w:hAnsi="Times New Roman"/>
                <w:b/>
                <w:sz w:val="17"/>
              </w:rPr>
              <w:t>Delivery delayed (%)</w:t>
            </w:r>
          </w:p>
        </w:tc>
        <w:tc>
          <w:tcPr>
            <w:tcW w:type="dxa" w:w="1701"/>
          </w:tcPr>
          <w:p>
            <w:pPr>
              <w:spacing w:before="60" w:after="60" w:line="240" w:lineRule="auto"/>
            </w:pPr>
            <w:r>
              <w:rPr>
                <w:rFonts w:ascii="Times New Roman" w:hAnsi="Times New Roman"/>
                <w:b/>
                <w:sz w:val="17"/>
              </w:rPr>
              <w:t>Critical failure delayed (%)</w:t>
            </w:r>
          </w:p>
        </w:tc>
        <w:tc>
          <w:tcPr>
            <w:tcW w:type="dxa" w:w="1134"/>
          </w:tcPr>
          <w:p>
            <w:pPr>
              <w:spacing w:before="60" w:after="60" w:line="240" w:lineRule="auto"/>
            </w:pPr>
            <w:r>
              <w:rPr>
                <w:rFonts w:ascii="Times New Roman" w:hAnsi="Times New Roman"/>
                <w:b/>
                <w:sz w:val="17"/>
              </w:rPr>
              <w:t>TX delayed (s)</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98.78</w:t>
            </w:r>
          </w:p>
        </w:tc>
        <w:tc>
          <w:tcPr>
            <w:tcW w:type="dxa" w:w="1474"/>
          </w:tcPr>
          <w:p>
            <w:pPr>
              <w:spacing w:before="60" w:after="60" w:line="240" w:lineRule="auto"/>
            </w:pPr>
            <w:r>
              <w:rPr>
                <w:rFonts w:ascii="Times New Roman" w:hAnsi="Times New Roman"/>
                <w:b w:val="0"/>
                <w:sz w:val="17"/>
              </w:rPr>
              <w:t>99.17</w:t>
            </w:r>
          </w:p>
        </w:tc>
        <w:tc>
          <w:tcPr>
            <w:tcW w:type="dxa" w:w="1701"/>
          </w:tcPr>
          <w:p>
            <w:pPr>
              <w:spacing w:before="60" w:after="60" w:line="240" w:lineRule="auto"/>
            </w:pPr>
            <w:r>
              <w:rPr>
                <w:rFonts w:ascii="Times New Roman" w:hAnsi="Times New Roman"/>
                <w:b w:val="0"/>
                <w:sz w:val="17"/>
              </w:rPr>
              <w:t>94.17</w:t>
            </w:r>
          </w:p>
        </w:tc>
        <w:tc>
          <w:tcPr>
            <w:tcW w:type="dxa" w:w="1134"/>
          </w:tcPr>
          <w:p>
            <w:pPr>
              <w:spacing w:before="60" w:after="60" w:line="240" w:lineRule="auto"/>
            </w:pPr>
            <w:r>
              <w:rPr>
                <w:rFonts w:ascii="Times New Roman" w:hAnsi="Times New Roman"/>
                <w:b w:val="0"/>
                <w:sz w:val="17"/>
              </w:rPr>
              <w:t>8.282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98.67</w:t>
            </w:r>
          </w:p>
        </w:tc>
        <w:tc>
          <w:tcPr>
            <w:tcW w:type="dxa" w:w="1474"/>
          </w:tcPr>
          <w:p>
            <w:pPr>
              <w:spacing w:before="60" w:after="60" w:line="240" w:lineRule="auto"/>
            </w:pPr>
            <w:r>
              <w:rPr>
                <w:rFonts w:ascii="Times New Roman" w:hAnsi="Times New Roman"/>
                <w:b w:val="0"/>
                <w:sz w:val="17"/>
              </w:rPr>
              <w:t>98.39</w:t>
            </w:r>
          </w:p>
        </w:tc>
        <w:tc>
          <w:tcPr>
            <w:tcW w:type="dxa" w:w="1701"/>
          </w:tcPr>
          <w:p>
            <w:pPr>
              <w:spacing w:before="60" w:after="60" w:line="240" w:lineRule="auto"/>
            </w:pPr>
            <w:r>
              <w:rPr>
                <w:rFonts w:ascii="Times New Roman" w:hAnsi="Times New Roman"/>
                <w:b w:val="0"/>
                <w:sz w:val="17"/>
              </w:rPr>
              <w:t>95.17</w:t>
            </w:r>
          </w:p>
        </w:tc>
        <w:tc>
          <w:tcPr>
            <w:tcW w:type="dxa" w:w="1134"/>
          </w:tcPr>
          <w:p>
            <w:pPr>
              <w:spacing w:before="60" w:after="60" w:line="240" w:lineRule="auto"/>
            </w:pPr>
            <w:r>
              <w:rPr>
                <w:rFonts w:ascii="Times New Roman" w:hAnsi="Times New Roman"/>
                <w:b w:val="0"/>
                <w:sz w:val="17"/>
              </w:rPr>
              <w:t>7.933</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98.50</w:t>
            </w:r>
          </w:p>
        </w:tc>
        <w:tc>
          <w:tcPr>
            <w:tcW w:type="dxa" w:w="1474"/>
          </w:tcPr>
          <w:p>
            <w:pPr>
              <w:spacing w:before="60" w:after="60" w:line="240" w:lineRule="auto"/>
            </w:pPr>
            <w:r>
              <w:rPr>
                <w:rFonts w:ascii="Times New Roman" w:hAnsi="Times New Roman"/>
                <w:b w:val="0"/>
                <w:sz w:val="17"/>
              </w:rPr>
              <w:t>98.72</w:t>
            </w:r>
          </w:p>
        </w:tc>
        <w:tc>
          <w:tcPr>
            <w:tcW w:type="dxa" w:w="1701"/>
          </w:tcPr>
          <w:p>
            <w:pPr>
              <w:spacing w:before="60" w:after="60" w:line="240" w:lineRule="auto"/>
            </w:pPr>
            <w:r>
              <w:rPr>
                <w:rFonts w:ascii="Times New Roman" w:hAnsi="Times New Roman"/>
                <w:b w:val="0"/>
                <w:sz w:val="17"/>
              </w:rPr>
              <w:t>94.50</w:t>
            </w:r>
          </w:p>
        </w:tc>
        <w:tc>
          <w:tcPr>
            <w:tcW w:type="dxa" w:w="1134"/>
          </w:tcPr>
          <w:p>
            <w:pPr>
              <w:spacing w:before="60" w:after="60" w:line="240" w:lineRule="auto"/>
            </w:pPr>
            <w:r>
              <w:rPr>
                <w:rFonts w:ascii="Times New Roman" w:hAnsi="Times New Roman"/>
                <w:b w:val="0"/>
                <w:sz w:val="17"/>
              </w:rPr>
              <w:t>8.277</w:t>
            </w:r>
          </w:p>
        </w:tc>
      </w:tr>
      <w:tr>
        <w:trPr>
          <w:cantSplit/>
        </w:trPr>
        <w:tc>
          <w:tcPr>
            <w:tcW w:type="dxa" w:w="1134"/>
          </w:tcPr>
          <w:p>
            <w:pPr>
              <w:spacing w:before="60" w:after="60" w:line="240" w:lineRule="auto"/>
            </w:pPr>
            <w:r>
              <w:rPr>
                <w:rFonts w:ascii="Times New Roman" w:hAnsi="Times New Roman"/>
                <w:b w:val="0"/>
                <w:sz w:val="17"/>
              </w:rPr>
              <w:t>Benign</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98.33</w:t>
            </w:r>
          </w:p>
        </w:tc>
        <w:tc>
          <w:tcPr>
            <w:tcW w:type="dxa" w:w="1474"/>
          </w:tcPr>
          <w:p>
            <w:pPr>
              <w:spacing w:before="60" w:after="60" w:line="240" w:lineRule="auto"/>
            </w:pPr>
            <w:r>
              <w:rPr>
                <w:rFonts w:ascii="Times New Roman" w:hAnsi="Times New Roman"/>
                <w:b w:val="0"/>
                <w:sz w:val="17"/>
              </w:rPr>
              <w:t>98.50</w:t>
            </w:r>
          </w:p>
        </w:tc>
        <w:tc>
          <w:tcPr>
            <w:tcW w:type="dxa" w:w="1701"/>
          </w:tcPr>
          <w:p>
            <w:pPr>
              <w:spacing w:before="60" w:after="60" w:line="240" w:lineRule="auto"/>
            </w:pPr>
            <w:r>
              <w:rPr>
                <w:rFonts w:ascii="Times New Roman" w:hAnsi="Times New Roman"/>
                <w:b w:val="0"/>
                <w:sz w:val="17"/>
              </w:rPr>
              <w:t>95.00</w:t>
            </w:r>
          </w:p>
        </w:tc>
        <w:tc>
          <w:tcPr>
            <w:tcW w:type="dxa" w:w="1134"/>
          </w:tcPr>
          <w:p>
            <w:pPr>
              <w:spacing w:before="60" w:after="60" w:line="240" w:lineRule="auto"/>
            </w:pPr>
            <w:r>
              <w:rPr>
                <w:rFonts w:ascii="Times New Roman" w:hAnsi="Times New Roman"/>
                <w:b w:val="0"/>
                <w:sz w:val="17"/>
              </w:rPr>
              <w:t>7.932</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Active proofs</w:t>
            </w:r>
          </w:p>
        </w:tc>
        <w:tc>
          <w:tcPr>
            <w:tcW w:type="dxa" w:w="1474"/>
          </w:tcPr>
          <w:p>
            <w:pPr>
              <w:spacing w:before="60" w:after="60" w:line="240" w:lineRule="auto"/>
            </w:pPr>
            <w:r>
              <w:rPr>
                <w:rFonts w:ascii="Times New Roman" w:hAnsi="Times New Roman"/>
                <w:b w:val="0"/>
                <w:sz w:val="17"/>
              </w:rPr>
              <w:t>71.39</w:t>
            </w:r>
          </w:p>
        </w:tc>
        <w:tc>
          <w:tcPr>
            <w:tcW w:type="dxa" w:w="1474"/>
          </w:tcPr>
          <w:p>
            <w:pPr>
              <w:spacing w:before="60" w:after="60" w:line="240" w:lineRule="auto"/>
            </w:pPr>
            <w:r>
              <w:rPr>
                <w:rFonts w:ascii="Times New Roman" w:hAnsi="Times New Roman"/>
                <w:b w:val="0"/>
                <w:sz w:val="17"/>
              </w:rPr>
              <w:t>79.11</w:t>
            </w:r>
          </w:p>
        </w:tc>
        <w:tc>
          <w:tcPr>
            <w:tcW w:type="dxa" w:w="1701"/>
          </w:tcPr>
          <w:p>
            <w:pPr>
              <w:spacing w:before="60" w:after="60" w:line="240" w:lineRule="auto"/>
            </w:pPr>
            <w:r>
              <w:rPr>
                <w:rFonts w:ascii="Times New Roman" w:hAnsi="Times New Roman"/>
                <w:b w:val="0"/>
                <w:sz w:val="17"/>
              </w:rPr>
              <w:t>96.00</w:t>
            </w:r>
          </w:p>
        </w:tc>
        <w:tc>
          <w:tcPr>
            <w:tcW w:type="dxa" w:w="1134"/>
          </w:tcPr>
          <w:p>
            <w:pPr>
              <w:spacing w:before="60" w:after="60" w:line="240" w:lineRule="auto"/>
            </w:pPr>
            <w:r>
              <w:rPr>
                <w:rFonts w:ascii="Times New Roman" w:hAnsi="Times New Roman"/>
                <w:b w:val="0"/>
                <w:sz w:val="17"/>
              </w:rPr>
              <w:t>7.931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Naive passive</w:t>
            </w:r>
          </w:p>
        </w:tc>
        <w:tc>
          <w:tcPr>
            <w:tcW w:type="dxa" w:w="1474"/>
          </w:tcPr>
          <w:p>
            <w:pPr>
              <w:spacing w:before="60" w:after="60" w:line="240" w:lineRule="auto"/>
            </w:pPr>
            <w:r>
              <w:rPr>
                <w:rFonts w:ascii="Times New Roman" w:hAnsi="Times New Roman"/>
                <w:b w:val="0"/>
                <w:sz w:val="17"/>
              </w:rPr>
              <w:t>47.00</w:t>
            </w:r>
          </w:p>
        </w:tc>
        <w:tc>
          <w:tcPr>
            <w:tcW w:type="dxa" w:w="1474"/>
          </w:tcPr>
          <w:p>
            <w:pPr>
              <w:spacing w:before="60" w:after="60" w:line="240" w:lineRule="auto"/>
            </w:pPr>
            <w:r>
              <w:rPr>
                <w:rFonts w:ascii="Times New Roman" w:hAnsi="Times New Roman"/>
                <w:b w:val="0"/>
                <w:sz w:val="17"/>
              </w:rPr>
              <w:t>54.89</w:t>
            </w:r>
          </w:p>
        </w:tc>
        <w:tc>
          <w:tcPr>
            <w:tcW w:type="dxa" w:w="1701"/>
          </w:tcPr>
          <w:p>
            <w:pPr>
              <w:spacing w:before="60" w:after="60" w:line="240" w:lineRule="auto"/>
            </w:pPr>
            <w:r>
              <w:rPr>
                <w:rFonts w:ascii="Times New Roman" w:hAnsi="Times New Roman"/>
                <w:b w:val="0"/>
                <w:sz w:val="17"/>
              </w:rPr>
              <w:t>96.67</w:t>
            </w:r>
          </w:p>
        </w:tc>
        <w:tc>
          <w:tcPr>
            <w:tcW w:type="dxa" w:w="1134"/>
          </w:tcPr>
          <w:p>
            <w:pPr>
              <w:spacing w:before="60" w:after="60" w:line="240" w:lineRule="auto"/>
            </w:pPr>
            <w:r>
              <w:rPr>
                <w:rFonts w:ascii="Times New Roman" w:hAnsi="Times New Roman"/>
                <w:b w:val="0"/>
                <w:sz w:val="17"/>
              </w:rPr>
              <w:t>7.341</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Frozen prior</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 proofs</w:t>
            </w:r>
          </w:p>
        </w:tc>
        <w:tc>
          <w:tcPr>
            <w:tcW w:type="dxa" w:w="1474"/>
          </w:tcPr>
          <w:p>
            <w:pPr>
              <w:spacing w:before="60" w:after="60" w:line="240" w:lineRule="auto"/>
            </w:pPr>
            <w:r>
              <w:rPr>
                <w:rFonts w:ascii="Times New Roman" w:hAnsi="Times New Roman"/>
                <w:b w:val="0"/>
                <w:sz w:val="17"/>
              </w:rPr>
              <w:t>33.17</w:t>
            </w:r>
          </w:p>
        </w:tc>
        <w:tc>
          <w:tcPr>
            <w:tcW w:type="dxa" w:w="1474"/>
          </w:tcPr>
          <w:p>
            <w:pPr>
              <w:spacing w:before="60" w:after="60" w:line="240" w:lineRule="auto"/>
            </w:pPr>
            <w:r>
              <w:rPr>
                <w:rFonts w:ascii="Times New Roman" w:hAnsi="Times New Roman"/>
                <w:b w:val="0"/>
                <w:sz w:val="17"/>
              </w:rPr>
              <w:t>32.83</w:t>
            </w:r>
          </w:p>
        </w:tc>
        <w:tc>
          <w:tcPr>
            <w:tcW w:type="dxa" w:w="1701"/>
          </w:tcPr>
          <w:p>
            <w:pPr>
              <w:spacing w:before="60" w:after="60" w:line="240" w:lineRule="auto"/>
            </w:pPr>
            <w:r>
              <w:rPr>
                <w:rFonts w:ascii="Times New Roman" w:hAnsi="Times New Roman"/>
                <w:b w:val="0"/>
                <w:sz w:val="17"/>
              </w:rPr>
              <w:t>97.50</w:t>
            </w:r>
          </w:p>
        </w:tc>
        <w:tc>
          <w:tcPr>
            <w:tcW w:type="dxa" w:w="1134"/>
          </w:tcPr>
          <w:p>
            <w:pPr>
              <w:spacing w:before="60" w:after="60" w:line="240" w:lineRule="auto"/>
            </w:pPr>
            <w:r>
              <w:rPr>
                <w:rFonts w:ascii="Times New Roman" w:hAnsi="Times New Roman"/>
                <w:b w:val="0"/>
                <w:sz w:val="17"/>
              </w:rPr>
              <w:t>7.169</w:t>
            </w:r>
          </w:p>
        </w:tc>
      </w:tr>
      <w:tr>
        <w:trPr>
          <w:cantSplit/>
        </w:trPr>
        <w:tc>
          <w:tcPr>
            <w:tcW w:type="dxa" w:w="1134"/>
          </w:tcPr>
          <w:p>
            <w:pPr>
              <w:spacing w:before="60" w:after="60" w:line="240" w:lineRule="auto"/>
            </w:pPr>
            <w:r>
              <w:rPr>
                <w:rFonts w:ascii="Times New Roman" w:hAnsi="Times New Roman"/>
                <w:b w:val="0"/>
                <w:sz w:val="17"/>
              </w:rPr>
              <w:t>Blackhole</w:t>
            </w:r>
          </w:p>
        </w:tc>
        <w:tc>
          <w:tcPr>
            <w:tcW w:type="dxa" w:w="1814"/>
          </w:tcPr>
          <w:p>
            <w:pPr>
              <w:spacing w:before="60" w:after="60" w:line="240" w:lineRule="auto"/>
            </w:pPr>
            <w:r>
              <w:rPr>
                <w:rFonts w:ascii="Times New Roman" w:hAnsi="Times New Roman"/>
                <w:b w:val="0"/>
                <w:sz w:val="17"/>
              </w:rPr>
              <w:t>Censored passive</w:t>
            </w:r>
          </w:p>
        </w:tc>
        <w:tc>
          <w:tcPr>
            <w:tcW w:type="dxa" w:w="1474"/>
          </w:tcPr>
          <w:p>
            <w:pPr>
              <w:spacing w:before="60" w:after="60" w:line="240" w:lineRule="auto"/>
            </w:pPr>
            <w:r>
              <w:rPr>
                <w:rFonts w:ascii="Times New Roman" w:hAnsi="Times New Roman"/>
                <w:b w:val="0"/>
                <w:sz w:val="17"/>
              </w:rPr>
              <w:t>32.83</w:t>
            </w:r>
          </w:p>
        </w:tc>
        <w:tc>
          <w:tcPr>
            <w:tcW w:type="dxa" w:w="1474"/>
          </w:tcPr>
          <w:p>
            <w:pPr>
              <w:spacing w:before="60" w:after="60" w:line="240" w:lineRule="auto"/>
            </w:pPr>
            <w:r>
              <w:rPr>
                <w:rFonts w:ascii="Times New Roman" w:hAnsi="Times New Roman"/>
                <w:b w:val="0"/>
                <w:sz w:val="17"/>
              </w:rPr>
              <w:t>32.94</w:t>
            </w:r>
          </w:p>
        </w:tc>
        <w:tc>
          <w:tcPr>
            <w:tcW w:type="dxa" w:w="1701"/>
          </w:tcPr>
          <w:p>
            <w:pPr>
              <w:spacing w:before="60" w:after="60" w:line="240" w:lineRule="auto"/>
            </w:pPr>
            <w:r>
              <w:rPr>
                <w:rFonts w:ascii="Times New Roman" w:hAnsi="Times New Roman"/>
                <w:b w:val="0"/>
                <w:sz w:val="17"/>
              </w:rPr>
              <w:t>98.17</w:t>
            </w:r>
          </w:p>
        </w:tc>
        <w:tc>
          <w:tcPr>
            <w:tcW w:type="dxa" w:w="1134"/>
          </w:tcPr>
          <w:p>
            <w:pPr>
              <w:spacing w:before="60" w:after="60" w:line="240" w:lineRule="auto"/>
            </w:pPr>
            <w:r>
              <w:rPr>
                <w:rFonts w:ascii="Times New Roman" w:hAnsi="Times New Roman"/>
                <w:b w:val="0"/>
                <w:sz w:val="17"/>
              </w:rPr>
              <w:t>7.048</w:t>
            </w:r>
          </w:p>
        </w:tc>
      </w:tr>
    </w:tbl>
    <w:p>
      <w:pPr>
        <w:keepNext w:val="0"/>
        <w:pageBreakBefore w:val="0"/>
        <w:widowControl/>
        <w:spacing w:line="276" w:lineRule="auto" w:after="120"/>
      </w:pPr>
      <w:r>
        <w:t>Delivery counts unique sink packets; critical failure includes missing critical packets or the sink application delivery event later than 90 ms. TX is the sum of modeled transmit-state seconds over all four motes, not energy. Base uses no added instruction-cost delay; the delayed column uses the declared processing assumptions. Full per-arm intervals, proof counts and adjusted contrasts are retained with the raw traces.</w:t>
      </w:r>
    </w:p>
    <w:p>
      <w:pPr>
        <w:keepNext w:val="0"/>
        <w:pageBreakBefore w:val="0"/>
        <w:widowControl/>
        <w:spacing w:line="276" w:lineRule="auto" w:after="120"/>
      </w:pPr>
      <w:r>
        <w:t>With scheduled processing and a blackhole relay, active proofs change delivery relative to censored feedback by +46.17 percentage points (95% paired interval +36.89 to +54.50; Holm-adjusted p=0.00016). Enabling proofs while retaining censored evidence changes delivery by -0.11 percentage points (95% paired interval -0.50 to +0.39; Holm-adjusted p=1). These are conditional transfer results; they neither replace the original Holm family nor establish a new neural-policy advantage. Across all captures, independent reconstruction differs by at most 1.19e-07 per feature, with maximum logit discrepancy 2.21e-06.</w:t>
      </w:r>
    </w:p>
    <w:p>
      <w:pPr>
        <w:keepNext w:val="0"/>
        <w:pageBreakBefore w:val="0"/>
        <w:widowControl/>
        <w:spacing w:line="276" w:lineRule="auto" w:after="120"/>
      </w:pPr>
      <w:r>
        <w:t>The four-node geometry, one source, fixed nominal energy/queue/LQI telemetry, public test keys and unicast beacon roster limit generalization. The fixed-point port quantizes float timestamps to integer milliseconds; a beacon can be excluded about 1 ms earlier than its ideal acquisition timestamp. The corrected auditor reproduces that representation without changing captures or outcomes. Energest state durations do not establish current or battery consumption, and MAC ACKs are not newly cryptographically authenticated. Censoring preserves earlier positive evidence when later observations are absent; recovery from a previously cooperative relay that becomes silent therefore depends on other routing inputs or additional evidence.</w:t>
      </w:r>
    </w:p>
    <w:p>
      <w:pPr>
        <w:keepNext/>
        <w:pageBreakBefore w:val="0"/>
        <w:widowControl/>
        <w:spacing w:line="276" w:lineRule="auto" w:after="120"/>
      </w:pPr>
      <w:r>
        <w:drawing>
          <wp:inline xmlns:a="http://schemas.openxmlformats.org/drawingml/2006/main" xmlns:pic="http://schemas.openxmlformats.org/drawingml/2006/picture">
            <wp:extent cx="5760000" cy="4514198"/>
            <wp:docPr id="12" name="Picture 12"/>
            <wp:cNvGraphicFramePr>
              <a:graphicFrameLocks noChangeAspect="1"/>
            </wp:cNvGraphicFramePr>
            <a:graphic>
              <a:graphicData uri="http://schemas.openxmlformats.org/drawingml/2006/picture">
                <pic:pic>
                  <pic:nvPicPr>
                    <pic:cNvPr id="0" name="fig12_cooja_paired_delivery.png"/>
                    <pic:cNvPicPr/>
                  </pic:nvPicPr>
                  <pic:blipFill>
                    <a:blip r:embed="rId21"/>
                    <a:stretch>
                      <a:fillRect/>
                    </a:stretch>
                  </pic:blipFill>
                  <pic:spPr>
                    <a:xfrm>
                      <a:off x="0" y="0"/>
                      <a:ext cx="5760000" cy="4514198"/>
                    </a:xfrm>
                    <a:prstGeom prst="rect"/>
                  </pic:spPr>
                </pic:pic>
              </a:graphicData>
            </a:graphic>
          </wp:inline>
        </w:drawing>
      </w:r>
    </w:p>
    <w:p>
      <w:pPr>
        <w:keepNext w:val="0"/>
        <w:pageBreakBefore w:val="0"/>
        <w:widowControl/>
        <w:spacing w:line="276" w:lineRule="auto" w:after="120"/>
      </w:pPr>
      <w:r>
        <w:t>Fig. 12. Paired Cooja delivery effects.</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evidence supports a conditional feedback comparison. Censored feedback meets the original 750-run decision rule, yet loses substantially to active proofs in the separate delayed Cooja blackhole setting. These studies differ in topology, traffic, state construction and execution, so their contrast does not identify behavior change as the sole cause. Within Cooja, the censored-plus-proof control tests whether enabling proof generation under the retained censored rule restores delivery; it does not. Eligibility and expiry semantics still differ between active and censored arms, preventing attribution of the full gap to one update rule.</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frozen experiments provide neither a long-horizon reclamation policy nor measured embedded inference cost. Sections 5.6–5.7 add bounded-state tests and isolated instruction-level execution; physical integrated-firmware costs remain unmeasured.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physical clock offset or drift, which remain unmeasured; Section 5.7 tests a declared virtual envelope.</w:t>
      </w:r>
    </w:p>
    <w:p>
      <w:pPr>
        <w:keepNext w:val="0"/>
        <w:pageBreakBefore w:val="0"/>
        <w:widowControl/>
        <w:spacing w:line="276" w:lineRule="auto" w:after="120"/>
      </w:pPr>
      <w:r>
        <w:t>The holdout fixes passive strength at 0.5, record expiry at 150 ms, cache life at 0.75 s, the current model and all inference checkpoints. Section 5.5 varies the preselection coefficients only; sensitivity to these other choices remains unknown. Changes to serialization, ACK authentication, service tracking or ledger retirement require a separately frozen experiment because they change the evaluated mechanism.</w:t>
      </w:r>
    </w:p>
    <w:p>
      <w:pPr>
        <w:pStyle w:val="Heading2"/>
      </w:pPr>
      <w:r>
        <w:t>6.2 Interpretation of the exposed failure boundary</w:t>
      </w:r>
    </w:p>
    <w:p>
      <w:pPr>
        <w:keepNext w:val="0"/>
        <w:pageBreakBefore w:val="0"/>
        <w:widowControl/>
        <w:spacing w:line="276" w:lineRule="auto" w:after="120"/>
      </w:pPr>
      <w:r>
        <w:t>With the rate-anomaly term disabled, censored feedback keeps the effective failure count β at 1 and never decreases the effective success count α. If no new accepted evidence arrives, these counts and their derived risk coordinates remain unchanged. Positive observations can increase α, but subsequent silence supplies no corrective count. This follows from Eqs. (3)–(5); it is a property of the declared estimator, not evidence that every learned routing action must remain fixed. Cache freshness, link estimates, geometry and service debt can still change the selected relay.</w:t>
      </w:r>
    </w:p>
    <w:p>
      <w:pPr>
        <w:keepNext w:val="0"/>
        <w:pageBreakBefore w:val="0"/>
        <w:widowControl/>
        <w:spacing w:line="276" w:lineRule="auto" w:after="120"/>
      </w:pPr>
      <w:r>
        <w:t>Table 11 and Fig. 12 expose the practical consequence in the tested four-node transfer setting. The delayed active-minus-censored delivery contrast is +46.17 percentage points (95% paired interval +36.89 to +54.50; Holm-adjusted p=0.00016). Adding proof generation to censored feedback changes delivery by −0.11 percentage points (95% paired interval −0.50 to +0.39; Holm-adjusted p=1). The second contrast supplies no evidence of recovery from proof generation alone; its nonsignificance is not a population-equivalence result. Active-proof semantics include different eligibility and expiry rules, so the contrast does not isolate the effect of negative updates.</w:t>
      </w:r>
    </w:p>
    <w:p>
      <w:pPr>
        <w:keepNext w:val="0"/>
        <w:pageBreakBefore w:val="0"/>
        <w:widowControl/>
        <w:spacing w:line="276" w:lineRule="auto" w:after="120"/>
      </w:pPr>
      <w:r>
        <w:t>The benchmark exposes a failure condition rather than estimating its onset. Attack onset, warm-up duration, channel quality, geometry and checkpoint are not swept independently. A universal change-point, a safe passive-feedback operating region and the cost-optimal moment to request a proof therefore remain unidentified. The current paper reports that boundary honestly; an adaptive probing policy would be a new mechanism requiring a separately frozen evaluation.</w:t>
      </w:r>
    </w:p>
    <w:p>
      <w:pPr>
        <w:pStyle w:val="Heading2"/>
        <w:keepNext/>
        <w:pageBreakBefore w:val="0"/>
        <w:widowControl/>
        <w:spacing w:line="276" w:lineRule="auto" w:after="120"/>
      </w:pPr>
      <w:r>
        <w:t>6.3 Future experiments</w:t>
      </w:r>
    </w:p>
    <w:p>
      <w:pPr>
        <w:keepNext w:val="0"/>
        <w:pageBreakBefore w:val="0"/>
        <w:widowControl/>
        <w:spacing w:line="276" w:lineRule="auto" w:after="120"/>
      </w:pPr>
      <w:r>
        <w:t>Section 5.6 separates proof generation from the declared evidence rule, but its periodic sleep primitive lacks rendezvous. An observation policy could choose silence, passive listening or an authenticated probe according to the expected reduction in delivery loss relative to measured radio and processing cost. A discriminating deployment experiment would integrate rendezvous, test adversarial receipts and clock uncertainty, and reserve new physical-board settings. This would evaluate evidence acquisition under execution costs not established by isolated or small-scale integrated emulation.</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The benchmark identifies a conditional benefit and a consequential transfer failure. ACK-gated censored passive feedback improves blackhole delivery over active proofs by 4.67 percentage points in the original thirty-fixture study, but delivers 32.94% against 79.11% for active proofs in the separate delayed Cooja behavior-change setting. Matched controls establish neither a unique censoring advantage nor neural-policy superiority. These outcomes delimit the tested mechanisms; they do not locate a universal switching threshold between passive and active feedback.</w:t>
      </w:r>
    </w:p>
    <w:p>
      <w:pPr>
        <w:keepNext w:val="0"/>
        <w:pageBreakBefore w:val="0"/>
        <w:widowControl/>
        <w:spacing w:line="276" w:lineRule="auto" w:after="120"/>
      </w:pPr>
      <w:r>
        <w:t>Censored feedback with proof generation enabled delivers 32.83% in that Cooja condition, while naive feedback delivers 54.89%. Keeping effective failure counts fixed prevents missing observations alone from reversing prior positive evidence; other routing inputs can still alter actions. This mechanism-level limitation and the retained negative outcomes define the benchmarking contribution. Fixed-point MCU execution and fast private receipts improve narrower paths, but signed-receipt deadline misses remain 68/200 and the original 90 ms target is unmet. Physical RF, measured energy, production key storage and deployment performance remain unvalidated.</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p>
      <w:pPr>
        <w:spacing w:line="276" w:lineRule="auto"/>
      </w:pPr>
      <w:r>
        <w:t>[23] L. Vaillant et al., “Monocypher,” release 4.0.3, 2026. Available: https://monocypher.org/changelog. Accessed October 18, 2026.</w:t>
      </w:r>
    </w:p>
    <w:p>
      <w:pPr>
        <w:spacing w:line="276" w:lineRule="auto"/>
      </w:pPr>
      <w:r>
        <w:t>[24] QEMU Project, “Arm MPS2 and MPS3 boards,” QEMU System Emulation Documentation. Available: https://www.qemu.org/docs/master/system/arm/mps2.html. Accessed October 18, 2026.</w:t>
      </w:r>
    </w:p>
    <w:p>
      <w:pPr>
        <w:spacing w:line="276" w:lineRule="auto"/>
      </w:pPr>
      <w:r>
        <w:t>[25] F. Österlind, A. Dunkels, J. Eriksson, N. Finne, and T. Voigt, “Cross-level sensor network simulation with COOJA,” in Proceedings of the 31st IEEE Conference on Local Computer Networks, pp. 641–648, 2006. DOI: 10.1109/LCN.2006.322172.</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