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9652F" w14:textId="77777777" w:rsidR="008867B5" w:rsidRDefault="00000000">
      <w:pPr>
        <w:pStyle w:val="Title"/>
        <w:pageBreakBefore w:val="0"/>
        <w:spacing w:after="80" w:line="480" w:lineRule="auto"/>
        <w:jc w:val="center"/>
      </w:pPr>
      <w:r>
        <w:rPr>
          <w:rFonts w:ascii="Times New Roman" w:hAnsi="Times New Roman"/>
          <w:color w:val="000000"/>
        </w:rPr>
        <w:t>Local Attention Routing for Wireless Sensor Networks with Reliability and Latency Constraints</w:t>
      </w:r>
    </w:p>
    <w:p w14:paraId="314B9EFB" w14:textId="77777777" w:rsidR="008867B5" w:rsidRDefault="00000000">
      <w:pPr>
        <w:pageBreakBefore w:val="0"/>
        <w:spacing w:after="80" w:line="480" w:lineRule="auto"/>
        <w:jc w:val="center"/>
      </w:pPr>
      <w:r>
        <w:rPr>
          <w:rFonts w:eastAsia="Times New Roman" w:ascii="Times New Roman" w:hAnsi="Times New Roman"/>
          <w:b/>
          <w:color w:val="000000"/>
          <w:sz w:val="19"/>
        </w:rPr>
        <w:t>Shivam Bhardwaj¹*, Jitendra Nath Srivastava², Akash Sanghi³</w:t>
      </w:r>
    </w:p>
    <w:p w14:paraId="3D1ED408" w14:textId="77777777" w:rsidR="008867B5" w:rsidRDefault="00000000">
      <w:pPr>
        <w:pageBreakBefore w:val="0"/>
        <w:spacing w:after="80" w:line="480" w:lineRule="auto"/>
        <w:jc w:val="center"/>
      </w:pPr>
      <w:r>
        <w:rPr>
          <w:rFonts w:eastAsia="Times New Roman" w:ascii="Times New Roman" w:hAnsi="Times New Roman"/>
          <w:color w:val="000000"/>
          <w:sz w:val="19"/>
        </w:rPr>
        <w:t>¹,²,³ Faculty of Engineering and Technology, Invertis University, Bareilly, Uttar Pradesh 243123, India</w:t>
      </w:r>
    </w:p>
    <w:p w14:paraId="62B9105E" w14:textId="77777777" w:rsidR="008867B5" w:rsidRDefault="00000000">
      <w:pPr>
        <w:pageBreakBefore w:val="0"/>
        <w:spacing w:after="80" w:line="480" w:lineRule="auto"/>
        <w:jc w:val="center"/>
      </w:pPr>
      <w:r>
        <w:rPr>
          <w:rFonts w:eastAsia="Times New Roman" w:ascii="Times New Roman" w:hAnsi="Times New Roman"/>
          <w:color w:val="000000"/>
          <w:sz w:val="19"/>
        </w:rPr>
        <w:t>Corresponding author: Shivam Bhardwaj, shibambhardwaj@gmail.com</w:t>
      </w:r>
    </w:p>
    <w:p w14:paraId="70B5E1B4" w14:textId="77777777" w:rsidR="008867B5" w:rsidRDefault="00000000">
      <w:pPr>
        <w:pageBreakBefore w:val="0"/>
        <w:spacing w:after="80" w:line="480" w:lineRule="auto"/>
        <w:jc w:val="center"/>
      </w:pPr>
      <w:r>
        <w:rPr>
          <w:rFonts w:eastAsia="Times New Roman" w:ascii="Times New Roman" w:hAnsi="Times New Roman"/>
          <w:color w:val="000000"/>
          <w:sz w:val="19"/>
        </w:rPr>
        <w:t>Co-author emails: jitendranathshrivastava@gmail.com; sanghiakash@gmail.com</w:t>
      </w:r>
    </w:p>
    <w:p>
      <w:pPr>
        <w:pageBreakBefore w:val="0"/>
        <w:spacing w:after="80" w:line="480" w:lineRule="auto"/>
      </w:pPr>
      <w:r>
        <w:rPr>
          <w:rFonts w:ascii="Times New Roman" w:hAnsi="Times New Roman"/>
          <w:color w:val="000000"/>
          <w:sz w:val="19"/>
        </w:rPr>
        <w:t>Running title: Risk aware local attention routing</w:t>
      </w:r>
    </w:p>
    <w:p w14:paraId="0CA0A464"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Abstract</w:t>
      </w:r>
    </w:p>
    <w:p w14:paraId="09CF3652" w14:textId="77777777" w:rsidR="008867B5" w:rsidRDefault="00000000">
      <w:pPr>
        <w:pageBreakBefore w:val="0"/>
        <w:spacing w:after="80" w:line="480" w:lineRule="auto"/>
        <w:jc w:val="both"/>
      </w:pPr>
      <w:r>
        <w:rPr>
          <w:rFonts w:ascii="Times New Roman" w:hAnsi="Times New Roman"/>
          <w:color w:val="000000"/>
          <w:sz w:val="19"/>
        </w:rPr>
        <w:t>Routing decisions in wireless sensor networks depend on energy, deadlines and uncertain forwarding behavior. We evaluate a local-attention constrained PPO router with class-specific service debt and Bayesian forwarding risk. A historical 30-seed comparison improved reliability but failed its joint superiority criterion. In a separate capacity-matched validation, attention increased critical-class delivered delay by 0.821 ms and reduced total violations by 1.522 percentage points; neither co-primary contrast was significant after Holm correction. Actual UDP feedback then connected received forwarding acknowledgments to frozen-policy decisions. In an exploratory shared-target fault diagnostic across 30 new fixtures, attention delivered 85.39% of packets and a capacity-matched MLP delivered 32.22%, a paired difference of 53.17 percentage points (95% CI 35.31–71.02). These fixed-state localhost results establish software integration under targeted relay failures. They do not establish live intrusion detection, realistic multihop wireless performance, absolute service-budget satisfaction or a general attention advantage.</w:t>
      </w:r>
    </w:p>
    <w:p w14:paraId="6D639EC9" w14:textId="77777777" w:rsidR="008867B5" w:rsidRDefault="00000000">
      <w:pPr>
        <w:pageBreakBefore w:val="0"/>
        <w:spacing w:after="80" w:line="480" w:lineRule="auto"/>
      </w:pPr>
      <w:r>
        <w:rPr>
          <w:rFonts w:ascii="Times New Roman" w:hAnsi="Times New Roman"/>
          <w:color w:val="000000"/>
          <w:sz w:val="19"/>
        </w:rPr>
        <w:t>Index Terms: Constrained reinforcement learning, Local attention, Risk-aware routing, Wireless sensor networks</w:t>
      </w:r>
    </w:p>
    <w:p w14:paraId="21CF6B4C" w14:textId="77777777" w:rsidR="008867B5" w:rsidRDefault="00000000">
      <w:pPr>
        <w:pStyle w:val="Heading1"/>
        <w:keepNext/>
        <w:pageBreakBefore w:val="0"/>
        <w:spacing w:before="180" w:after="80" w:line="480" w:lineRule="auto"/>
      </w:pPr>
      <w:r>
        <w:rPr>
          <w:rFonts w:ascii="Times New Roman" w:hAnsi="Times New Roman"/>
          <w:color w:val="000000"/>
        </w:rPr>
        <w:t>I. Introduction</w:t>
      </w:r>
    </w:p>
    <w:p w14:paraId="2D541A34" w14:textId="77777777" w:rsidR="008867B5" w:rsidRDefault="00000000">
      <w:pPr>
        <w:pageBreakBefore w:val="0"/>
        <w:spacing w:after="80" w:line="480" w:lineRule="auto"/>
        <w:ind w:firstLine="346"/>
        <w:jc w:val="both"/>
      </w:pPr>
      <w:r>
        <w:rPr>
          <w:rFonts w:ascii="Times New Roman" w:hAnsi="Times New Roman"/>
          <w:color w:val="000000"/>
          <w:sz w:val="19"/>
        </w:rPr>
        <w:t>Wireless sensor networks (WSNs) serve distributed sensing, industrial monitoring, and smart infrastructure. Route selection is constrained by battery energy and must respond to changing radio links, queue conditions, and unreliable forwarding [1, 2, 3, 4, 5]. Traffic requirements also differ: a route suitable for delay-tolerant packets may be unsuitable for packets with short deadlines. A neighbor can look attractive in terms of expected transmissions or progress toward the sink yet become a poor choice when little deadline slack remains, its queue grows, or its forwarding record worsens.</w:t>
      </w:r>
    </w:p>
    <w:p w14:paraId="0E7DFD55" w14:textId="77777777" w:rsidR="008867B5" w:rsidRDefault="00000000">
      <w:pPr>
        <w:pageBreakBefore w:val="0"/>
        <w:spacing w:after="80" w:line="480" w:lineRule="auto"/>
        <w:ind w:firstLine="346"/>
        <w:jc w:val="both"/>
      </w:pPr>
      <w:r>
        <w:rPr>
          <w:rFonts w:ascii="Times New Roman" w:hAnsi="Times New Roman"/>
          <w:color w:val="000000"/>
          <w:sz w:val="19"/>
        </w:rPr>
        <w:t>Deep reinforcement learning (DRL) maps observations to sequential forwarding decisions through interaction with the network environment [6, 7, 8, 9]. Recent routing studies already combine value-based and policy-gradient learning with attention, graph neural networks, federated learning, trust information, and action masks [10, 11, 12, 13, 14, 15, 16, 17, 18, 19, 20, 21, 22, 23]. We therefore examine a specific design question: how does a local candidate-set representation affect routing outcomes compared with a fixed-slot representation when both receive the same information and training budget?</w:t>
      </w:r>
    </w:p>
    <w:p w14:paraId="126C6173" w14:textId="77777777" w:rsidR="008867B5" w:rsidRDefault="00000000">
      <w:pPr>
        <w:pageBreakBefore w:val="0"/>
        <w:spacing w:after="80" w:line="480" w:lineRule="auto"/>
        <w:ind w:firstLine="346"/>
        <w:jc w:val="both"/>
      </w:pPr>
      <w:r>
        <w:rPr>
          <w:rFonts w:ascii="Times New Roman" w:hAnsi="Times New Roman"/>
          <w:color w:val="000000"/>
          <w:sz w:val="19"/>
        </w:rPr>
        <w:t>LA-CPPO processes each candidate-neighbor feature row with a shared encoder. A query derived from the packet context scores the candidates, so a permutation of their rows produces the same permutation of actor logits. The critic uses a masked mean of the encoded rows. The action set contains at most eight candidates, and the model has no node-specific parameters. Training combines a scalar reward with six cost channels: total delay violation and loss for each of three traffic classes. A Beta forwarding-trust model and a smoothed queue-excess signal provide online risk context without exposing attack labels to the controller.</w:t>
      </w:r>
    </w:p>
    <w:p w14:paraId="62E33BC3" w14:textId="77777777" w:rsidR="008867B5" w:rsidRDefault="00000000">
      <w:pPr>
        <w:pageBreakBefore w:val="0"/>
        <w:spacing w:after="80" w:line="480" w:lineRule="auto"/>
        <w:ind w:firstLine="346"/>
        <w:jc w:val="both"/>
      </w:pPr>
      <w:r>
        <w:rPr>
          <w:rFonts w:ascii="Times New Roman" w:hAnsi="Times New Roman"/>
          <w:color w:val="000000"/>
          <w:sz w:val="19"/>
        </w:rPr>
        <w:t xml:space="preserve">The architecture, reward coefficients, training budget, seed list, co-primary endpoints, multiplicity correction, guardrails, and decision rule were fixed before confirmatory outcomes were generated. The two learning arms share the state content, candidate set, mask, reward, costs, simulator settings, and evaluation-seed scheme. Their policy </w:t>
      </w:r>
      <w:r>
        <w:rPr>
          <w:rFonts w:ascii="Times New Roman" w:hAnsi="Times New Roman"/>
          <w:color w:val="000000"/>
          <w:sz w:val="19"/>
        </w:rPr>
        <w:t>and value representations differ. Hidden width is matched, but parameter count is not; the comparison estimates the difference between the two specified implementations.</w:t>
      </w:r>
    </w:p>
    <w:p w14:paraId="42789084" w14:textId="77777777" w:rsidR="008867B5" w:rsidRDefault="00000000">
      <w:pPr>
        <w:pageBreakBefore w:val="0"/>
        <w:spacing w:after="80" w:line="480" w:lineRule="auto"/>
        <w:ind w:firstLine="346"/>
        <w:jc w:val="both"/>
      </w:pPr>
      <w:r>
        <w:rPr>
          <w:rFonts w:ascii="Times New Roman" w:hAnsi="Times New Roman"/>
          <w:color w:val="000000"/>
          <w:sz w:val="19"/>
        </w:rPr>
        <w:t>LA-CPPO reduced the critical-class total delay-violation rate and passed the delivery and energy guardrails, while Class-0 mean delivered delay remained numerically higher. Exploratory analysis associated the violation reduction mainly with fewer losses and a larger share of delivered three-hop packets. We then evaluated two residual-slack variants under a separate development protocol. Neither qualified for confirmation, and the reserved confirmatory seeds remained unused.</w:t>
      </w:r>
    </w:p>
    <w:p w14:paraId="264CE847" w14:textId="77777777" w:rsidR="008867B5" w:rsidRDefault="00000000">
      <w:pPr>
        <w:pageBreakBefore w:val="0"/>
        <w:spacing w:after="80" w:line="480" w:lineRule="auto"/>
        <w:ind w:firstLine="346"/>
        <w:jc w:val="both"/>
      </w:pPr>
      <w:r>
        <w:rPr>
          <w:rFonts w:ascii="Times New Roman" w:hAnsi="Times New Roman"/>
          <w:color w:val="000000"/>
          <w:sz w:val="19"/>
        </w:rPr>
        <w:t>This study sets out a candidate-equivariant actor and invariant critic, a six-channel QoS formulation that uses online forwarding evidence, and a prespecified comparison with a state-matched MLP. The empirical finding is a reliability–latency trade-off: the mean-delay endpoint failed, and the later development refinement was unsuccessful. These outcomes limit the conclusions that can be drawn about the method’s routing performance.</w:t>
      </w:r>
    </w:p>
    <w:p w14:paraId="6F77BAD7" w14:textId="77777777" w:rsidR="008867B5" w:rsidRDefault="00000000">
      <w:pPr>
        <w:pStyle w:val="Heading1"/>
        <w:keepNext/>
        <w:pageBreakBefore w:val="0"/>
        <w:spacing w:before="180" w:after="80" w:line="480" w:lineRule="auto"/>
      </w:pPr>
      <w:r>
        <w:rPr>
          <w:rFonts w:ascii="Times New Roman" w:hAnsi="Times New Roman"/>
          <w:color w:val="000000"/>
        </w:rPr>
        <w:t>II. Related work</w:t>
      </w:r>
    </w:p>
    <w:p w14:paraId="5F47BC25" w14:textId="77777777" w:rsidR="008867B5" w:rsidRDefault="00000000">
      <w:pPr>
        <w:pStyle w:val="Heading2"/>
        <w:keepNext/>
        <w:pageBreakBefore w:val="0"/>
        <w:spacing w:before="120" w:after="80" w:line="480" w:lineRule="auto"/>
      </w:pPr>
      <w:r>
        <w:rPr>
          <w:rFonts w:ascii="Times New Roman" w:hAnsi="Times New Roman"/>
          <w:color w:val="000000"/>
        </w:rPr>
        <w:t>A. Classical WSN routing and quality metrics</w:t>
      </w:r>
    </w:p>
    <w:p w14:paraId="5E09C2D0"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Earlier WSN research established energy-aware organization, link quality, and distributed forwarding with low overhead as central routing concerns [1, 2, 3, 4, 5]. LEACH uses clustering to spread the energy burden [3], while ETX expresses expected transmission requirements in terms of loss probability [4]. RPL later provided a standardized routing framework for low-power and lossy networks [5]. These approaches remain useful baselines and design references. Their largely hand-designed rules, however, do not directly optimize heterogeneous application constraints as security and queue conditions change.</w:t>
      </w:r>
    </w:p>
    <w:p w14:paraId="37838A91" w14:textId="77777777" w:rsidR="008867B5" w:rsidRDefault="00000000">
      <w:pPr>
        <w:pStyle w:val="Heading2"/>
        <w:keepNext/>
        <w:pageBreakBefore w:val="0"/>
        <w:spacing w:before="120" w:after="80" w:line="480" w:lineRule="auto"/>
      </w:pPr>
      <w:r>
        <w:rPr>
          <w:rFonts w:ascii="Times New Roman" w:hAnsi="Times New Roman"/>
          <w:color w:val="000000"/>
        </w:rPr>
        <w:t>B. DRL routing, attention, and graph representations</w:t>
      </w:r>
    </w:p>
    <w:p w14:paraId="4C67B0D2"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Recent reviews show that DRL routing now spans value-based, policy-gradient, actor-critic, graph-based, and multi-agent methods across wired and wireless settings [10]. PPO has also entered QoS-aware ad hoc routing [17], while attention and hierarchical or multi-agent mechanisms appear in IoT-WSN routing frameworks [18, 23]. Local forwarder selection with DQN is used in opportunistic WSN routing [19], and graph-policy architectures are explicitly developed for routing generalization and permutation-related structural transfer [15, 16]. Consequently, PPO, attention, local-neighbor scoring, and permutation-aware learning cannot be claimed as individually novel primitives.</w:t>
      </w:r>
    </w:p>
    <w:p w14:paraId="40F74174" w14:textId="77777777" w:rsidR="008867B5" w:rsidRDefault="00000000">
      <w:pPr>
        <w:pageBreakBefore w:val="0"/>
        <w:spacing w:after="80" w:line="480" w:lineRule="auto"/>
        <w:ind w:firstLine="346"/>
        <w:jc w:val="both"/>
      </w:pPr>
      <w:r>
        <w:rPr>
          <w:rFonts w:ascii="Times New Roman" w:hAnsi="Times New Roman"/>
          <w:color w:val="000000"/>
          <w:sz w:val="19"/>
        </w:rPr>
        <w:t>LA-CPPO shares candidate encoding and scoring across rows and pools the critic input symmetrically. A fixed-slot MLP receives the same serialized state. The historical comparison matches hidden width; the independent validation approximately matches total parameter count. Neither design matches every computational or architectural property.</w:t>
      </w:r>
    </w:p>
    <w:p w14:paraId="6896DED2" w14:textId="77777777" w:rsidR="008867B5" w:rsidRDefault="00000000">
      <w:pPr>
        <w:pStyle w:val="Heading2"/>
        <w:keepNext/>
        <w:pageBreakBefore w:val="0"/>
        <w:spacing w:before="120" w:after="80" w:line="480" w:lineRule="auto"/>
      </w:pPr>
      <w:r>
        <w:rPr>
          <w:rFonts w:ascii="Times New Roman" w:hAnsi="Times New Roman"/>
          <w:color w:val="000000"/>
        </w:rPr>
        <w:t>C. Secure and trust-aware intelligent routing</w:t>
      </w:r>
    </w:p>
    <w:p w14:paraId="7EEF1CC4" w14:textId="77777777" w:rsidR="008867B5" w:rsidRDefault="00000000">
      <w:pPr>
        <w:pageBreakBefore w:val="0"/>
        <w:spacing w:after="80" w:line="480" w:lineRule="auto"/>
        <w:ind w:firstLine="346"/>
        <w:jc w:val="both"/>
      </w:pPr>
      <w:r>
        <w:rPr>
          <w:rFonts w:ascii="Times New Roman" w:hAnsi="Times New Roman"/>
          <w:color w:val="000000"/>
          <w:sz w:val="19"/>
        </w:rPr>
        <w:t>Trust-aware routing was established before recent DRL methods. Yang et al. combined reinforcement learning with blockchain-based routing trust [11]. Subsequent studies use trust, cryptography, federated learning, or intrusion detection [21, 22, 24], and failure-risk-aware DQN routing incorporates reliability information into multi-hop decisions [14]. Comparisons between these approaches depend on what the router can observe. In LA-CPPO, attack labels remain inside the simulator; the policy receives forwarding observations, queue state, and the risk estimates derived from them.</w:t>
      </w:r>
    </w:p>
    <w:p w14:paraId="362F7C6C" w14:textId="77777777" w:rsidR="008867B5" w:rsidRDefault="00000000">
      <w:pPr>
        <w:pStyle w:val="Heading2"/>
        <w:keepNext/>
        <w:pageBreakBefore w:val="0"/>
        <w:spacing w:before="120" w:after="80" w:line="480" w:lineRule="auto"/>
      </w:pPr>
      <w:r>
        <w:rPr>
          <w:rFonts w:ascii="Times New Roman" w:hAnsi="Times New Roman"/>
          <w:color w:val="000000"/>
        </w:rPr>
        <w:t>D. Hybrid routing and clustering</w:t>
      </w:r>
    </w:p>
    <w:p w14:paraId="56C50064" w14:textId="77777777" w:rsidR="008867B5" w:rsidRDefault="00000000">
      <w:pPr>
        <w:pageBreakBefore w:val="0"/>
        <w:spacing w:after="80" w:line="480" w:lineRule="auto"/>
        <w:ind w:firstLine="346"/>
        <w:jc w:val="both"/>
      </w:pPr>
      <w:r>
        <w:rPr>
          <w:rFonts w:ascii="Times New Roman" w:hAnsi="Times New Roman"/>
          <w:color w:val="000000"/>
          <w:sz w:val="19"/>
        </w:rPr>
        <w:t>Metaheuristic clustering and learned route selection are established hybrid designs. Wang et al. combine quantum-inspired Harris hawk optimization with DRL [12], and other IoT-WSN frameworks incorporate clustering or federated learning [13, 21, 23]. AF-v3 disables clustering, hierarchy masks, and the hard security shield to focus the primary comparison on local routing. A legacy ROA-based method is retained only as a descriptive baseline.</w:t>
      </w:r>
      <w:r>
        <w:t xml:space="preserve"> Table I summarizes the methodological positioning.</w:t>
      </w:r>
    </w:p>
    <w:p w14:paraId="5A314CCD" w14:textId="77777777" w:rsidR="008867B5" w:rsidRDefault="008867B5">
      <w:pPr>
        <w:pageBreakBefore w:val="0"/>
        <w:spacing w:after="80" w:line="480" w:lineRule="auto"/>
      </w:pPr>
    </w:p>
    <w:p w14:paraId="305C4DB5" w14:textId="77777777" w:rsidR="008867B5" w:rsidRDefault="00000000">
      <w:pPr>
        <w:pStyle w:val="Heading1"/>
        <w:keepNext/>
        <w:pageBreakBefore w:val="0"/>
        <w:spacing w:before="180" w:after="80" w:line="480" w:lineRule="auto"/>
      </w:pPr>
      <w:r>
        <w:rPr>
          <w:rFonts w:ascii="Times New Roman" w:hAnsi="Times New Roman"/>
          <w:color w:val="000000"/>
        </w:rPr>
        <w:t>III. System model and constrained routing problem</w:t>
      </w:r>
    </w:p>
    <w:p w14:paraId="601DEE8C" w14:textId="77777777" w:rsidR="008867B5" w:rsidRDefault="00000000">
      <w:pPr>
        <w:pStyle w:val="Heading2"/>
        <w:keepNext/>
        <w:pageBreakBefore w:val="0"/>
        <w:spacing w:before="120" w:after="80" w:line="480" w:lineRule="auto"/>
      </w:pPr>
      <w:r>
        <w:rPr>
          <w:rFonts w:ascii="Times New Roman" w:hAnsi="Times New Roman"/>
          <w:color w:val="000000"/>
        </w:rPr>
        <w:t>A. Network, radio, traffic, and threat model</w:t>
      </w:r>
    </w:p>
    <w:p w14:paraId="775549DF"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The primary simulator uses N=100 static sensor nodes placed uniformly in a 150 m × 150 m region, with the sink at (75,75) m. Each node starts with 0.5 J. The nominal communication range is 50 m, packets are 4000 bits, and the physical data rate is 250 kbps. Radio energy follows first-order transmit/receive accounting with distance-dependent free-space and multipath terms. Link behavior also includes log-distance path loss, 3 dB shadowing, interference-dependent PDR, and up to three MAC retries. Queue pressure and interference persist across packet episodes and are refreshed at every sixth packet boundary rather than being reset for each packet.</w:t>
      </w:r>
    </w:p>
    <w:p w14:paraId="1DFFE820" w14:textId="77777777" w:rsidR="008867B5" w:rsidRDefault="00000000">
      <w:pPr>
        <w:pageBreakBefore w:val="0"/>
        <w:spacing w:after="80" w:line="480" w:lineRule="auto"/>
        <w:ind w:firstLine="346"/>
        <w:jc w:val="both"/>
      </w:pPr>
      <w:r>
        <w:rPr>
          <w:rFonts w:ascii="Times New Roman" w:hAnsi="Times New Roman"/>
          <w:color w:val="000000"/>
          <w:sz w:val="19"/>
        </w:rPr>
        <w:t>Traffic is divided into three classes with generation probabilities 0.35, 0.45, and 0.20, deadlines of 90, 350, and 1500 ms, and target PDRs of 0.985, 0.96, and 0.90. Their delay-violation budgets are 0.015, 0.04, and 0.10. Class 0 is the critical low-latency class used for the co-primary endpoints. In the mixed-attack scenario, 25% of nodes are marked malicious for evaluation and are assigned blackhole, selective-drop, or flooding behavior internally. Selective dropping occurs with probability 0.65, while flooding raises local queue pressure. The policy observes neither the malicious-node labels nor the assigned attack types.</w:t>
      </w:r>
      <w:r>
        <w:t xml:space="preserve"> Tables II and III summarize the configuration and threat-model visibility.</w:t>
      </w:r>
    </w:p>
    <w:p w14:paraId="21B3D0CA" w14:textId="77777777" w:rsidR="008867B5" w:rsidRDefault="008867B5">
      <w:pPr>
        <w:pageBreakBefore w:val="0"/>
        <w:spacing w:after="80" w:line="480" w:lineRule="auto"/>
      </w:pPr>
    </w:p>
    <w:p w14:paraId="44023574" w14:textId="77777777" w:rsidR="008867B5" w:rsidRDefault="008867B5">
      <w:pPr>
        <w:pageBreakBefore w:val="0"/>
        <w:spacing w:after="80" w:line="480" w:lineRule="auto"/>
      </w:pPr>
    </w:p>
    <w:p w14:paraId="23C98EE4" w14:textId="77777777" w:rsidR="008867B5" w:rsidRDefault="00000000">
      <w:pPr>
        <w:pStyle w:val="Heading2"/>
        <w:keepNext/>
        <w:pageBreakBefore w:val="0"/>
        <w:spacing w:after="80" w:line="480" w:lineRule="auto"/>
      </w:pPr>
      <w:r>
        <w:rPr>
          <w:rFonts w:ascii="Times New Roman" w:hAnsi="Times New Roman"/>
          <w:color w:val="000000"/>
        </w:rPr>
        <w:t>B. Virtual QoS debt</w:t>
      </w:r>
    </w:p>
    <w:p w14:paraId="067B7BF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each traffic class </w:t>
      </w:r>
      <m:oMath>
        <m:r>
          <w:rPr>
            <w:rFonts w:ascii="Cambria Math" w:hAnsi="Cambria Math"/>
            <w:sz w:val="22"/>
          </w:rPr>
          <m:t>c</m:t>
        </m:r>
      </m:oMath>
      <w:r>
        <w:rPr>
          <w:rFonts w:eastAsia="Times New Roman" w:ascii="Times New Roman" w:hAnsi="Times New Roman"/>
          <w:color w:val="000000"/>
          <w:sz w:val="19"/>
        </w:rPr>
        <w:t xml:space="preserve">, separate virtual queues track deadline-violation and packet-loss pressure. Let </w:t>
      </w:r>
      <m:oMath>
        <m:r>
          <w:rPr>
            <w:rFonts w:ascii="Cambria Math" w:hAnsi="Cambria Math"/>
            <w:sz w:val="22"/>
          </w:rPr>
          <m:t>u</m:t>
        </m:r>
      </m:oMath>
      <w:r>
        <w:rPr>
          <w:rFonts w:eastAsia="Times New Roman" w:ascii="Times New Roman" w:hAnsi="Times New Roman"/>
          <w:color w:val="000000"/>
          <w:sz w:val="19"/>
        </w:rPr>
        <w:t xml:space="preserve"> ∈ {d, ℓ} identify the deadline and loss channels, respectively. The index </w:t>
      </w:r>
      <m:oMath>
        <m:r>
          <w:rPr>
            <w:rFonts w:ascii="Cambria Math" w:hAnsi="Cambria Math"/>
            <w:sz w:val="22"/>
          </w:rPr>
          <m:t>n</m:t>
        </m:r>
      </m:oMath>
      <w:r>
        <w:rPr>
          <w:rFonts w:eastAsia="Times New Roman" w:ascii="Times New Roman" w:hAnsi="Times New Roman"/>
          <w:color w:val="000000"/>
          <w:sz w:val="19"/>
        </w:rPr>
        <w:t xml:space="preserve"> counts completed packets of class </w:t>
      </w:r>
      <m:oMath>
        <m:r>
          <w:rPr>
            <w:rFonts w:ascii="Cambria Math" w:hAnsi="Cambria Math"/>
            <w:sz w:val="22"/>
          </w:rPr>
          <m:t>c</m:t>
        </m:r>
      </m:oMath>
      <w:r>
        <w:rPr>
          <w:rFonts w:eastAsia="Times New Roman" w:ascii="Times New Roman" w:hAnsi="Times New Roman"/>
          <w:color w:val="000000"/>
          <w:sz w:val="19"/>
        </w:rPr>
        <w:t>; only that class is updated at its packet termination:</w:t>
      </w:r>
    </w:p>
    <w:p w14:paraId="4A4ED8D1"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Z</m:t>
            </m:r>
          </m:e>
          <m:sub>
            <m:r>
              <m:t>c</m:t>
            </m:r>
          </m:sub>
          <m:sup>
            <m:d>
              <m:dPr>
                <m:ctrlPr/>
              </m:dPr>
              <m:e>
                <m:r>
                  <m:t>u</m:t>
                </m:r>
              </m:e>
            </m:d>
          </m:sup>
        </m:sSubSup>
        <m:d>
          <m:dPr>
            <m:ctrlPr/>
          </m:dPr>
          <m:e>
            <m:r>
              <m:t>n</m:t>
            </m:r>
            <m:r>
              <m:rPr>
                <m:nor/>
              </m:rPr>
              <m:t xml:space="preserve"> + 1</m:t>
            </m:r>
          </m:e>
        </m:d>
        <m:r>
          <m:rPr>
            <m:nor/>
          </m:rPr>
          <m:t xml:space="preserve"> = max</m:t>
        </m:r>
        <m:d>
          <m:dPr>
            <m:begChr m:val="{"/>
            <m:endChr m:val="}"/>
            <m:ctrlPr/>
          </m:dPr>
          <m:e>
            <m:r>
              <m:rPr>
                <m:nor/>
              </m:rPr>
              <m:t xml:space="preserve">0, </m:t>
            </m:r>
            <m:sSubSup>
              <m:sSubSupPr>
                <m:ctrlPr/>
              </m:sSubSupPr>
              <m:e>
                <m:r>
                  <m:t>Z</m:t>
                </m:r>
              </m:e>
              <m:sub>
                <m:r>
                  <m:t>c</m:t>
                </m:r>
              </m:sub>
              <m:sup>
                <m:d>
                  <m:dPr>
                    <m:ctrlPr/>
                  </m:dPr>
                  <m:e>
                    <m:r>
                      <m:t>u</m:t>
                    </m:r>
                  </m:e>
                </m:d>
              </m:sup>
            </m:sSubSup>
            <m:d>
              <m:dPr>
                <m:ctrlPr/>
              </m:dPr>
              <m:e>
                <m:r>
                  <m:t>n</m:t>
                </m:r>
              </m:e>
            </m:d>
            <m:r>
              <m:rPr>
                <m:nor/>
              </m:rPr>
              <m:t xml:space="preserve"> + </m:t>
            </m:r>
            <m:sSubSup>
              <m:sSubSupPr>
                <m:ctrlPr/>
              </m:sSubSupPr>
              <m:e>
                <m:r>
                  <m:t>C</m:t>
                </m:r>
              </m:e>
              <m:sub>
                <m:r>
                  <m:t>c</m:t>
                </m:r>
              </m:sub>
              <m:sup>
                <m:d>
                  <m:dPr>
                    <m:ctrlPr/>
                  </m:dPr>
                  <m:e>
                    <m:r>
                      <m:t>u</m:t>
                    </m:r>
                  </m:e>
                </m:d>
              </m:sup>
            </m:sSubSup>
            <m:d>
              <m:dPr>
                <m:ctrlPr/>
              </m:dPr>
              <m:e>
                <m:r>
                  <m:t>n</m:t>
                </m:r>
              </m:e>
            </m:d>
            <m:r>
              <m:rPr>
                <m:nor/>
              </m:rPr>
              <m:t xml:space="preserve"> - </m:t>
            </m:r>
            <m:sSubSup>
              <m:sSubSupPr>
                <m:ctrlPr/>
              </m:sSubSupPr>
              <m:e>
                <m:r>
                  <m:t>b</m:t>
                </m:r>
              </m:e>
              <m:sub>
                <m:r>
                  <m:t>c</m:t>
                </m:r>
              </m:sub>
              <m:sup>
                <m:d>
                  <m:dPr>
                    <m:ctrlPr/>
                  </m:dPr>
                  <m:e>
                    <m:r>
                      <m:t>u</m:t>
                    </m:r>
                  </m:e>
                </m:d>
              </m:sup>
            </m:sSubSup>
          </m:e>
        </m:d>
        <m:r>
          <m:rPr>
            <m:nor/>
          </m:rPr>
          <m:t xml:space="preserve">,   </m:t>
        </m:r>
        <m:r>
          <m:t>u</m:t>
        </m:r>
        <m:r>
          <m:rPr>
            <m:nor/>
          </m:rPr>
          <m:t xml:space="preserve"> ∈ {d, l}.</m:t>
        </m:r>
      </m:oMath>
      <w:r>
        <w:rPr>
          <w:rFonts w:ascii="Times New Roman" w:hAnsi="Times New Roman"/>
          <w:color w:val="000000"/>
          <w:sz w:val="19"/>
        </w:rPr>
        <w:tab/>
      </w:r>
      <w:r>
        <w:rPr>
          <w:rFonts w:ascii="Times New Roman" w:eastAsia="Times New Roman" w:hAnsi="Times New Roman"/>
          <w:color w:val="000000"/>
          <w:sz w:val="19"/>
        </w:rPr>
        <w:t>(1)</w:t>
      </w:r>
    </w:p>
    <w:p w14:paraId="4DE0A4F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binary event </w:t>
      </w:r>
      <m:oMath>
        <m:sSubSup>
          <m:sSubSupPr>
            <m:ctrlPr>
              <w:rPr>
                <w:rFonts w:ascii="Cambria Math" w:hAnsi="Cambria Math"/>
              </w:rPr>
            </m:ctrlPr>
          </m:sSubSupPr>
          <m:e>
            <m:r>
              <w:rPr>
                <w:rFonts w:ascii="Cambria Math" w:hAnsi="Cambria Math"/>
                <w:sz w:val="22"/>
              </w:rPr>
              <m:t>C</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equals one for the corresponding terminal violation, as defined in Section III.D. Before entering the policy state, each debt is mapped to </w:t>
      </w:r>
      <m:oMath>
        <m:f>
          <m:fPr>
            <m:ctrlPr>
              <w:rPr>
                <w:rFonts w:ascii="Cambria Math" w:hAnsi="Cambria Math"/>
              </w:rPr>
            </m:ctrlPr>
          </m:fPr>
          <m:num>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num>
          <m:den>
            <m:r>
              <m:rPr>
                <m:nor/>
              </m:rPr>
              <w:rPr>
                <w:rFonts w:ascii="Cambria Math" w:hAnsi="Cambria Math"/>
                <w:sz w:val="22"/>
              </w:rPr>
              <m:t xml:space="preserve">1 + </m:t>
            </m:r>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den>
        </m:f>
      </m:oMath>
      <w:r>
        <w:rPr>
          <w:rFonts w:eastAsia="Times New Roman" w:ascii="Times New Roman" w:hAnsi="Times New Roman"/>
          <w:color w:val="000000"/>
          <w:sz w:val="19"/>
        </w:rPr>
        <w:t>. The six transformed debts retain the ordering of accumulated QoS pressure while bounding the input scale. Debts from other classes remain unchanged at that termination. These virtual queues provide memory across packet episodes; they do not impose a hard per-packet delivery guarantee [25].</w:t>
      </w:r>
    </w:p>
    <w:p w14:paraId="3E2565CE" w14:textId="77777777" w:rsidR="008867B5" w:rsidRDefault="00000000">
      <w:pPr>
        <w:pStyle w:val="Heading2"/>
        <w:keepNext/>
        <w:pageBreakBefore w:val="0"/>
        <w:spacing w:after="80" w:line="480" w:lineRule="auto"/>
      </w:pPr>
      <w:r>
        <w:rPr>
          <w:rFonts w:ascii="Times New Roman" w:hAnsi="Times New Roman"/>
          <w:color w:val="000000"/>
        </w:rPr>
        <w:t>C. Label-free Bayesian forwarding risk</w:t>
      </w:r>
    </w:p>
    <w:p w14:paraId="3BBF7404"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Every sensor starts with a Beta(1, 1) forwarding-trust prior. A forwarding observation at sensor </w:t>
      </w:r>
      <m:oMath>
        <m:r>
          <w:rPr>
            <w:rFonts w:ascii="Cambria Math" w:hAnsi="Cambria Math"/>
            <w:sz w:val="22"/>
          </w:rPr>
          <m:t>i</m:t>
        </m:r>
      </m:oMath>
      <w:r>
        <w:rPr>
          <w:rFonts w:eastAsia="Times New Roman" w:ascii="Times New Roman" w:hAnsi="Times New Roman"/>
          <w:color w:val="000000"/>
          <w:sz w:val="19"/>
        </w:rPr>
        <w:t xml:space="preserve"> has weight </w:t>
      </w:r>
      <m:oMath>
        <m:sSub>
          <m:sSubPr>
            <m:ctrlPr>
              <w:rPr>
                <w:rFonts w:ascii="Cambria Math" w:hAnsi="Cambria Math"/>
              </w:rPr>
            </m:ctrlPr>
          </m:sSubPr>
          <m:e>
            <m:r>
              <w:rPr>
                <w:rFonts w:ascii="Cambria Math" w:hAnsi="Cambria Math"/>
                <w:sz w:val="22"/>
              </w:rPr>
              <m:t>w</m:t>
            </m:r>
          </m:e>
          <m:sub>
            <m:r>
              <w:rPr>
                <w:rFonts w:ascii="Cambria Math" w:hAnsi="Cambria Math"/>
                <w:sz w:val="22"/>
              </w:rPr>
              <m:t>i</m:t>
            </m:r>
          </m:sub>
        </m:sSub>
        <m:r>
          <m:rPr>
            <m:nor/>
          </m:rPr>
          <w:rPr>
            <w:rFonts w:ascii="Cambria Math" w:hAnsi="Cambria Math"/>
            <w:sz w:val="22"/>
          </w:rPr>
          <m:t xml:space="preserve"> = clip(</m:t>
        </m:r>
        <m:sSubSup>
          <m:sSubSupPr>
            <m:ctrlPr>
              <w:rPr>
                <w:rFonts w:ascii="Cambria Math" w:hAnsi="Cambria Math"/>
              </w:rPr>
            </m:ctrlPr>
          </m:sSubSupPr>
          <m:e>
            <m:r>
              <w:rPr>
                <w:rFonts w:ascii="Cambria Math" w:hAnsi="Cambria Math"/>
                <w:sz w:val="22"/>
              </w:rPr>
              <m:t>PDR</m:t>
            </m:r>
          </m:e>
          <m:sub>
            <m:r>
              <w:rPr>
                <w:rFonts w:ascii="Cambria Math" w:hAnsi="Cambria Math"/>
                <w:sz w:val="22"/>
              </w:rPr>
              <m:t>i</m:t>
            </m:r>
          </m:sub>
          <m:sup>
            <m:r>
              <m:rPr>
                <m:nor/>
              </m:rPr>
              <w:rPr>
                <w:rFonts w:ascii="Cambria Math" w:hAnsi="Cambria Math"/>
                <w:sz w:val="22"/>
              </w:rPr>
              <m:t>exp</m:t>
            </m:r>
          </m:sup>
        </m:sSubSup>
        <m:r>
          <m:rPr>
            <m:nor/>
          </m:rPr>
          <w:rPr>
            <w:rFonts w:ascii="Cambria Math" w:hAnsi="Cambria Math"/>
            <w:sz w:val="22"/>
          </w:rPr>
          <m:t>, 0.05, 1)</m:t>
        </m:r>
      </m:oMath>
      <w:r>
        <w:rPr>
          <w:rFonts w:eastAsia="Times New Roman" w:ascii="Times New Roman" w:hAnsi="Times New Roman"/>
          <w:color w:val="000000"/>
          <w:sz w:val="19"/>
        </w:rPr>
        <w:t xml:space="preserve">. Success adds this weight to </w:t>
      </w:r>
      <m:oMath>
        <m:sSub>
          <m:sSubPr>
            <m:ctrlPr>
              <w:rPr>
                <w:rFonts w:ascii="Cambria Math" w:hAnsi="Cambria Math"/>
              </w:rPr>
            </m:ctrlPr>
          </m:sSubPr>
          <m:e>
            <m:r>
              <w:rPr>
                <w:rFonts w:ascii="Cambria Math" w:hAnsi="Cambria Math"/>
                <w:sz w:val="22"/>
              </w:rPr>
              <m:t>α</m:t>
            </m:r>
          </m:e>
          <m:sub>
            <m:r>
              <w:rPr>
                <w:rFonts w:ascii="Cambria Math" w:hAnsi="Cambria Math"/>
                <w:sz w:val="22"/>
              </w:rPr>
              <m:t>i</m:t>
            </m:r>
          </m:sub>
        </m:sSub>
      </m:oMath>
      <w:r>
        <w:rPr>
          <w:rFonts w:eastAsia="Times New Roman" w:ascii="Times New Roman" w:hAnsi="Times New Roman"/>
          <w:color w:val="000000"/>
          <w:sz w:val="19"/>
        </w:rPr>
        <w:t xml:space="preserve">; failure adds it to </w:t>
      </w:r>
      <m:oMath>
        <m:sSub>
          <m:sSubPr>
            <m:ctrlPr>
              <w:rPr>
                <w:rFonts w:ascii="Cambria Math" w:hAnsi="Cambria Math"/>
              </w:rPr>
            </m:ctrlPr>
          </m:sSubPr>
          <m:e>
            <m:r>
              <w:rPr>
                <w:rFonts w:ascii="Cambria Math" w:hAnsi="Cambria Math"/>
                <w:sz w:val="22"/>
              </w:rPr>
              <m:t>β</m:t>
            </m:r>
          </m:e>
          <m:sub>
            <m:r>
              <w:rPr>
                <w:rFonts w:ascii="Cambria Math" w:hAnsi="Cambria Math"/>
                <w:sz w:val="22"/>
              </w:rPr>
              <m:t>i</m:t>
            </m:r>
          </m:sub>
        </m:sSub>
      </m:oMath>
      <w:r>
        <w:rPr>
          <w:rFonts w:eastAsia="Times New Roman" w:ascii="Times New Roman" w:hAnsi="Times New Roman"/>
          <w:color w:val="000000"/>
          <w:sz w:val="19"/>
        </w:rPr>
        <w:t xml:space="preserve">. The posterior mean and standard deviation are </w:t>
      </w:r>
      <m:oMath>
        <m:sSub>
          <m:sSubPr>
            <m:ctrlPr>
              <w:rPr>
                <w:rFonts w:ascii="Cambria Math" w:hAnsi="Cambria Math"/>
              </w:rPr>
            </m:ctrlPr>
          </m:sSubPr>
          <m:e>
            <m:r>
              <w:rPr>
                <w:rFonts w:ascii="Cambria Math" w:hAnsi="Cambria Math"/>
                <w:sz w:val="22"/>
              </w:rPr>
              <m:t>μ</m:t>
            </m:r>
          </m:e>
          <m:sub>
            <m:r>
              <w:rPr>
                <w:rFonts w:ascii="Cambria Math" w:hAnsi="Cambria Math"/>
                <w:sz w:val="22"/>
              </w:rPr>
              <m:t>i</m:t>
            </m:r>
          </m:sub>
        </m:sSub>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num>
          <m:den>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den>
        </m:f>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σ</m:t>
            </m:r>
          </m:e>
          <m:sub>
            <m:r>
              <w:rPr>
                <w:rFonts w:ascii="Cambria Math" w:hAnsi="Cambria Math"/>
                <w:sz w:val="22"/>
              </w:rPr>
              <m:t>i</m:t>
            </m:r>
          </m:sub>
        </m:sSub>
      </m:oMath>
      <w:r>
        <w:rPr>
          <w:rFonts w:eastAsia="Times New Roman" w:ascii="Times New Roman" w:hAnsi="Times New Roman"/>
          <w:color w:val="000000"/>
          <w:sz w:val="19"/>
        </w:rPr>
        <w:t xml:space="preserve">, respectively. For rate excess </w:t>
      </w:r>
      <m:oMath>
        <m:sSub>
          <m:sSubPr>
            <m:ctrlPr>
              <w:rPr>
                <w:rFonts w:ascii="Cambria Math" w:hAnsi="Cambria Math"/>
              </w:rPr>
            </m:ctrlPr>
          </m:sSubPr>
          <m:e>
            <m:r>
              <w:rPr>
                <w:rFonts w:ascii="Cambria Math" w:hAnsi="Cambria Math"/>
                <w:sz w:val="22"/>
              </w:rPr>
              <m:t>x</m:t>
            </m:r>
          </m:e>
          <m:sub>
            <m:r>
              <w:rPr>
                <w:rFonts w:ascii="Cambria Math" w:hAnsi="Cambria Math"/>
                <w:sz w:val="22"/>
              </w:rPr>
              <m:t>i</m:t>
            </m:r>
          </m:sub>
        </m:sSub>
        <m:r>
          <m:rPr>
            <m:nor/>
          </m:rPr>
          <w:rPr>
            <w:rFonts w:ascii="Cambria Math" w:hAnsi="Cambria Math"/>
            <w:sz w:val="22"/>
          </w:rPr>
          <m:t xml:space="preserve"> = clip((</m:t>
        </m:r>
        <m:sSub>
          <m:sSubPr>
            <m:ctrlPr>
              <w:rPr>
                <w:rFonts w:ascii="Cambria Math" w:hAnsi="Cambria Math"/>
              </w:rPr>
            </m:ctrlPr>
          </m:sSubPr>
          <m:e>
            <m:r>
              <w:rPr>
                <w:rFonts w:ascii="Cambria Math" w:hAnsi="Cambria Math"/>
                <w:sz w:val="22"/>
              </w:rPr>
              <m:t>q</m:t>
            </m:r>
          </m:e>
          <m:sub>
            <m:r>
              <w:rPr>
                <w:rFonts w:ascii="Cambria Math" w:hAnsi="Cambria Math"/>
                <w:sz w:val="22"/>
              </w:rPr>
              <m:t>i</m:t>
            </m:r>
          </m:sub>
        </m:sSub>
        <m:r>
          <m:rPr>
            <m:nor/>
          </m:rPr>
          <w:rPr>
            <w:rFonts w:ascii="Cambria Math" w:hAnsi="Cambria Math"/>
            <w:sz w:val="22"/>
          </w:rPr>
          <m:t xml:space="preserve"> - 0.4)/0.6, 0, 1)</m:t>
        </m:r>
      </m:oMath>
      <w:r>
        <w:rPr>
          <w:rFonts w:eastAsia="Times New Roman" w:ascii="Times New Roman" w:hAnsi="Times New Roman"/>
          <w:color w:val="000000"/>
          <w:sz w:val="19"/>
        </w:rPr>
        <w:t xml:space="preserve">, the slow-state refresh applies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0.85</m:t>
        </m:r>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+ 0.15</m:t>
        </m:r>
        <m:sSub>
          <m:sSubPr>
            <m:ctrlPr>
              <w:rPr>
                <w:rFonts w:ascii="Cambria Math" w:hAnsi="Cambria Math"/>
              </w:rPr>
            </m:ctrlPr>
          </m:sSubPr>
          <m:e>
            <m:r>
              <w:rPr>
                <w:rFonts w:ascii="Cambria Math" w:hAnsi="Cambria Math"/>
                <w:sz w:val="22"/>
              </w:rPr>
              <m:t>x</m:t>
            </m:r>
          </m:e>
          <m:sub>
            <m:r>
              <w:rPr>
                <w:rFonts w:ascii="Cambria Math" w:hAnsi="Cambria Math"/>
                <w:sz w:val="22"/>
              </w:rPr>
              <m:t>i</m:t>
            </m:r>
          </m:sub>
        </m:sSub>
      </m:oMath>
      <w:r>
        <w:rPr>
          <w:rFonts w:eastAsia="Times New Roman" w:ascii="Times New Roman" w:hAnsi="Times New Roman"/>
          <w:color w:val="000000"/>
          <w:sz w:val="19"/>
        </w:rPr>
        <w:t>. The mean risk and uncertainty-adjusted score are</w:t>
      </w:r>
    </w:p>
    <w:p w14:paraId="3AD291AC"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t>ρ</m:t>
            </m:r>
          </m:e>
          <m:sub>
            <m:r>
              <m:t>i</m:t>
            </m:r>
          </m:sub>
        </m:sSub>
        <m:r>
          <m:rPr>
            <m:nor/>
          </m:rPr>
          <m:t xml:space="preserve"> = 0.75</m:t>
        </m:r>
        <m:d>
          <m:dPr>
            <m:ctrlPr/>
          </m:dPr>
          <m:e>
            <m:r>
              <m:rPr>
                <m:nor/>
              </m:rPr>
              <m:t xml:space="preserve">1 - </m:t>
            </m:r>
            <m:sSub>
              <m:sSubPr>
                <m:ctrlPr/>
              </m:sSubPr>
              <m:e>
                <m:r>
                  <m:t>μ</m:t>
                </m:r>
              </m:e>
              <m:sub>
                <m:r>
                  <m:t>i</m:t>
                </m:r>
              </m:sub>
            </m:sSub>
          </m:e>
        </m:d>
        <m:r>
          <m:rPr>
            <m:nor/>
          </m:rPr>
          <m:t xml:space="preserve"> + 0.25</m:t>
        </m:r>
        <m:sSub>
          <m:sSubPr>
            <m:ctrlPr/>
          </m:sSubPr>
          <m:e>
            <m:r>
              <m:t>a</m:t>
            </m:r>
          </m:e>
          <m:sub>
            <m:r>
              <m:t>i</m:t>
            </m:r>
          </m:sub>
        </m:sSub>
        <m:r>
          <m:rPr>
            <m:nor/>
          </m:rPr>
          <m:t>,</m:t>
        </m:r>
      </m:oMath>
      <w:r>
        <w:rPr>
          <w:rFonts w:ascii="Times New Roman" w:hAnsi="Times New Roman"/>
          <w:color w:val="000000"/>
          <w:sz w:val="19"/>
        </w:rPr>
        <w:tab/>
      </w:r>
      <w:r>
        <w:rPr>
          <w:rFonts w:ascii="Times New Roman" w:eastAsia="Times New Roman" w:hAnsi="Times New Roman"/>
          <w:color w:val="000000"/>
          <w:sz w:val="19"/>
        </w:rPr>
        <w:t>(2)</w:t>
      </w:r>
    </w:p>
    <w:p w14:paraId="3B2B539E"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ρ</m:t>
            </m:r>
          </m:e>
          <m:sub>
            <m:r>
              <m:t>i</m:t>
            </m:r>
          </m:sub>
          <m:sup>
            <m:r>
              <m:rPr>
                <m:nor/>
              </m:rPr>
              <m:t>UCB</m:t>
            </m:r>
          </m:sup>
        </m:sSubSup>
        <m:r>
          <m:rPr>
            <m:nor/>
          </m:rPr>
          <m:t xml:space="preserve"> = clip</m:t>
        </m:r>
        <m:d>
          <m:dPr>
            <m:ctrlPr/>
          </m:dPr>
          <m:e>
            <m:sSub>
              <m:sSubPr>
                <m:ctrlPr/>
              </m:sSubPr>
              <m:e>
                <m:r>
                  <m:t>ρ</m:t>
                </m:r>
              </m:e>
              <m:sub>
                <m:r>
                  <m:t>i</m:t>
                </m:r>
              </m:sub>
            </m:sSub>
            <m:r>
              <m:rPr>
                <m:nor/>
              </m:rPr>
              <m:t xml:space="preserve"> + 1.645 · 0.75</m:t>
            </m:r>
            <m:sSub>
              <m:sSubPr>
                <m:ctrlPr/>
              </m:sSubPr>
              <m:e>
                <m:r>
                  <m:t>σ</m:t>
                </m:r>
              </m:e>
              <m:sub>
                <m:r>
                  <m:t>i</m:t>
                </m:r>
              </m:sub>
            </m:sSub>
            <m:r>
              <m:rPr>
                <m:nor/>
              </m:rPr>
              <m:t>, 0, 1</m:t>
            </m:r>
          </m:e>
        </m:d>
        <m:r>
          <m:rPr>
            <m:nor/>
          </m:rPr>
          <m:t>.</m:t>
        </m:r>
      </m:oMath>
      <w:r>
        <w:rPr>
          <w:rFonts w:ascii="Times New Roman" w:hAnsi="Times New Roman"/>
          <w:color w:val="000000"/>
          <w:sz w:val="19"/>
        </w:rPr>
        <w:tab/>
      </w:r>
      <w:r>
        <w:rPr>
          <w:rFonts w:ascii="Times New Roman" w:eastAsia="Times New Roman" w:hAnsi="Times New Roman"/>
          <w:color w:val="000000"/>
          <w:sz w:val="19"/>
        </w:rPr>
        <w:t>(3)</w:t>
      </w:r>
    </w:p>
    <w:p w14:paraId="0833AFF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Here </w:t>
      </w:r>
      <m:oMath>
        <m:sSub>
          <m:sSubPr>
            <m:ctrlPr>
              <w:rPr>
                <w:rFonts w:ascii="Cambria Math" w:hAnsi="Cambria Math"/>
              </w:rPr>
            </m:ctrlPr>
          </m:sSubPr>
          <m:e>
            <m:r>
              <w:rPr>
                <w:rFonts w:ascii="Cambria Math" w:hAnsi="Cambria Math"/>
                <w:sz w:val="22"/>
              </w:rPr>
              <m:t>q</m:t>
            </m:r>
          </m:e>
          <m:sub>
            <m:r>
              <w:rPr>
                <w:rFonts w:ascii="Cambria Math" w:hAnsi="Cambria Math"/>
                <w:sz w:val="22"/>
              </w:rPr>
              <m:t>i</m:t>
            </m:r>
          </m:sub>
        </m:sSub>
      </m:oMath>
      <w:r>
        <w:rPr>
          <w:rFonts w:eastAsia="Times New Roman" w:ascii="Times New Roman" w:hAnsi="Times New Roman"/>
          <w:color w:val="000000"/>
          <w:sz w:val="19"/>
        </w:rPr>
        <w:t xml:space="preserve"> is normalized queue pressure and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oMath>
      <w:r>
        <w:rPr>
          <w:rFonts w:eastAsia="Times New Roman" w:ascii="Times New Roman" w:hAnsi="Times New Roman"/>
          <w:color w:val="000000"/>
          <w:sz w:val="19"/>
        </w:rPr>
        <w:t xml:space="preserve"> is its smoothed excess-rate signal. The standard deviation follows the Beta variance </w:t>
      </w:r>
      <m:oMath>
        <m:sSup>
          <m:sSupPr>
            <m:ctrlPr>
              <w:rPr>
                <w:rFonts w:ascii="Cambria Math" w:hAnsi="Cambria Math"/>
              </w:rPr>
            </m:ctrlPr>
          </m:sSupPr>
          <m:e>
            <m:sSub>
              <m:sSubPr>
                <m:ctrlPr>
                  <w:rPr>
                    <w:rFonts w:ascii="Cambria Math" w:hAnsi="Cambria Math"/>
                  </w:rPr>
                </m:ctrlPr>
              </m:sSubPr>
              <m:e>
                <m:r>
                  <w:rPr>
                    <w:rFonts w:ascii="Cambria Math" w:hAnsi="Cambria Math"/>
                    <w:sz w:val="22"/>
                  </w:rPr>
                  <m:t>σ</m:t>
                </m:r>
              </m:e>
              <m:sub>
                <m:r>
                  <w:rPr>
                    <w:rFonts w:ascii="Cambria Math" w:hAnsi="Cambria Math"/>
                    <w:sz w:val="22"/>
                  </w:rPr>
                  <m:t>i</m:t>
                </m:r>
              </m:sub>
            </m:sSub>
          </m:e>
          <m:sup>
            <m:r>
              <w:rPr>
                <w:rFonts w:ascii="Cambria Math" w:hAnsi="Cambria Math"/>
                <w:sz w:val="22"/>
              </w:rPr>
              <m:t>2</m:t>
            </m:r>
          </m:sup>
        </m:sSup>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sSub>
              <m:sSubPr>
                <m:ctrlPr>
                  <w:rPr>
                    <w:rFonts w:ascii="Cambria Math" w:hAnsi="Cambria Math"/>
                  </w:rPr>
                </m:ctrlPr>
              </m:sSubPr>
              <m:e>
                <m:r>
                  <w:rPr>
                    <w:rFonts w:ascii="Cambria Math" w:hAnsi="Cambria Math"/>
                    <w:sz w:val="22"/>
                  </w:rPr>
                  <m:t>β</m:t>
                </m:r>
              </m:e>
              <m:sub>
                <m:r>
                  <w:rPr>
                    <w:rFonts w:ascii="Cambria Math" w:hAnsi="Cambria Math"/>
                    <w:sz w:val="22"/>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e>
                </m:d>
              </m:e>
              <m:sup>
                <m:r>
                  <w:rPr>
                    <w:rFonts w:ascii="Cambria Math" w:hAnsi="Cambria Math"/>
                    <w:sz w:val="22"/>
                  </w:rPr>
                  <m:t>2</m:t>
                </m:r>
              </m:sup>
            </m:sSup>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r>
                  <m:rPr>
                    <m:nor/>
                  </m:rPr>
                  <w:rPr>
                    <w:rFonts w:ascii="Cambria Math" w:hAnsi="Cambria Math"/>
                    <w:sz w:val="22"/>
                  </w:rPr>
                  <m:t xml:space="preserve"> + 1</m:t>
                </m:r>
              </m:e>
            </m:d>
          </m:den>
        </m:f>
      </m:oMath>
      <w:r>
        <w:rPr>
          <w:rFonts w:eastAsia="Times New Roman" w:ascii="Times New Roman" w:hAnsi="Times New Roman"/>
          <w:color w:val="000000"/>
          <w:sz w:val="19"/>
        </w:rPr>
        <w:t>. Both risk quantities enter the candidate state. Forwarding evidence updates the current transmitting sensor after an attempted hop; attack identity never enters this estimator. The UCB term is an uncertainty-aware routing score, not a calibrated intrusion probability or a supervised IDS prediction.</w:t>
      </w:r>
    </w:p>
    <w:p w14:paraId="41F248DC" w14:textId="77777777" w:rsidR="008867B5" w:rsidRDefault="00000000">
      <w:pPr>
        <w:pStyle w:val="Heading2"/>
        <w:keepNext/>
        <w:pageBreakBefore w:val="0"/>
        <w:spacing w:after="80" w:line="480" w:lineRule="auto"/>
      </w:pPr>
      <w:r>
        <w:rPr>
          <w:rFonts w:ascii="Times New Roman" w:hAnsi="Times New Roman"/>
          <w:color w:val="000000"/>
        </w:rPr>
        <w:t>D. Constrained routing objective</w:t>
      </w:r>
    </w:p>
    <w:p w14:paraId="06E1E74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Let </w:t>
      </w:r>
      <m:oMath>
        <m:sSub>
          <m:sSubPr>
            <m:ctrlPr>
              <w:rPr>
                <w:rFonts w:ascii="Cambria Math" w:hAnsi="Cambria Math"/>
              </w:rPr>
            </m:ctrlPr>
          </m:sSubPr>
          <m:e>
            <m:r>
              <w:rPr>
                <w:rFonts w:ascii="Cambria Math" w:hAnsi="Cambria Math"/>
                <w:sz w:val="22"/>
              </w:rPr>
              <m:t>π</m:t>
            </m:r>
          </m:e>
          <m:sub>
            <m:r>
              <w:rPr>
                <w:rFonts w:ascii="Cambria Math" w:hAnsi="Cambria Math"/>
                <w:sz w:val="22"/>
              </w:rPr>
              <m:t>θ</m:t>
            </m:r>
          </m:sub>
        </m:sSub>
      </m:oMath>
      <w:r>
        <w:rPr>
          <w:rFonts w:eastAsia="Times New Roman" w:ascii="Times New Roman" w:hAnsi="Times New Roman"/>
          <w:color w:val="000000"/>
          <w:sz w:val="19"/>
        </w:rPr>
        <w:t xml:space="preserve"> denote the next-hop policy. Consider a packet from class </w:t>
      </w:r>
      <m:oMath>
        <m:r>
          <w:rPr>
            <w:rFonts w:ascii="Cambria Math" w:hAnsi="Cambria Math"/>
            <w:sz w:val="22"/>
          </w:rPr>
          <m:t>c</m:t>
        </m:r>
      </m:oMath>
      <w:r>
        <w:rPr>
          <w:rFonts w:eastAsia="Times New Roman" w:ascii="Times New Roman" w:hAnsi="Times New Roman"/>
          <w:color w:val="000000"/>
          <w:sz w:val="19"/>
        </w:rPr>
        <w:t xml:space="preserve"> with deadline </w:t>
      </w:r>
      <m:oMath>
        <m:sSub>
          <m:sSubPr>
            <m:ctrlPr>
              <w:rPr>
                <w:rFonts w:ascii="Cambria Math" w:hAnsi="Cambria Math"/>
              </w:rPr>
            </m:ctrlPr>
          </m:sSubPr>
          <m:e>
            <m:r>
              <w:rPr>
                <w:rFonts w:ascii="Cambria Math" w:hAnsi="Cambria Math"/>
                <w:sz w:val="22"/>
              </w:rPr>
              <m:t>D</m:t>
            </m:r>
          </m:e>
          <m:sub>
            <m:r>
              <w:rPr>
                <w:rFonts w:ascii="Cambria Math" w:hAnsi="Cambria Math"/>
                <w:sz w:val="22"/>
              </w:rPr>
              <m:t>c</m:t>
            </m:r>
          </m:sub>
        </m:sSub>
      </m:oMath>
      <w:r>
        <w:rPr>
          <w:rFonts w:eastAsia="Times New Roman" w:ascii="Times New Roman" w:hAnsi="Times New Roman"/>
          <w:color w:val="000000"/>
          <w:sz w:val="19"/>
        </w:rPr>
        <w:t>. Let D denote its observed end-to-end delay. The terminal costs are</w:t>
      </w:r>
    </w:p>
    <w:p w14:paraId="23717F75"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C</m:t>
                </m:r>
              </m:e>
              <m:sub>
                <m:r>
                  <m:t>c</m:t>
                </m:r>
              </m:sub>
              <m:sup>
                <m:d>
                  <m:dPr>
                    <m:ctrlPr/>
                  </m:dPr>
                  <m:e>
                    <m:r>
                      <m:t>d</m:t>
                    </m:r>
                  </m:e>
                </m:d>
              </m:sup>
            </m:sSubSup>
            <m:r>
              <m:rPr>
                <m:nor/>
              </m:rPr>
              <m:t xml:space="preserve"> = 1</m:t>
            </m:r>
            <m:d>
              <m:dPr>
                <m:begChr m:val="{"/>
                <m:endChr m:val="}"/>
                <m:ctrlPr/>
              </m:dPr>
              <m:e>
                <m:r>
                  <m:rPr>
                    <m:nor/>
                  </m:rPr>
                  <m:t xml:space="preserve">not delivered or delivered with </m:t>
                </m:r>
                <m:r>
                  <m:t>D</m:t>
                </m:r>
                <m:r>
                  <m:rPr>
                    <m:nor/>
                  </m:rPr>
                  <m:t xml:space="preserve"> &gt; </m:t>
                </m:r>
                <m:sSub>
                  <m:sSubPr>
                    <m:ctrlPr/>
                  </m:sSubPr>
                  <m:e>
                    <m:r>
                      <m:t>D</m:t>
                    </m:r>
                  </m:e>
                  <m:sub>
                    <m:r>
                      <m:t>c</m:t>
                    </m:r>
                  </m:sub>
                </m:sSub>
              </m:e>
            </m:d>
            <m:r>
              <m:rPr>
                <m:nor/>
              </m:rPr>
              <m:t>,</m:t>
            </m:r>
          </m:e>
          <m:e>
            <m:sSubSup>
              <m:sSubSupPr>
                <m:ctrlPr/>
              </m:sSubSupPr>
              <m:e>
                <m:r>
                  <m:t>C</m:t>
                </m:r>
              </m:e>
              <m:sub>
                <m:r>
                  <m:t>c</m:t>
                </m:r>
              </m:sub>
              <m:sup>
                <m:d>
                  <m:dPr>
                    <m:ctrlPr/>
                  </m:dPr>
                  <m:e>
                    <m:r>
                      <m:rPr>
                        <m:scr m:val="script"/>
                      </m:rPr>
                      <m:t>l</m:t>
                    </m:r>
                  </m:e>
                </m:d>
              </m:sup>
            </m:sSubSup>
            <m:r>
              <m:rPr>
                <m:nor/>
              </m:rPr>
              <m:t xml:space="preserve"> = 1</m:t>
            </m:r>
            <m:d>
              <m:dPr>
                <m:begChr m:val="{"/>
                <m:endChr m:val="}"/>
                <m:ctrlPr/>
              </m:dPr>
              <m:e>
                <m:r>
                  <m:rPr>
                    <m:nor/>
                  </m:rPr>
                  <m:t>not delivered</m:t>
                </m:r>
              </m:e>
            </m:d>
            <m:r>
              <m:rPr>
                <m:nor/>
              </m:rPr>
              <m:t>.</m:t>
            </m:r>
          </m:e>
        </m:eqArr>
      </m:oMath>
    </w:p>
    <w:p w14:paraId="543372FC" w14:textId="77777777" w:rsidR="008867B5" w:rsidRDefault="00000000">
      <w:pPr>
        <w:pageBreakBefore w:val="0"/>
        <w:spacing w:after="80" w:line="480" w:lineRule="auto"/>
        <w:jc w:val="both"/>
      </w:pPr>
      <w:r>
        <w:rPr>
          <w:rFonts w:ascii="Times New Roman" w:hAnsi="Times New Roman"/>
          <w:color w:val="000000"/>
          <w:sz w:val="19"/>
        </w:rPr>
        <w:t>Loss therefore contributes to both channels. Continuing transitions have zero terminal costs. The six-element implementation vector stores the active class at positions 2c and 2c + 1. Delay-violation budgets are [0.015, 0.04, 0.10], and loss budgets are the complements of the target PDRs: [0.015, 0.04, 0.10]. The constrained scalar objective is</w:t>
      </w:r>
    </w:p>
    <w:p w14:paraId="54CF1253"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
              <m:sSubPr>
                <m:ctrlPr/>
              </m:sSubPr>
              <m:e>
                <m:r>
                  <m:rPr>
                    <m:nor/>
                  </m:rPr>
                  <m:t>max</m:t>
                </m:r>
              </m:e>
              <m:sub>
                <m:r>
                  <m:t>θ</m:t>
                </m:r>
              </m:sub>
            </m:sSub>
            <m:r>
              <m:rPr>
                <m:nor/>
              </m:rPr>
              <m:t xml:space="preserve">  </m:t>
            </m:r>
            <m:sSub>
              <m:sSubPr>
                <m:ctrlPr/>
              </m:sSubPr>
              <m:e>
                <m:r>
                  <m:t>J</m:t>
                </m:r>
              </m:e>
              <m:sub>
                <m:r>
                  <m:t>R</m:t>
                </m:r>
              </m:sub>
            </m:sSub>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nary>
                  <m:naryPr>
                    <m:chr m:val="∑"/>
                    <m:limLoc m:val="subSup"/>
                    <m:ctrlPr/>
                  </m:naryPr>
                  <m:sub>
                    <m:r>
                      <m:t>t</m:t>
                    </m:r>
                    <m:r>
                      <m:rPr>
                        <m:nor/>
                      </m:rPr>
                      <m:t xml:space="preserve"> = 0</m:t>
                    </m:r>
                  </m:sub>
                  <m:sup>
                    <m:r>
                      <m:t>T</m:t>
                    </m:r>
                    <m:r>
                      <m:rPr>
                        <m:nor/>
                      </m:rPr>
                      <m:t xml:space="preserve"> - 1</m:t>
                    </m:r>
                  </m:sup>
                  <m:e>
                    <m:sSup>
                      <m:sSupPr>
                        <m:ctrlPr/>
                      </m:sSupPr>
                      <m:e>
                        <m:r>
                          <m:t>γ</m:t>
                        </m:r>
                      </m:e>
                      <m:sup>
                        <m:r>
                          <m:t>t</m:t>
                        </m:r>
                      </m:sup>
                    </m:sSup>
                    <m:sSub>
                      <m:sSubPr>
                        <m:ctrlPr/>
                      </m:sSubPr>
                      <m:e>
                        <m:r>
                          <m:t>r</m:t>
                        </m:r>
                      </m:e>
                      <m:sub>
                        <m:r>
                          <m:t>t</m:t>
                        </m:r>
                      </m:sub>
                    </m:sSub>
                  </m:e>
                </m:nary>
              </m:e>
            </m:d>
            <m:r>
              <m:rPr>
                <m:nor/>
              </m:rPr>
              <m:t>,</m:t>
            </m:r>
          </m:e>
          <m:e>
            <m:r>
              <m:rPr>
                <m:nor/>
              </m:rPr>
              <m:t xml:space="preserve">subject to  </m:t>
            </m:r>
            <m:sSubSup>
              <m:sSubSupPr>
                <m:ctrlPr/>
              </m:sSubSupPr>
              <m:e>
                <m:r>
                  <m:t>J</m:t>
                </m:r>
              </m:e>
              <m:sub>
                <m:r>
                  <m:t>c</m:t>
                </m:r>
              </m:sub>
              <m:sup>
                <m:d>
                  <m:dPr>
                    <m:ctrlPr/>
                  </m:dPr>
                  <m:e>
                    <m:r>
                      <m:t>u</m:t>
                    </m:r>
                  </m:e>
                </m:d>
              </m:sup>
            </m:sSubSup>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sSubSup>
                  <m:sSubSupPr>
                    <m:ctrlPr/>
                  </m:sSubSupPr>
                  <m:e>
                    <m:r>
                      <m:t>C</m:t>
                    </m:r>
                  </m:e>
                  <m:sub>
                    <m:r>
                      <m:t>c</m:t>
                    </m:r>
                  </m:sub>
                  <m:sup>
                    <m:d>
                      <m:dPr>
                        <m:ctrlPr/>
                      </m:dPr>
                      <m:e>
                        <m:r>
                          <m:t>u</m:t>
                        </m:r>
                      </m:e>
                    </m:d>
                  </m:sup>
                </m:sSubSup>
                <m:r>
                  <m:rPr>
                    <m:nor/>
                  </m:rPr>
                  <m:t xml:space="preserve"> | class = </m:t>
                </m:r>
                <m:r>
                  <m:t>c</m:t>
                </m:r>
              </m:e>
            </m:d>
            <m:r>
              <m:rPr>
                <m:nor/>
              </m:rPr>
              <m:t xml:space="preserve"> ≤ </m:t>
            </m:r>
            <m:sSubSup>
              <m:sSubSupPr>
                <m:ctrlPr/>
              </m:sSubSupPr>
              <m:e>
                <m:r>
                  <m:t>b</m:t>
                </m:r>
              </m:e>
              <m:sub>
                <m:r>
                  <m:t>c</m:t>
                </m:r>
              </m:sub>
              <m:sup>
                <m:d>
                  <m:dPr>
                    <m:ctrlPr/>
                  </m:dPr>
                  <m:e>
                    <m:r>
                      <m:t>u</m:t>
                    </m:r>
                  </m:e>
                </m:d>
              </m:sup>
            </m:sSubSup>
            <m:r>
              <m:rPr>
                <m:nor/>
              </m:rPr>
              <m:t>,</m:t>
            </m:r>
          </m:e>
          <m:e>
            <m:r>
              <m:t>c</m:t>
            </m:r>
            <m:r>
              <m:rPr>
                <m:nor/>
              </m:rPr>
              <m:t xml:space="preserve"> ∈ {0, 1, 2},   </m:t>
            </m:r>
            <m:r>
              <m:t>u</m:t>
            </m:r>
            <m:r>
              <m:rPr>
                <m:nor/>
              </m:rPr>
              <m:t xml:space="preserve"> ∈ {d, l}.</m:t>
            </m:r>
          </m:e>
        </m:eqArr>
      </m:oMath>
      <w:r>
        <w:rPr>
          <w:rFonts w:ascii="Times New Roman" w:hAnsi="Times New Roman"/>
          <w:color w:val="000000"/>
          <w:sz w:val="19"/>
        </w:rPr>
        <w:tab/>
      </w:r>
      <w:r>
        <w:rPr>
          <w:rFonts w:ascii="Times New Roman" w:eastAsia="Times New Roman" w:hAnsi="Times New Roman"/>
          <w:color w:val="000000"/>
          <w:sz w:val="19"/>
        </w:rPr>
        <w:t>(4)</w:t>
      </w:r>
    </w:p>
    <w:p w14:paraId="26FEDFC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expectation in each constraint is conditioned on the packet class; a global average over all traffic would dilute the class-specific budget. Here </w:t>
      </w:r>
      <m:oMath>
        <m:r>
          <w:rPr>
            <w:rFonts w:ascii="Cambria Math" w:hAnsi="Cambria Math"/>
            <w:sz w:val="22"/>
          </w:rPr>
          <m:t>T</m:t>
        </m:r>
      </m:oMath>
      <w:r>
        <w:rPr>
          <w:rFonts w:eastAsia="Times New Roman" w:ascii="Times New Roman" w:hAnsi="Times New Roman"/>
          <w:color w:val="000000"/>
          <w:sz w:val="19"/>
        </w:rPr>
        <w:t xml:space="preserve"> is the number of forwarding decisions in the packet episode, and </w:t>
      </w:r>
      <m:oMath>
        <m:r>
          <w:rPr>
            <w:rFonts w:ascii="Cambria Math" w:hAnsi="Cambria Math"/>
            <w:sz w:val="22"/>
          </w:rPr>
          <m:t>γ</m:t>
        </m:r>
      </m:oMath>
      <w:r>
        <w:rPr>
          <w:rFonts w:eastAsia="Times New Roman" w:ascii="Times New Roman" w:hAnsi="Times New Roman"/>
          <w:color w:val="000000"/>
          <w:sz w:val="19"/>
        </w:rPr>
        <w:t xml:space="preserve"> = 0.99. The training routine estimates each class/channel rate from completed packets of that class in the current batch. Absent classes do not trigger multiplier updates. Section IV.E specifies the projected update and its order relative to PPO.</w:t>
      </w:r>
    </w:p>
    <w:p w14:paraId="1ADAD4A5"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PPO uses reward and cost generalized advantages. With </w:t>
      </w:r>
      <m:oMath>
        <m:sSup>
          <m:sSupPr>
            <m:ctrlPr>
              <w:rPr>
                <w:rFonts w:ascii="Cambria Math" w:hAnsi="Cambria Math"/>
              </w:rPr>
            </m:ctrlPr>
          </m:sSupPr>
          <m:e>
            <m:r>
              <w:rPr>
                <w:rFonts w:ascii="Cambria Math" w:hAnsi="Cambria Math"/>
                <w:sz w:val="22"/>
              </w:rPr>
              <m:t>Ā</m:t>
            </m:r>
          </m:e>
          <m:sup>
            <m:r>
              <w:rPr>
                <w:rFonts w:ascii="Cambria Math" w:hAnsi="Cambria Math"/>
                <w:sz w:val="22"/>
              </w:rPr>
              <m:t>R</m:t>
            </m:r>
          </m:sup>
        </m:sSup>
      </m:oMath>
      <w:r>
        <w:rPr>
          <w:rFonts w:eastAsia="Times New Roman" w:ascii="Times New Roman" w:hAnsi="Times New Roman"/>
          <w:color w:val="000000"/>
          <w:sz w:val="19"/>
        </w:rPr>
        <w:t xml:space="preserve"> denoting the reward advantage after the batch-standardization rule in Section IV.E, the combined advantage is</w:t>
      </w:r>
    </w:p>
    <w:p w14:paraId="581C7623"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A</m:t>
            </m:r>
          </m:e>
          <m:sub>
            <m:r>
              <m:t>t</m:t>
            </m:r>
          </m:sub>
          <m:sup>
            <m:r>
              <m:rPr>
                <m:nor/>
              </m:rPr>
              <m:t>CPPO</m:t>
            </m:r>
          </m:sup>
        </m:sSubSup>
        <m:r>
          <m:rPr>
            <m:nor/>
          </m:rPr>
          <m:t xml:space="preserve"> = </m:t>
        </m:r>
        <m:sSubSup>
          <m:sSubSupPr>
            <m:ctrlPr/>
          </m:sSubSupPr>
          <m:e>
            <m:r>
              <m:t>Ā</m:t>
            </m:r>
          </m:e>
          <m:sub>
            <m:r>
              <m:t>t</m:t>
            </m:r>
          </m:sub>
          <m:sup>
            <m:r>
              <m:t>R</m:t>
            </m:r>
          </m:sup>
        </m:sSubSup>
        <m:r>
          <m:rPr>
            <m:nor/>
          </m:rPr>
          <m:t xml:space="preserve"> - </m:t>
        </m:r>
        <m:nary>
          <m:naryPr>
            <m:chr m:val="∑"/>
            <m:limLoc m:val="subSup"/>
            <m:ctrlPr/>
          </m:naryPr>
          <m:sub>
            <m:r>
              <m:rPr>
                <m:nor/>
              </m:rPr>
              <m:t>c = 0</m:t>
            </m:r>
          </m:sub>
          <m:sup>
            <m:r>
              <m:t>2</m:t>
            </m:r>
          </m:sup>
          <m:e>
            <m:d>
              <m:dPr>
                <m:begChr m:val="["/>
                <m:endChr m:val="]"/>
                <m:ctrlPr/>
              </m:dPr>
              <m:e>
                <m:sSubSup>
                  <m:sSubSupPr>
                    <m:ctrlPr/>
                  </m:sSubSupPr>
                  <m:e>
                    <m:r>
                      <m:t>λ</m:t>
                    </m:r>
                  </m:e>
                  <m:sub>
                    <m:r>
                      <m:t>c</m:t>
                    </m:r>
                  </m:sub>
                  <m:sup>
                    <m:d>
                      <m:dPr>
                        <m:ctrlPr/>
                      </m:dPr>
                      <m:e>
                        <m:r>
                          <m:t>d</m:t>
                        </m:r>
                      </m:e>
                    </m:d>
                  </m:sup>
                </m:sSubSup>
                <m:sSubSup>
                  <m:sSubSupPr>
                    <m:ctrlPr/>
                  </m:sSubSupPr>
                  <m:e>
                    <m:r>
                      <m:t>A</m:t>
                    </m:r>
                  </m:e>
                  <m:sub>
                    <m:r>
                      <m:t>t,c</m:t>
                    </m:r>
                  </m:sub>
                  <m:sup>
                    <m:d>
                      <m:dPr>
                        <m:ctrlPr/>
                      </m:dPr>
                      <m:e>
                        <m:r>
                          <m:t>d</m:t>
                        </m:r>
                      </m:e>
                    </m:d>
                  </m:sup>
                </m:sSubSup>
                <m:r>
                  <m:rPr>
                    <m:nor/>
                  </m:rPr>
                  <m:t xml:space="preserve"> + </m:t>
                </m:r>
                <m:sSubSup>
                  <m:sSubSupPr>
                    <m:ctrlPr/>
                  </m:sSubSupPr>
                  <m:e>
                    <m:r>
                      <m:t>λ</m:t>
                    </m:r>
                  </m:e>
                  <m:sub>
                    <m:r>
                      <m:t>c</m:t>
                    </m:r>
                  </m:sub>
                  <m:sup>
                    <m:d>
                      <m:dPr>
                        <m:ctrlPr/>
                      </m:dPr>
                      <m:e>
                        <m:r>
                          <m:rPr>
                            <m:scr m:val="script"/>
                          </m:rPr>
                          <m:t>l</m:t>
                        </m:r>
                      </m:e>
                    </m:d>
                  </m:sup>
                </m:sSubSup>
                <m:sSubSup>
                  <m:sSubSupPr>
                    <m:ctrlPr/>
                  </m:sSubSupPr>
                  <m:e>
                    <m:r>
                      <m:t>A</m:t>
                    </m:r>
                  </m:e>
                  <m:sub>
                    <m:r>
                      <m:t>t,c</m:t>
                    </m:r>
                  </m:sub>
                  <m:sup>
                    <m:d>
                      <m:dPr>
                        <m:ctrlPr/>
                      </m:dPr>
                      <m:e>
                        <m:r>
                          <m:rPr>
                            <m:scr m:val="script"/>
                          </m:rPr>
                          <m:t>l</m:t>
                        </m:r>
                      </m:e>
                    </m:d>
                  </m:sup>
                </m:sSubSup>
              </m:e>
            </m:d>
          </m:e>
        </m:nary>
        <m:r>
          <m:rPr>
            <m:nor/>
          </m:rPr>
          <m:t>.</m:t>
        </m:r>
      </m:oMath>
      <w:r>
        <w:rPr>
          <w:rFonts w:ascii="Times New Roman" w:hAnsi="Times New Roman"/>
          <w:color w:val="000000"/>
          <w:sz w:val="19"/>
        </w:rPr>
        <w:tab/>
      </w:r>
      <w:r>
        <w:rPr>
          <w:rFonts w:ascii="Times New Roman" w:eastAsia="Times New Roman" w:hAnsi="Times New Roman"/>
          <w:color w:val="000000"/>
          <w:sz w:val="19"/>
        </w:rPr>
        <w:t>(5)</w:t>
      </w:r>
    </w:p>
    <w:p w14:paraId="56ECFF65" w14:textId="77777777" w:rsidR="008867B5" w:rsidRDefault="00000000">
      <w:pPr>
        <w:pageBreakBefore w:val="0"/>
        <w:spacing w:after="80" w:line="480" w:lineRule="auto"/>
        <w:jc w:val="both"/>
      </w:pPr>
      <w:r>
        <w:rPr>
          <w:rFonts w:eastAsia="Times New Roman" w:ascii="Times New Roman" w:hAnsi="Times New Roman"/>
          <w:color w:val="000000"/>
          <w:sz w:val="19"/>
        </w:rPr>
        <w:t>Equation (4) states the routing objective and class-specific service targets. Equation (5) is the implemented PPO training surrogate: it combines standardized reward advantages with unstandardized, discounted cost advantages. The projected multipliers respond to undiscounted terminal violation rates. This procedure provides a penalty-based approximation to constrained learning; it does not establish exact feasibility of Eq. (4) [7, 8, 9, 25].</w:t>
      </w:r>
    </w:p>
    <w:p w14:paraId="5D0EA7FF" w14:textId="77777777" w:rsidR="008867B5" w:rsidRDefault="00000000">
      <w:pPr>
        <w:pStyle w:val="Heading1"/>
        <w:keepNext/>
        <w:pageBreakBefore w:val="0"/>
        <w:spacing w:after="80" w:line="480" w:lineRule="auto"/>
      </w:pPr>
      <w:r>
        <w:rPr>
          <w:rFonts w:ascii="Times New Roman" w:hAnsi="Times New Roman"/>
          <w:color w:val="000000"/>
        </w:rPr>
        <w:t>IV. Proposed LA-CPPO routing architecture</w:t>
      </w:r>
    </w:p>
    <w:p w14:paraId="164FC778" w14:textId="77777777" w:rsidR="008867B5" w:rsidRDefault="00000000">
      <w:pPr>
        <w:pageBreakBefore w:val="0"/>
        <w:spacing w:after="80" w:line="480" w:lineRule="auto"/>
        <w:jc w:val="both"/>
      </w:pPr>
      <w:r>
        <w:rPr>
          <w:rFonts w:eastAsia="Times New Roman" w:ascii="Times New Roman" w:hAnsi="Times New Roman"/>
          <w:color w:val="000000"/>
          <w:sz w:val="19"/>
        </w:rPr>
        <w:t>LA-CPPO maps a packet context and a bounded set of neighboring candidates to a next-hop action. Figure 1 shows how the persistent network state, class-specific QoS debt and online forwarding-risk estimates enter that decision. Shared candidate encoders produce the actor logits, while a symmetric masked pool supplies the reward and cost critics. Packet outcomes update the observed state online; batches of completed episodes drive the policy, critic and multiplier updates during training.</w:t>
      </w:r>
    </w:p>
    <w:p w14:paraId="5D73556D" w14:textId="77777777" w:rsidR="008867B5" w:rsidRDefault="00000000">
      <w:pPr>
        <w:pStyle w:val="Heading2"/>
        <w:keepNext/>
        <w:pageBreakBefore w:val="0"/>
        <w:spacing w:after="80" w:line="480" w:lineRule="auto"/>
      </w:pPr>
      <w:r>
        <w:rPr>
          <w:rFonts w:ascii="Times New Roman" w:hAnsi="Times New Roman"/>
          <w:color w:val="000000"/>
        </w:rPr>
        <w:t>A. Packet context and candidate preselection</w:t>
      </w:r>
    </w:p>
    <w:p w14:paraId="2CA10E5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each forwarding decision </w:t>
      </w:r>
      <m:oMath>
        <m:r>
          <w:rPr>
            <w:rFonts w:ascii="Cambria Math" w:hAnsi="Cambria Math"/>
            <w:sz w:val="22"/>
          </w:rPr>
          <m:t>t</m:t>
        </m:r>
      </m:oMath>
      <w:r>
        <w:rPr>
          <w:rFonts w:eastAsia="Times New Roman" w:ascii="Times New Roman" w:hAnsi="Times New Roman"/>
          <w:color w:val="000000"/>
          <w:sz w:val="19"/>
        </w:rPr>
        <w:t xml:space="preserve">, we represent the observation by a context vector </w:t>
      </w:r>
      <m:oMath>
        <m:r>
          <w:rPr>
            <w:rFonts w:ascii="Cambria Math" w:hAnsi="Cambria Math"/>
            <w:sz w:val="22"/>
          </w:rPr>
          <m:t>x</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w:rPr>
                <w:rFonts w:ascii="Cambria Math" w:hAnsi="Cambria Math"/>
                <w:sz w:val="22"/>
              </w:rPr>
              <m:t>13</m:t>
            </m:r>
          </m:sup>
        </m:sSup>
      </m:oMath>
      <w:r>
        <w:rPr>
          <w:rFonts w:eastAsia="Times New Roman" w:ascii="Times New Roman" w:hAnsi="Times New Roman"/>
          <w:color w:val="000000"/>
          <w:sz w:val="19"/>
        </w:rPr>
        <w:t xml:space="preserve">, a candidate matrix </w:t>
      </w:r>
      <m:oMath>
        <m:r>
          <w:rPr>
            <w:rFonts w:ascii="Cambria Math" w:hAnsi="Cambria Math"/>
            <w:sz w:val="22"/>
          </w:rPr>
          <m:t>H</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m:rPr>
                <m:nor/>
              </m:rPr>
              <w:rPr>
                <w:rFonts w:ascii="Cambria Math" w:hAnsi="Cambria Math"/>
                <w:sz w:val="22"/>
              </w:rPr>
              <m:t>8 × 10</m:t>
            </m:r>
          </m:sup>
        </m:sSup>
      </m:oMath>
      <w:r>
        <w:rPr>
          <w:rFonts w:eastAsia="Times New Roman" w:ascii="Times New Roman" w:hAnsi="Times New Roman"/>
          <w:color w:val="000000"/>
          <w:sz w:val="19"/>
        </w:rPr>
        <w:t xml:space="preserve">, and an eight-slot binary mask </w:t>
      </w:r>
      <m:oMath>
        <m:r>
          <w:rPr>
            <w:rFonts w:ascii="Cambria Math" w:hAnsi="Cambria Math"/>
            <w:sz w:val="22"/>
          </w:rPr>
          <m:t>m</m:t>
        </m:r>
      </m:oMath>
      <w:r>
        <w:rPr>
          <w:rFonts w:eastAsia="Times New Roman" w:ascii="Times New Roman" w:hAnsi="Times New Roman"/>
          <w:color w:val="000000"/>
          <w:sz w:val="19"/>
        </w:rPr>
        <w:t>. The context records the current energy fraction and queue pressure, sink distance relative to the deployment diagonal, remaining slack relative to the class deadline, a three-class one-hot vector, and six transformed QoS debts. We serialize the context and candidates into 93 values for batching, while retaining their distinct mathematical roles.</w:t>
      </w:r>
    </w:p>
    <w:p w14:paraId="39AFEDFB" w14:textId="77777777" w:rsidR="008867B5" w:rsidRDefault="00000000">
      <w:pPr>
        <w:pageBreakBefore w:val="0"/>
        <w:spacing w:after="80" w:line="480" w:lineRule="auto"/>
        <w:jc w:val="both"/>
      </w:pPr>
      <w:r>
        <w:rPr>
          <w:rFonts w:eastAsia="Times New Roman" w:ascii="Times New Roman" w:hAnsi="Times New Roman"/>
          <w:color w:val="000000"/>
          <w:sz w:val="19"/>
        </w:rPr>
        <w:t>A candidate row records ten quantities: a sink indicator, residual-energy fraction, link PDR, normalized RSSI, queue pressure, normalized sink progress, mean posterior risk, risk-UCB, expected retries, and expected hop delay. We clip energy fractions and RSSI to [0, 1], with RSSI transformed as clip((RSSI + 110)/60, 0, 1). Sink progress is divided by the radio range and clipped to [−1, 1]. Expected retries use min(1/max(PDR, 10⁻³) − 1, 4)/4, and the delay feature is clip(expected hop delay/class deadline, 0, 2)/2. For a sink candidate, energy is one and queue/risk entries are zero. These transforms use fixed physical scales or ratios; their limits are not fitted through dataset-dependent min–max normalization.</w:t>
      </w:r>
    </w:p>
    <w:p w14:paraId="2D498FE0"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Preselection considers alive, reachable neighbors that have not yet been visited, adding the sink when it is reachable. Candidate </w:t>
      </w:r>
      <m:oMath>
        <m:r>
          <w:rPr>
            <w:rFonts w:ascii="Cambria Math" w:hAnsi="Cambria Math"/>
            <w:sz w:val="22"/>
          </w:rPr>
          <m:t>j</m:t>
        </m:r>
      </m:oMath>
      <w:r>
        <w:rPr>
          <w:rFonts w:eastAsia="Times New Roman" w:ascii="Times New Roman" w:hAnsi="Times New Roman"/>
          <w:color w:val="000000"/>
          <w:sz w:val="19"/>
        </w:rPr>
        <w:t xml:space="preserve"> is ranked using</w:t>
      </w:r>
    </w:p>
    <w:p w14:paraId="7A21481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t>s</m:t>
            </m:r>
          </m:e>
          <m:sub>
            <m:r>
              <m:t>j</m:t>
            </m:r>
          </m:sub>
        </m:sSub>
        <m:r>
          <m:rPr>
            <m:nor/>
          </m:rPr>
          <m:t xml:space="preserve"> = 1.25</m:t>
        </m:r>
        <m:sSub>
          <m:sSubPr>
            <m:ctrlPr/>
          </m:sSubPr>
          <m:e>
            <m:r>
              <m:t>p</m:t>
            </m:r>
          </m:e>
          <m:sub>
            <m:r>
              <m:t>j</m:t>
            </m:r>
          </m:sub>
        </m:sSub>
        <m:r>
          <m:rPr>
            <m:nor/>
          </m:rPr>
          <m:t xml:space="preserve"> + 0.75</m:t>
        </m:r>
        <m:sSub>
          <m:sSubPr>
            <m:ctrlPr/>
          </m:sSubPr>
          <m:e>
            <m:r>
              <m:rPr>
                <m:nor/>
              </m:rPr>
              <m:t>PDR</m:t>
            </m:r>
          </m:e>
          <m:sub>
            <m:r>
              <m:t>j</m:t>
            </m:r>
          </m:sub>
        </m:sSub>
        <m:r>
          <m:rPr>
            <m:nor/>
          </m:rPr>
          <m:t xml:space="preserve"> + 0.25</m:t>
        </m:r>
        <m:sSub>
          <m:sSubPr>
            <m:ctrlPr/>
          </m:sSubPr>
          <m:e>
            <m:r>
              <m:t>e</m:t>
            </m:r>
          </m:e>
          <m:sub>
            <m:r>
              <m:t>j</m:t>
            </m:r>
          </m:sub>
        </m:sSub>
        <m:r>
          <m:rPr>
            <m:nor/>
          </m:rPr>
          <m:t xml:space="preserve"> - 0.55</m:t>
        </m:r>
        <m:sSubSup>
          <m:sSubSupPr>
            <m:ctrlPr/>
          </m:sSubSupPr>
          <m:e>
            <m:r>
              <m:t>ρ</m:t>
            </m:r>
          </m:e>
          <m:sub>
            <m:r>
              <m:t>j</m:t>
            </m:r>
          </m:sub>
          <m:sup>
            <m:r>
              <m:rPr>
                <m:nor/>
              </m:rPr>
              <m:t>UCB</m:t>
            </m:r>
          </m:sup>
        </m:sSubSup>
        <m:r>
          <m:rPr>
            <m:nor/>
          </m:rPr>
          <m:t xml:space="preserve"> - 0.20</m:t>
        </m:r>
        <m:sSub>
          <m:sSubPr>
            <m:ctrlPr/>
          </m:sSubPr>
          <m:e>
            <m:r>
              <m:t>q</m:t>
            </m:r>
          </m:e>
          <m:sub>
            <m:r>
              <m:t>j</m:t>
            </m:r>
          </m:sub>
        </m:sSub>
        <m:r>
          <m:rPr>
            <m:nor/>
          </m:rPr>
          <m:t>.</m:t>
        </m:r>
      </m:oMath>
      <w:r>
        <w:rPr>
          <w:rFonts w:ascii="Times New Roman" w:hAnsi="Times New Roman"/>
          <w:color w:val="000000"/>
          <w:sz w:val="19"/>
        </w:rPr>
        <w:tab/>
      </w:r>
      <w:r>
        <w:rPr>
          <w:rFonts w:ascii="Times New Roman" w:eastAsia="Times New Roman" w:hAnsi="Times New Roman"/>
          <w:color w:val="000000"/>
          <w:sz w:val="19"/>
        </w:rPr>
        <w:t>(6)</w:t>
      </w:r>
    </w:p>
    <w:p w14:paraId="69D83BCD"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In this score, </w:t>
      </w:r>
      <m:oMath>
        <m:sSub>
          <m:sSubPr>
            <m:ctrlPr>
              <w:rPr>
                <w:rFonts w:ascii="Cambria Math" w:hAnsi="Cambria Math"/>
              </w:rPr>
            </m:ctrlPr>
          </m:sSubPr>
          <m:e>
            <m:r>
              <w:rPr>
                <w:rFonts w:ascii="Cambria Math" w:hAnsi="Cambria Math"/>
                <w:sz w:val="22"/>
              </w:rPr>
              <m:t>p</m:t>
            </m:r>
          </m:e>
          <m:sub>
            <m:r>
              <w:rPr>
                <w:rFonts w:ascii="Cambria Math" w:hAnsi="Cambria Math"/>
                <w:sz w:val="22"/>
              </w:rPr>
              <m:t>j</m:t>
            </m:r>
          </m:sub>
        </m:sSub>
      </m:oMath>
      <w:r>
        <w:rPr>
          <w:rFonts w:eastAsia="Times New Roman" w:ascii="Times New Roman" w:hAnsi="Times New Roman"/>
          <w:color w:val="000000"/>
          <w:sz w:val="19"/>
        </w:rPr>
        <w:t xml:space="preserve"> measures the reduction in sink distance divided by the radio range, </w:t>
      </w:r>
      <m:oMath>
        <m:sSub>
          <m:sSubPr>
            <m:ctrlPr>
              <w:rPr>
                <w:rFonts w:ascii="Cambria Math" w:hAnsi="Cambria Math"/>
              </w:rPr>
            </m:ctrlPr>
          </m:sSubPr>
          <m:e>
            <m:r>
              <w:rPr>
                <w:rFonts w:ascii="Cambria Math" w:hAnsi="Cambria Math"/>
                <w:sz w:val="22"/>
              </w:rPr>
              <m:t>e</m:t>
            </m:r>
          </m:e>
          <m:sub>
            <m:r>
              <w:rPr>
                <w:rFonts w:ascii="Cambria Math" w:hAnsi="Cambria Math"/>
                <w:sz w:val="22"/>
              </w:rPr>
              <m:t>j</m:t>
            </m:r>
          </m:sub>
        </m:sSub>
      </m:oMath>
      <w:r>
        <w:rPr>
          <w:rFonts w:eastAsia="Times New Roman" w:ascii="Times New Roman" w:hAnsi="Times New Roman"/>
          <w:color w:val="000000"/>
          <w:sz w:val="19"/>
        </w:rPr>
        <w:t xml:space="preserve"> is the residual-energy fraction, and </w:t>
      </w:r>
      <m:oMath>
        <m:sSub>
          <m:sSubPr>
            <m:ctrlPr>
              <w:rPr>
                <w:rFonts w:ascii="Cambria Math" w:hAnsi="Cambria Math"/>
              </w:rPr>
            </m:ctrlPr>
          </m:sSubPr>
          <m:e>
            <m:r>
              <w:rPr>
                <w:rFonts w:ascii="Cambria Math" w:hAnsi="Cambria Math"/>
                <w:sz w:val="22"/>
              </w:rPr>
              <m:t>q</m:t>
            </m:r>
          </m:e>
          <m:sub>
            <m:r>
              <w:rPr>
                <w:rFonts w:ascii="Cambria Math" w:hAnsi="Cambria Math"/>
                <w:sz w:val="22"/>
              </w:rPr>
              <m:t>j</m:t>
            </m:r>
          </m:sub>
        </m:sSub>
      </m:oMath>
      <w:r>
        <w:rPr>
          <w:rFonts w:eastAsia="Times New Roman" w:ascii="Times New Roman" w:hAnsi="Times New Roman"/>
          <w:color w:val="000000"/>
          <w:sz w:val="19"/>
        </w:rPr>
        <w:t xml:space="preserve"> is candidate queue pressure. We retain the eight highest-scoring candidates and zero-pad and mask any missing rows. The ranking determines which next-hop options are available; the actor makes the final choice. </w:t>
      </w:r>
      <w:r>
        <w:rPr>
          <w:rFonts w:eastAsia="Times New Roman" w:ascii="Times New Roman" w:hAnsi="Times New Roman"/>
          <w:color w:val="000000"/>
          <w:sz w:val="19"/>
        </w:rPr>
        <w:t>The mask excludes unavailable slots after physical and visited-node filtering. The environment enforces the 22-hop limit at termination, without an additional learned or security mask.</w:t>
      </w:r>
    </w:p>
    <w:p w14:paraId="277B1B63" w14:textId="77777777" w:rsidR="008867B5" w:rsidRDefault="00000000">
      <w:pPr>
        <w:pStyle w:val="Heading2"/>
        <w:keepNext/>
        <w:pageBreakBefore w:val="0"/>
        <w:spacing w:after="80" w:line="480" w:lineRule="auto"/>
      </w:pPr>
      <w:r>
        <w:rPr>
          <w:rFonts w:ascii="Times New Roman" w:hAnsi="Times New Roman"/>
          <w:color w:val="000000"/>
        </w:rPr>
        <w:t>B. Shared local-attention actor</w:t>
      </w:r>
    </w:p>
    <w:p w14:paraId="38D67EB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context encoder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oMath>
      <w:r>
        <w:rPr>
          <w:rFonts w:eastAsia="Times New Roman" w:ascii="Times New Roman" w:hAnsi="Times New Roman"/>
          <w:color w:val="000000"/>
          <w:sz w:val="19"/>
        </w:rPr>
        <w:t xml:space="preserve"> and shared candidate encoder </w:t>
      </w:r>
      <m:oMath>
        <m:sSub>
          <m:sSubPr>
            <m:ctrlPr>
              <w:rPr>
                <w:rFonts w:ascii="Cambria Math" w:hAnsi="Cambria Math"/>
              </w:rPr>
            </m:ctrlPr>
          </m:sSubPr>
          <m:e>
            <m:r>
              <w:rPr>
                <w:rFonts w:ascii="Cambria Math" w:hAnsi="Cambria Math"/>
                <w:sz w:val="22"/>
              </w:rPr>
              <m:t>f</m:t>
            </m:r>
          </m:e>
          <m:sub>
            <m:r>
              <w:rPr>
                <w:rFonts w:ascii="Cambria Math" w:hAnsi="Cambria Math"/>
                <w:sz w:val="22"/>
              </w:rPr>
              <m:t>h</m:t>
            </m:r>
          </m:sub>
        </m:sSub>
      </m:oMath>
      <w:r>
        <w:rPr>
          <w:rFonts w:eastAsia="Times New Roman" w:ascii="Times New Roman" w:hAnsi="Times New Roman"/>
          <w:color w:val="000000"/>
          <w:sz w:val="19"/>
        </w:rPr>
        <w:t xml:space="preserve"> each contain two affine layers with tanh activations and hidden width </w:t>
      </w:r>
      <m:oMath>
        <m:r>
          <w:rPr>
            <w:rFonts w:ascii="Cambria Math" w:hAnsi="Cambria Math"/>
            <w:sz w:val="22"/>
          </w:rPr>
          <m:t>d</m:t>
        </m:r>
      </m:oMath>
      <w:r>
        <w:rPr>
          <w:rFonts w:eastAsia="Times New Roman" w:ascii="Times New Roman" w:hAnsi="Times New Roman"/>
          <w:color w:val="000000"/>
          <w:sz w:val="19"/>
        </w:rPr>
        <w:t xml:space="preserve"> = 96. The context query and candidate keys use bias-free linear projections. A candidate-wise bias network has widths 96 → 48 → 1 with a tanh hidden activation. Candidate </w:t>
      </w:r>
      <m:oMath>
        <m:r>
          <w:rPr>
            <w:rFonts w:ascii="Cambria Math" w:hAnsi="Cambria Math"/>
            <w:sz w:val="22"/>
          </w:rPr>
          <m:t>j</m:t>
        </m:r>
      </m:oMath>
      <w:r>
        <w:rPr>
          <w:rFonts w:eastAsia="Times New Roman" w:ascii="Times New Roman" w:hAnsi="Times New Roman"/>
          <w:color w:val="000000"/>
          <w:sz w:val="19"/>
        </w:rPr>
        <w:t xml:space="preserve"> receives the unmasked logit</w:t>
      </w:r>
    </w:p>
    <w:p w14:paraId="17C896A4"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rPr>
                <m:scr m:val="script"/>
              </m:rPr>
              <m:t>l</m:t>
            </m:r>
          </m:e>
          <m:sub>
            <m:r>
              <m:t>j</m:t>
            </m:r>
          </m:sub>
        </m:sSub>
        <m:r>
          <m:rPr>
            <m:nor/>
          </m:rPr>
          <m:t xml:space="preserve"> = </m:t>
        </m:r>
        <m:f>
          <m:fPr>
            <m:ctrlPr/>
          </m:fPr>
          <m:num>
            <m:d>
              <m:dPr>
                <m:begChr m:val="⟨"/>
                <m:endChr m:val="⟩"/>
                <m:ctrlPr/>
              </m:dPr>
              <m:e>
                <m:sSub>
                  <m:sSubPr>
                    <m:ctrlPr/>
                  </m:sSubPr>
                  <m:e>
                    <m:r>
                      <m:t>W</m:t>
                    </m:r>
                  </m:e>
                  <m:sub>
                    <m:r>
                      <m:t>q</m:t>
                    </m:r>
                  </m:sub>
                </m:sSub>
                <m:sSub>
                  <m:sSubPr>
                    <m:ctrlPr/>
                  </m:sSubPr>
                  <m:e>
                    <m:r>
                      <m:t>f</m:t>
                    </m:r>
                  </m:e>
                  <m:sub>
                    <m:r>
                      <m:t>x</m:t>
                    </m:r>
                  </m:sub>
                </m:sSub>
                <m:r>
                  <m:rPr>
                    <m:nor/>
                  </m:rPr>
                  <m:t xml:space="preserve">(x), </m:t>
                </m:r>
                <m:sSub>
                  <m:sSubPr>
                    <m:ctrlPr/>
                  </m:sSubPr>
                  <m:e>
                    <m:r>
                      <m:t>W</m:t>
                    </m:r>
                  </m:e>
                  <m:sub>
                    <m:r>
                      <m:t>k</m:t>
                    </m:r>
                  </m:sub>
                </m:sSub>
                <m:sSub>
                  <m:sSubPr>
                    <m:ctrlPr/>
                  </m:sSubPr>
                  <m:e>
                    <m:r>
                      <m:t>f</m:t>
                    </m:r>
                  </m:e>
                  <m:sub>
                    <m:r>
                      <m:t>h</m:t>
                    </m:r>
                  </m:sub>
                </m:sSub>
                <m:d>
                  <m:dPr>
                    <m:ctrlPr/>
                  </m:dPr>
                  <m:e>
                    <m:sSub>
                      <m:sSubPr>
                        <m:ctrlPr/>
                      </m:sSubPr>
                      <m:e>
                        <m:r>
                          <m:t>h</m:t>
                        </m:r>
                      </m:e>
                      <m:sub>
                        <m:r>
                          <m:t>j</m:t>
                        </m:r>
                      </m:sub>
                    </m:sSub>
                  </m:e>
                </m:d>
              </m:e>
            </m:d>
          </m:num>
          <m:den>
            <m:rad>
              <m:radPr>
                <m:degHide m:val="1"/>
                <m:ctrlPr/>
              </m:radPr>
              <m:deg/>
              <m:e>
                <m:r>
                  <m:t>d</m:t>
                </m:r>
              </m:e>
            </m:rad>
          </m:den>
        </m:f>
        <m:r>
          <m:rPr>
            <m:nor/>
          </m:rPr>
          <m:t xml:space="preserve"> + </m:t>
        </m:r>
        <m:sSub>
          <m:sSubPr>
            <m:ctrlPr/>
          </m:sSubPr>
          <m:e>
            <m:r>
              <m:t>b</m:t>
            </m:r>
          </m:e>
          <m:sub>
            <m:r>
              <m:rPr>
                <m:nor/>
              </m:rPr>
              <m:t>act</m:t>
            </m:r>
          </m:sub>
        </m:sSub>
        <m:d>
          <m:dPr>
            <m:ctrlPr/>
          </m:dPr>
          <m:e>
            <m:sSub>
              <m:sSubPr>
                <m:ctrlPr/>
              </m:sSubPr>
              <m:e>
                <m:r>
                  <m:t>f</m:t>
                </m:r>
              </m:e>
              <m:sub>
                <m:r>
                  <m:t>h</m:t>
                </m:r>
              </m:sub>
            </m:sSub>
            <m:d>
              <m:dPr>
                <m:ctrlPr/>
              </m:dPr>
              <m:e>
                <m:sSub>
                  <m:sSubPr>
                    <m:ctrlPr/>
                  </m:sSubPr>
                  <m:e>
                    <m:r>
                      <m:t>h</m:t>
                    </m:r>
                  </m:e>
                  <m:sub>
                    <m:r>
                      <m:t>j</m:t>
                    </m:r>
                  </m:sub>
                </m:sSub>
              </m:e>
            </m:d>
          </m:e>
        </m:d>
        <m:r>
          <m:rPr>
            <m:nor/>
          </m:rPr>
          <m:t>.</m:t>
        </m:r>
      </m:oMath>
      <w:r>
        <w:rPr>
          <w:rFonts w:ascii="Times New Roman" w:hAnsi="Times New Roman"/>
          <w:color w:val="000000"/>
          <w:sz w:val="19"/>
        </w:rPr>
        <w:tab/>
      </w:r>
      <w:r>
        <w:rPr>
          <w:rFonts w:ascii="Times New Roman" w:eastAsia="Times New Roman" w:hAnsi="Times New Roman"/>
          <w:color w:val="000000"/>
          <w:sz w:val="19"/>
        </w:rPr>
        <w:t>(7)</w:t>
      </w:r>
    </w:p>
    <w:p w14:paraId="0547C8B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All rows share the same encoding, projection and bias parameters. Masked slots receive logit −10⁹ before softmax. During training, the action is sampled from this categorical distribution; evaluation chooses its argmax. The bias function </w:t>
      </w:r>
      <m:oMath>
        <m:sSub>
          <m:sSubPr>
            <m:ctrlPr>
              <w:rPr>
                <w:rFonts w:ascii="Cambria Math" w:hAnsi="Cambria Math"/>
              </w:rPr>
            </m:ctrlPr>
          </m:sSubPr>
          <m:e>
            <m:r>
              <w:rPr>
                <w:rFonts w:ascii="Cambria Math" w:hAnsi="Cambria Math"/>
                <w:sz w:val="22"/>
              </w:rPr>
              <m:t>b</m:t>
            </m:r>
          </m:e>
          <m:sub>
            <m:r>
              <m:rPr>
                <m:nor/>
              </m:rPr>
              <w:rPr>
                <w:rFonts w:ascii="Cambria Math" w:hAnsi="Cambria Math"/>
                <w:sz w:val="22"/>
              </w:rPr>
              <m:t>act</m:t>
            </m:r>
          </m:sub>
        </m:sSub>
      </m:oMath>
      <w:r>
        <w:rPr>
          <w:rFonts w:eastAsia="Times New Roman" w:ascii="Times New Roman" w:hAnsi="Times New Roman"/>
          <w:color w:val="000000"/>
          <w:sz w:val="19"/>
        </w:rPr>
        <w:t xml:space="preserve"> is distinct from the QoS budgets </w:t>
      </w:r>
      <m:oMath>
        <m:sSubSup>
          <m:sSubSupPr>
            <m:ctrlPr>
              <w:rPr>
                <w:rFonts w:ascii="Cambria Math" w:hAnsi="Cambria Math"/>
              </w:rPr>
            </m:ctrlPr>
          </m:sSubSupPr>
          <m:e>
            <m:r>
              <w:rPr>
                <w:rFonts w:ascii="Cambria Math" w:hAnsi="Cambria Math"/>
                <w:sz w:val="22"/>
              </w:rPr>
              <m:t>b</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No node identifier, cluster role, attack label or global topology embedding enters the actor.</w:t>
      </w:r>
    </w:p>
    <w:p w14:paraId="2DEC556C" w14:textId="77777777" w:rsidR="008867B5" w:rsidRDefault="00000000">
      <w:pPr>
        <w:pStyle w:val="Heading2"/>
        <w:keepNext/>
        <w:pageBreakBefore w:val="0"/>
        <w:spacing w:after="80" w:line="480" w:lineRule="auto"/>
      </w:pPr>
      <w:r>
        <w:rPr>
          <w:rFonts w:ascii="Times New Roman" w:hAnsi="Times New Roman"/>
          <w:color w:val="000000"/>
        </w:rPr>
        <w:t>C. Invariant critics and representation properties</w:t>
      </w:r>
    </w:p>
    <w:p w14:paraId="5E95DF8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critics use the masked mean </w:t>
      </w:r>
      <m:oMath>
        <m:r>
          <w:rPr>
            <w:rFonts w:ascii="Cambria Math" w:hAnsi="Cambria Math"/>
            <w:sz w:val="22"/>
          </w:rPr>
          <m:t>g</m:t>
        </m:r>
      </m:oMath>
      <w:r>
        <w:rPr>
          <w:rFonts w:eastAsia="Times New Roman" w:ascii="Times New Roman" w:hAnsi="Times New Roman"/>
          <w:color w:val="000000"/>
          <w:sz w:val="19"/>
        </w:rPr>
        <w:t xml:space="preserve"> of the encoded candidate rows:</w:t>
      </w:r>
    </w:p>
    <w:p w14:paraId="36AC5ECF"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r>
          <m:t>g</m:t>
        </m:r>
        <m:r>
          <m:rPr>
            <m:nor/>
          </m:rPr>
          <m:t xml:space="preserve">(H, m) = </m:t>
        </m:r>
        <m:f>
          <m:fPr>
            <m:ctrlPr/>
          </m:fPr>
          <m:num>
            <m:nary>
              <m:naryPr>
                <m:chr m:val="∑"/>
                <m:limLoc m:val="subSup"/>
                <m:ctrlPr/>
              </m:naryPr>
              <m:sub>
                <m:r>
                  <m:rPr>
                    <m:nor/>
                  </m:rPr>
                  <m:t>j = 1</m:t>
                </m:r>
              </m:sub>
              <m:sup>
                <m:r>
                  <m:t>K</m:t>
                </m:r>
              </m:sup>
              <m:e>
                <m:sSub>
                  <m:sSubPr>
                    <m:ctrlPr/>
                  </m:sSubPr>
                  <m:e>
                    <m:r>
                      <m:t>m</m:t>
                    </m:r>
                  </m:e>
                  <m:sub>
                    <m:r>
                      <m:t>j</m:t>
                    </m:r>
                  </m:sub>
                </m:sSub>
                <m:sSub>
                  <m:sSubPr>
                    <m:ctrlPr/>
                  </m:sSubPr>
                  <m:e>
                    <m:r>
                      <m:t>f</m:t>
                    </m:r>
                  </m:e>
                  <m:sub>
                    <m:r>
                      <m:t>h</m:t>
                    </m:r>
                  </m:sub>
                </m:sSub>
                <m:d>
                  <m:dPr>
                    <m:ctrlPr/>
                  </m:dPr>
                  <m:e>
                    <m:sSub>
                      <m:sSubPr>
                        <m:ctrlPr/>
                      </m:sSubPr>
                      <m:e>
                        <m:r>
                          <m:t>h</m:t>
                        </m:r>
                      </m:e>
                      <m:sub>
                        <m:r>
                          <m:t>j</m:t>
                        </m:r>
                      </m:sub>
                    </m:sSub>
                  </m:e>
                </m:d>
              </m:e>
            </m:nary>
          </m:num>
          <m:den>
            <m:r>
              <m:rPr>
                <m:nor/>
              </m:rPr>
              <m:t>max</m:t>
            </m:r>
            <m:d>
              <m:dPr>
                <m:ctrlPr/>
              </m:dPr>
              <m:e>
                <m:r>
                  <m:rPr>
                    <m:nor/>
                  </m:rPr>
                  <m:t xml:space="preserve">1, </m:t>
                </m:r>
                <m:nary>
                  <m:naryPr>
                    <m:chr m:val="∑"/>
                    <m:limLoc m:val="subSup"/>
                    <m:ctrlPr/>
                  </m:naryPr>
                  <m:sub>
                    <m:r>
                      <m:rPr>
                        <m:nor/>
                      </m:rPr>
                      <m:t>j = 1</m:t>
                    </m:r>
                  </m:sub>
                  <m:sup>
                    <m:r>
                      <m:t>K</m:t>
                    </m:r>
                  </m:sup>
                  <m:e>
                    <m:sSub>
                      <m:sSubPr>
                        <m:ctrlPr/>
                      </m:sSubPr>
                      <m:e>
                        <m:r>
                          <m:t>m</m:t>
                        </m:r>
                      </m:e>
                      <m:sub>
                        <m:r>
                          <m:t>j</m:t>
                        </m:r>
                      </m:sub>
                    </m:sSub>
                  </m:e>
                </m:nary>
              </m:e>
            </m:d>
          </m:den>
        </m:f>
        <m:r>
          <m:rPr>
            <m:nor/>
          </m:rPr>
          <m:t>.</m:t>
        </m:r>
      </m:oMath>
    </w:p>
    <w:p w14:paraId="0DBE0A36"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We concatenate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r>
          <m:rPr>
            <m:nor/>
          </m:rPr>
          <w:rPr>
            <w:rFonts w:ascii="Cambria Math" w:hAnsi="Cambria Math"/>
            <w:sz w:val="22"/>
          </w:rPr>
          <m:t>(x)</m:t>
        </m:r>
      </m:oMath>
      <w:r>
        <w:rPr>
          <w:rFonts w:eastAsia="Times New Roman" w:ascii="Times New Roman" w:hAnsi="Times New Roman"/>
          <w:color w:val="000000"/>
          <w:sz w:val="19"/>
        </w:rPr>
        <w:t xml:space="preserve"> with </w:t>
      </w:r>
      <m:oMath>
        <m:r>
          <w:rPr>
            <w:rFonts w:ascii="Cambria Math" w:hAnsi="Cambria Math"/>
            <w:sz w:val="22"/>
          </w:rPr>
          <m:t>g</m:t>
        </m:r>
      </m:oMath>
      <w:r>
        <w:rPr>
          <w:rFonts w:eastAsia="Times New Roman" w:ascii="Times New Roman" w:hAnsi="Times New Roman"/>
          <w:color w:val="000000"/>
          <w:sz w:val="19"/>
        </w:rPr>
        <w:t xml:space="preserve"> to form a 192-dimensional input to the critic’s 96-unit tanh layer. Separate linear heads produce one reward value and six cost values. Applying the same permutation matrix </w:t>
      </w:r>
      <m:oMath>
        <m:r>
          <w:rPr>
            <w:rFonts w:ascii="Cambria Math" w:hAnsi="Cambria Math"/>
            <w:sz w:val="22"/>
          </w:rPr>
          <m:t>P</m:t>
        </m:r>
      </m:oMath>
      <w:r>
        <w:rPr>
          <w:rFonts w:eastAsia="Times New Roman" w:ascii="Times New Roman" w:hAnsi="Times New Roman"/>
          <w:color w:val="000000"/>
          <w:sz w:val="19"/>
        </w:rPr>
        <w:t xml:space="preserve"> to the candidate rows and mask gives the following identities through shared row operations and symmetric pooling:</w:t>
      </w:r>
    </w:p>
    <w:p w14:paraId="4E9A7961"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r>
              <m:t>L</m:t>
            </m:r>
            <m:r>
              <m:rPr>
                <m:nor/>
              </m:rPr>
              <m:t>(x, PH, Pm) = P</m:t>
            </m:r>
            <m:r>
              <m:t>L</m:t>
            </m:r>
            <m:r>
              <m:rPr>
                <m:nor/>
              </m:rPr>
              <m:t>(x, H, m),</m:t>
            </m:r>
          </m:e>
          <m:e>
            <m:r>
              <m:t>V</m:t>
            </m:r>
            <m:r>
              <m:rPr>
                <m:nor/>
              </m:rPr>
              <m:t xml:space="preserve">(x, PH, Pm) = </m:t>
            </m:r>
            <m:r>
              <m:t>V</m:t>
            </m:r>
            <m:r>
              <m:rPr>
                <m:nor/>
              </m:rPr>
              <m:t>(x, H, m).</m:t>
            </m:r>
          </m:e>
        </m:eqArr>
      </m:oMath>
    </w:p>
    <w:p w14:paraId="172F6E2F" w14:textId="77777777" w:rsidR="008867B5" w:rsidRDefault="00000000">
      <w:pPr>
        <w:pageBreakBefore w:val="0"/>
        <w:spacing w:after="80" w:line="480" w:lineRule="auto"/>
        <w:jc w:val="both"/>
      </w:pPr>
      <w:r>
        <w:rPr>
          <w:rFonts w:eastAsia="Times New Roman" w:ascii="Times New Roman" w:hAnsi="Times New Roman"/>
          <w:color w:val="000000"/>
          <w:sz w:val="19"/>
        </w:rPr>
        <w:t>Reordering the selected candidates therefore reorders the logits and masked action probabilities in the same way. The reward value and all six cost values remain unchanged. These identities apply after the candidate set has been selected. Ties can still affect node choice: deterministic argmax tie-breaking and selection at the top-K boundary need not preserve the chosen node after reordering. The representation property alone establishes neither network-size transfer nor superiority at equal capacity [26, 27]. Encoding and scoring grow linearly with K at fixed hidden width; the model does not use all-pairs candidate self-attention.</w:t>
      </w:r>
    </w:p>
    <w:p w14:paraId="11A2C2CA" w14:textId="77777777" w:rsidR="008867B5" w:rsidRDefault="00000000">
      <w:pPr>
        <w:pStyle w:val="Heading2"/>
        <w:keepNext/>
        <w:pageBreakBefore w:val="0"/>
        <w:spacing w:after="80" w:line="480" w:lineRule="auto"/>
      </w:pPr>
      <w:r>
        <w:rPr>
          <w:rFonts w:ascii="Times New Roman" w:hAnsi="Times New Roman"/>
          <w:color w:val="000000"/>
        </w:rPr>
        <w:t>D. Hop reward and terminal-event handling</w:t>
      </w:r>
    </w:p>
    <w:p w14:paraId="2C177E5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Once an attempted hop passes action validation, </w:t>
      </w:r>
      <m:oMath>
        <m:sSub>
          <m:sSubPr>
            <m:ctrlPr>
              <w:rPr>
                <w:rFonts w:ascii="Cambria Math" w:hAnsi="Cambria Math"/>
              </w:rPr>
            </m:ctrlPr>
          </m:sSubPr>
          <m:e>
            <m:r>
              <w:rPr>
                <w:rFonts w:ascii="Cambria Math" w:hAnsi="Cambria Math"/>
                <w:sz w:val="22"/>
              </w:rPr>
              <m:t>Δd</m:t>
            </m:r>
          </m:e>
          <m:sub>
            <m:r>
              <w:rPr>
                <w:rFonts w:ascii="Cambria Math" w:hAnsi="Cambria Math"/>
                <w:sz w:val="22"/>
              </w:rPr>
              <m:t>t</m:t>
            </m:r>
          </m:sub>
        </m:sSub>
      </m:oMath>
      <w:r>
        <w:rPr>
          <w:rFonts w:eastAsia="Times New Roman" w:ascii="Times New Roman" w:hAnsi="Times New Roman"/>
          <w:color w:val="000000"/>
          <w:sz w:val="19"/>
        </w:rPr>
        <w:t xml:space="preserve"> denotes progress toward the sink in metres, </w:t>
      </w:r>
      <m:oMath>
        <m:r>
          <w:rPr>
            <w:rFonts w:ascii="Cambria Math" w:hAnsi="Cambria Math"/>
            <w:sz w:val="22"/>
          </w:rPr>
          <m:t>R</m:t>
        </m:r>
      </m:oMath>
      <w:r>
        <w:rPr>
          <w:rFonts w:eastAsia="Times New Roman" w:ascii="Times New Roman" w:hAnsi="Times New Roman"/>
          <w:color w:val="000000"/>
          <w:sz w:val="19"/>
        </w:rPr>
        <w:t xml:space="preserve"> = 50 m is the radio range, </w:t>
      </w:r>
      <m:oMath>
        <m:sSub>
          <m:sSubPr>
            <m:ctrlPr>
              <w:rPr>
                <w:rFonts w:ascii="Cambria Math" w:hAnsi="Cambria Math"/>
              </w:rPr>
            </m:ctrlPr>
          </m:sSubPr>
          <m:e>
            <m:r>
              <w:rPr>
                <w:rFonts w:ascii="Cambria Math" w:hAnsi="Cambria Math"/>
                <w:sz w:val="22"/>
              </w:rPr>
              <m:t>n</m:t>
            </m:r>
          </m:e>
          <m:sub>
            <m:r>
              <w:rPr>
                <w:rFonts w:ascii="Cambria Math" w:hAnsi="Cambria Math"/>
                <w:sz w:val="22"/>
              </w:rPr>
              <m:t>t</m:t>
            </m:r>
          </m:sub>
        </m:sSub>
      </m:oMath>
      <w:r>
        <w:rPr>
          <w:rFonts w:eastAsia="Times New Roman" w:ascii="Times New Roman" w:hAnsi="Times New Roman"/>
          <w:color w:val="000000"/>
          <w:sz w:val="19"/>
        </w:rPr>
        <w:t xml:space="preserve"> is the number of transmission attempts, and </w:t>
      </w:r>
      <m:oMath>
        <m:sSub>
          <m:sSubPr>
            <m:ctrlPr>
              <w:rPr>
                <w:rFonts w:ascii="Cambria Math" w:hAnsi="Cambria Math"/>
              </w:rPr>
            </m:ctrlPr>
          </m:sSubPr>
          <m:e>
            <m:r>
              <w:rPr>
                <w:rFonts w:ascii="Cambria Math" w:hAnsi="Cambria Math"/>
                <w:sz w:val="22"/>
              </w:rPr>
              <m:t>d</m:t>
            </m:r>
          </m:e>
          <m:sub>
            <m:r>
              <w:rPr>
                <w:rFonts w:ascii="Cambria Math" w:hAnsi="Cambria Math"/>
                <w:sz w:val="22"/>
              </w:rPr>
              <m:t>t</m:t>
            </m:r>
          </m:sub>
        </m:sSub>
      </m:oMath>
      <w:r>
        <w:rPr>
          <w:rFonts w:eastAsia="Times New Roman" w:ascii="Times New Roman" w:hAnsi="Times New Roman"/>
          <w:color w:val="000000"/>
          <w:sz w:val="19"/>
        </w:rPr>
        <w:t xml:space="preserve"> is the hop distance. The base reward is</w:t>
      </w:r>
    </w:p>
    <w:p w14:paraId="1C55FFCF"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r</m:t>
                </m:r>
              </m:e>
              <m:sub>
                <m:r>
                  <m:t>t</m:t>
                </m:r>
              </m:sub>
              <m:sup>
                <m:r>
                  <m:rPr>
                    <m:nor/>
                  </m:rPr>
                  <m:t>hop</m:t>
                </m:r>
              </m:sup>
            </m:sSubSup>
            <m:r>
              <m:rPr>
                <m:nor/>
              </m:rPr>
              <m:t xml:space="preserve"> = 0.90 clip</m:t>
            </m:r>
            <m:d>
              <m:dPr>
                <m:ctrlPr/>
              </m:dPr>
              <m:e>
                <m:f>
                  <m:fPr>
                    <m:ctrlPr/>
                  </m:fPr>
                  <m:num>
                    <m:sSub>
                      <m:sSubPr>
                        <m:ctrlPr/>
                      </m:sSubPr>
                      <m:e>
                        <m:r>
                          <m:t>Δd</m:t>
                        </m:r>
                      </m:e>
                      <m:sub>
                        <m:r>
                          <m:t>t</m:t>
                        </m:r>
                      </m:sub>
                    </m:sSub>
                  </m:num>
                  <m:den>
                    <m:r>
                      <m:t>R</m:t>
                    </m:r>
                  </m:den>
                </m:f>
                <m:r>
                  <m:rPr>
                    <m:nor/>
                  </m:rPr>
                  <m:t>, -1, 1</m:t>
                </m:r>
              </m:e>
            </m:d>
            <m:r>
              <m:rPr>
                <m:nor/>
              </m:rPr>
              <m:t xml:space="preserve"> - 0.20</m:t>
            </m:r>
            <m:sSub>
              <m:sSubPr>
                <m:ctrlPr/>
              </m:sSubPr>
              <m:e>
                <m:r>
                  <m:t>q</m:t>
                </m:r>
              </m:e>
              <m:sub>
                <m:r>
                  <m:t>t</m:t>
                </m:r>
              </m:sub>
            </m:sSub>
            <m:r>
              <m:rPr>
                <m:nor/>
              </m:rPr>
              <m:t xml:space="preserve"> - 0.35</m:t>
            </m:r>
            <m:f>
              <m:fPr>
                <m:ctrlPr/>
              </m:fPr>
              <m:num>
                <m:sSub>
                  <m:sSubPr>
                    <m:ctrlPr/>
                  </m:sSubPr>
                  <m:e>
                    <m:r>
                      <m:t>n</m:t>
                    </m:r>
                  </m:e>
                  <m:sub>
                    <m:r>
                      <m:t>t</m:t>
                    </m:r>
                  </m:sub>
                </m:sSub>
                <m:sSub>
                  <m:sSubPr>
                    <m:ctrlPr/>
                  </m:sSubPr>
                  <m:e>
                    <m:r>
                      <m:t>E</m:t>
                    </m:r>
                  </m:e>
                  <m:sub>
                    <m:r>
                      <m:rPr>
                        <m:nor/>
                      </m:rPr>
                      <m:t>tx</m:t>
                    </m:r>
                  </m:sub>
                </m:sSub>
                <m:d>
                  <m:dPr>
                    <m:ctrlPr/>
                  </m:dPr>
                  <m:e>
                    <m:sSub>
                      <m:sSubPr>
                        <m:ctrlPr/>
                      </m:sSubPr>
                      <m:e>
                        <m:r>
                          <m:t>d</m:t>
                        </m:r>
                      </m:e>
                      <m:sub>
                        <m:r>
                          <m:t>t</m:t>
                        </m:r>
                      </m:sub>
                    </m:sSub>
                  </m:e>
                </m:d>
              </m:num>
              <m:den>
                <m:sSub>
                  <m:sSubPr>
                    <m:ctrlPr/>
                  </m:sSubPr>
                  <m:e>
                    <m:r>
                      <m:t>E</m:t>
                    </m:r>
                  </m:e>
                  <m:sub>
                    <m:r>
                      <m:t>0</m:t>
                    </m:r>
                  </m:sub>
                </m:sSub>
              </m:den>
            </m:f>
          </m:e>
          <m:e>
            <m:r>
              <m:rPr>
                <m:nor/>
              </m:rPr>
              <m:t xml:space="preserve">- 0.45 </m:t>
            </m:r>
            <m:sSub>
              <m:sSubPr>
                <m:ctrlPr/>
              </m:sSubPr>
              <m:e>
                <m:r>
                  <m:rPr>
                    <m:nor/>
                  </m:rPr>
                  <m:t>1</m:t>
                </m:r>
              </m:e>
              <m:sub>
                <m:d>
                  <m:dPr>
                    <m:begChr m:val="{"/>
                    <m:endChr m:val="}"/>
                    <m:ctrlPr/>
                  </m:dPr>
                  <m:e>
                    <m:sSub>
                      <m:sSubPr>
                        <m:ctrlPr/>
                      </m:sSubPr>
                      <m:e>
                        <m:r>
                          <m:t>a</m:t>
                        </m:r>
                      </m:e>
                      <m:sub>
                        <m:r>
                          <m:t>t</m:t>
                        </m:r>
                      </m:sub>
                    </m:sSub>
                    <m:r>
                      <m:rPr>
                        <m:nor/>
                      </m:rPr>
                      <m:t xml:space="preserve"> ≠ sink</m:t>
                    </m:r>
                  </m:e>
                </m:d>
              </m:sub>
            </m:sSub>
            <m:sSubSup>
              <m:sSubSupPr>
                <m:ctrlPr/>
              </m:sSubSupPr>
              <m:e>
                <m:r>
                  <m:t>ρ</m:t>
                </m:r>
              </m:e>
              <m:sub>
                <m:sSub>
                  <m:sSubPr>
                    <m:ctrlPr/>
                  </m:sSubPr>
                  <m:e>
                    <m:r>
                      <m:t>a</m:t>
                    </m:r>
                  </m:e>
                  <m:sub>
                    <m:r>
                      <m:t>t</m:t>
                    </m:r>
                  </m:sub>
                </m:sSub>
              </m:sub>
              <m:sup>
                <m:r>
                  <m:rPr>
                    <m:nor/>
                  </m:rPr>
                  <m:t>UCB</m:t>
                </m:r>
              </m:sup>
            </m:sSubSup>
            <m:r>
              <m:rPr>
                <m:nor/>
              </m:rPr>
              <m:t xml:space="preserve"> - 0.04 max</m:t>
            </m:r>
            <m:d>
              <m:dPr>
                <m:ctrlPr/>
              </m:dPr>
              <m:e>
                <m:sSub>
                  <m:sSubPr>
                    <m:ctrlPr/>
                  </m:sSubPr>
                  <m:e>
                    <m:r>
                      <m:t>n</m:t>
                    </m:r>
                  </m:e>
                  <m:sub>
                    <m:r>
                      <m:t>t</m:t>
                    </m:r>
                  </m:sub>
                </m:sSub>
                <m:r>
                  <m:rPr>
                    <m:nor/>
                  </m:rPr>
                  <m:t xml:space="preserve"> - 1, 0</m:t>
                </m:r>
              </m:e>
            </m:d>
            <m:r>
              <m:rPr>
                <m:nor/>
              </m:rPr>
              <m:t>.</m:t>
            </m:r>
          </m:e>
        </m:eqArr>
      </m:oMath>
      <w:r>
        <w:rPr>
          <w:rFonts w:ascii="Times New Roman" w:hAnsi="Times New Roman"/>
          <w:color w:val="000000"/>
          <w:sz w:val="19"/>
        </w:rPr>
        <w:tab/>
      </w:r>
      <w:r>
        <w:rPr>
          <w:rFonts w:ascii="Times New Roman" w:eastAsia="Times New Roman" w:hAnsi="Times New Roman"/>
          <w:color w:val="000000"/>
          <w:sz w:val="19"/>
        </w:rPr>
        <w:t>(8)</w:t>
      </w:r>
    </w:p>
    <w:p w14:paraId="2A4370E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selected target is </w:t>
      </w:r>
      <m:oMath>
        <m:sSub>
          <m:sSubPr>
            <m:ctrlPr>
              <w:rPr>
                <w:rFonts w:ascii="Cambria Math" w:hAnsi="Cambria Math"/>
              </w:rPr>
            </m:ctrlPr>
          </m:sSubPr>
          <m:e>
            <m:r>
              <w:rPr>
                <w:rFonts w:ascii="Cambria Math" w:hAnsi="Cambria Math"/>
                <w:sz w:val="22"/>
              </w:rPr>
              <m:t>a</m:t>
            </m:r>
          </m:e>
          <m:sub>
            <m:r>
              <w:rPr>
                <w:rFonts w:ascii="Cambria Math" w:hAnsi="Cambria Math"/>
                <w:sz w:val="22"/>
              </w:rPr>
              <m:t>t</m:t>
            </m:r>
          </m:sub>
        </m:sSub>
      </m:oMath>
      <w:r>
        <w:rPr>
          <w:rFonts w:eastAsia="Times New Roman" w:ascii="Times New Roman" w:hAnsi="Times New Roman"/>
          <w:color w:val="000000"/>
          <w:sz w:val="19"/>
        </w:rPr>
        <w:t xml:space="preserve">, the transmitting node’s queue pressure is </w:t>
      </w:r>
      <m:oMath>
        <m:sSub>
          <m:sSubPr>
            <m:ctrlPr>
              <w:rPr>
                <w:rFonts w:ascii="Cambria Math" w:hAnsi="Cambria Math"/>
              </w:rPr>
            </m:ctrlPr>
          </m:sSubPr>
          <m:e>
            <m:r>
              <w:rPr>
                <w:rFonts w:ascii="Cambria Math" w:hAnsi="Cambria Math"/>
                <w:sz w:val="22"/>
              </w:rPr>
              <m:t>q</m:t>
            </m:r>
          </m:e>
          <m:sub>
            <m:r>
              <w:rPr>
                <w:rFonts w:ascii="Cambria Math" w:hAnsi="Cambria Math"/>
                <w:sz w:val="22"/>
              </w:rPr>
              <m:t>t</m:t>
            </m:r>
          </m:sub>
        </m:sSub>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E</m:t>
            </m:r>
          </m:e>
          <m:sub>
            <m:r>
              <w:rPr>
                <w:rFonts w:ascii="Cambria Math" w:hAnsi="Cambria Math"/>
                <w:sz w:val="22"/>
              </w:rPr>
              <m:t>0</m:t>
            </m:r>
          </m:sub>
        </m:sSub>
      </m:oMath>
      <w:r>
        <w:rPr>
          <w:rFonts w:eastAsia="Times New Roman" w:ascii="Times New Roman" w:hAnsi="Times New Roman"/>
          <w:color w:val="000000"/>
          <w:sz w:val="19"/>
        </w:rPr>
        <w:t xml:space="preserve"> = 0.5 J. The term </w:t>
      </w:r>
      <m:oMath>
        <m:sSub>
          <m:sSubPr>
            <m:ctrlPr>
              <w:rPr>
                <w:rFonts w:ascii="Cambria Math" w:hAnsi="Cambria Math"/>
              </w:rPr>
            </m:ctrlPr>
          </m:sSubPr>
          <m:e>
            <m:r>
              <m:rPr>
                <m:nor/>
              </m:rPr>
              <w:rPr>
                <w:rFonts w:ascii="Cambria Math" w:hAnsi="Cambria Math"/>
                <w:sz w:val="22"/>
              </w:rPr>
              <m:t>E</m:t>
            </m:r>
          </m:e>
          <m:sub>
            <m:r>
              <m:rPr>
                <m:nor/>
              </m:rPr>
              <w:rPr>
                <w:rFonts w:ascii="Cambria Math" w:hAnsi="Cambria Math"/>
                <w:sz w:val="22"/>
              </w:rPr>
              <m:t>tx</m:t>
            </m:r>
          </m:sub>
        </m:sSub>
        <m:d>
          <m:dPr>
            <m:ctrlPr>
              <w:rPr>
                <w:rFonts w:ascii="Cambria Math" w:hAnsi="Cambria Math"/>
              </w:rPr>
            </m:ctrlPr>
          </m:dPr>
          <m:e>
            <m:sSub>
              <m:sSubPr>
                <m:ctrlPr>
                  <w:rPr>
                    <w:rFonts w:ascii="Cambria Math" w:hAnsi="Cambria Math"/>
                  </w:rPr>
                </m:ctrlPr>
              </m:sSubPr>
              <m:e>
                <m:r>
                  <w:rPr>
                    <w:rFonts w:ascii="Cambria Math" w:hAnsi="Cambria Math"/>
                    <w:sz w:val="22"/>
                  </w:rPr>
                  <m:t>d</m:t>
                </m:r>
              </m:e>
              <m:sub>
                <m:r>
                  <w:rPr>
                    <w:rFonts w:ascii="Cambria Math" w:hAnsi="Cambria Math"/>
                    <w:sz w:val="22"/>
                  </w:rPr>
                  <m:t>t</m:t>
                </m:r>
              </m:sub>
            </m:sSub>
          </m:e>
        </m:d>
      </m:oMath>
      <w:r>
        <w:rPr>
          <w:rFonts w:eastAsia="Times New Roman" w:ascii="Times New Roman" w:hAnsi="Times New Roman"/>
          <w:color w:val="000000"/>
          <w:sz w:val="19"/>
        </w:rPr>
        <w:t xml:space="preserve"> gives the transmit energy for one packet attempt. Equation (8) charges the transmitter’s attempts; the simulator tracks receiver energy separately. The indicator omits the candidate-risk penalty on sink-directed hops. Sink risk is zero, so no sensor-risk lookup is needed for the sink.</w:t>
      </w:r>
    </w:p>
    <w:p w14:paraId="784E48EB" w14:textId="77777777" w:rsidR="008867B5" w:rsidRDefault="00000000">
      <w:pPr>
        <w:pageBreakBefore w:val="0"/>
        <w:spacing w:after="80" w:line="480" w:lineRule="auto"/>
        <w:jc w:val="both"/>
      </w:pPr>
      <w:r>
        <w:rPr>
          <w:rFonts w:eastAsia="Times New Roman" w:ascii="Times New Roman" w:hAnsi="Times New Roman"/>
          <w:color w:val="000000"/>
          <w:sz w:val="19"/>
        </w:rPr>
        <w:t>Before an attempted hop, the environment checks the selected slot and its range. An invalid, empty, or out-of-range action ends the episode with reward −3.0. For other actions, Eq. (8) applies even if forwarding fails. Failed forwarding adds −2.0. Successful delivery to the sink adds +2.5, with a deduction of 0.8 for late delivery. After a successful relay hop, a loop, the hop limit, or a dead end adds −2.0 and ends the episode. Continuing hops receive no terminal increment. The active class’s delay/loss costs and QoS debts update at packet termination, whereas forwarding-risk evidence updates after every attempted hop. We fixed all coefficients before observing the confirmatory outcomes.</w:t>
      </w:r>
    </w:p>
    <w:p w14:paraId="6E504FC3" w14:textId="77777777" w:rsidR="008867B5" w:rsidRDefault="00000000">
      <w:pPr>
        <w:pageBreakBefore w:val="0"/>
        <w:spacing w:after="80" w:line="480" w:lineRule="auto"/>
        <w:jc w:val="both"/>
      </w:pPr>
      <w:r>
        <w:rPr>
          <w:rFonts w:ascii="Times New Roman" w:hAnsi="Times New Roman"/>
          <w:color w:val="000000"/>
          <w:sz w:val="19"/>
        </w:rPr>
        <w:t>Algorithm 1 summarizes a forwarding decision and the resulting transition.</w:t>
      </w:r>
    </w:p>
    <w:tbl>
      <w:tblPr>
        <w:tblW w:w="9071" w:type="dxa"/>
        <w:tblLayout w:type="fixed"/>
        <w:tblCellMar>
          <w:top w:w="60" w:type="dxa"/>
          <w:left w:w="0" w:type="dxa"/>
          <w:bottom w:w="60" w:type="dxa"/>
          <w:right w:w="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9071"/>
      </w:tblGrid>
      <w:tr w:rsidR="008867B5" w14:paraId="1322D771" w14:textId="77777777">
        <w:trPr>
          <w:cantSplit/>
          <w:tblHeader/>
          <w:cantSplit/>
        </w:trPr>
        <w:tc>
          <w:tcPr>
            <w:tcW w:w="9071" w:type="dxa"/>
          </w:tcPr>
          <w:p>
            <w:pPr>
              <w:spacing w:line="240" w:lineRule="auto"/>
            </w:pPr>
            <w:r>
              <w:rPr>
                <w:rFonts w:ascii="Times New Roman" w:hAnsi="Times New Roman"/>
                <w:b/>
                <w:color w:val="000000"/>
                <w:sz w:val="16"/>
              </w:rPr>
              <w:t>Algorithm 1. One LA-CPPO forwarding decision</w:t>
            </w:r>
          </w:p>
        </w:tc>
      </w:tr>
      <w:tr w:rsidR="008867B5" w14:paraId="766C5452" w14:textId="77777777">
        <w:trPr>
          <w:cantSplit/>
          <w:cantSplit/>
        </w:trPr>
        <w:tc>
          <w:tcPr>
            <w:tcW w:w="9071" w:type="dxa"/>
          </w:tcPr>
          <w:p w14:paraId="3AAFB68F"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Node i, class c, visited set S, policy θ, persistent network and QoS state.</w:t>
            </w:r>
          </w:p>
          <w:p w14:paraId="01FB61BF"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Next-hop transition (o, a, r, C, o′, done).</w:t>
            </w:r>
          </w:p>
          <w:p w14:paraId="23E18F0A" w14:textId="77777777" w:rsidR="008867B5" w:rsidRDefault="00000000">
            <w:pPr>
              <w:keepNext/>
              <w:keepLines/>
              <w:tabs>
                <w:tab w:val="left" w:pos="600"/>
              </w:tabs>
              <w:spacing w:after="50" w:line="240" w:lineRule="auto"/>
            </w:pPr>
            <w:r>
              <w:rPr>
                <w:rFonts w:ascii="Times New Roman" w:hAnsi="Times New Roman"/>
                <w:color w:val="000000"/>
                <w:sz w:val="16"/>
              </w:rPr>
              <w:t>1. N ← alive, reachable neighbors of i outside S</w:t>
            </w:r>
          </w:p>
          <w:p w14:paraId="1F394462" w14:textId="77777777" w:rsidR="008867B5" w:rsidRDefault="00000000">
            <w:pPr>
              <w:keepNext/>
              <w:keepLines/>
              <w:tabs>
                <w:tab w:val="left" w:pos="600"/>
              </w:tabs>
              <w:spacing w:after="50" w:line="240" w:lineRule="auto"/>
            </w:pPr>
            <w:r>
              <w:rPr>
                <w:rFonts w:ascii="Times New Roman" w:hAnsi="Times New Roman"/>
                <w:color w:val="000000"/>
                <w:sz w:val="16"/>
              </w:rPr>
              <w:t>2. if sink is reachable then N ← N ∪ {sink}</w:t>
            </w:r>
          </w:p>
          <w:p w14:paraId="73013499" w14:textId="77777777" w:rsidR="008867B5" w:rsidRDefault="00000000">
            <w:pPr>
              <w:keepNext/>
              <w:keepLines/>
              <w:tabs>
                <w:tab w:val="left" w:pos="600"/>
              </w:tabs>
              <w:spacing w:after="50" w:line="240" w:lineRule="auto"/>
            </w:pPr>
            <w:r>
              <w:rPr>
                <w:rFonts w:ascii="Times New Roman" w:hAnsi="Times New Roman"/>
                <w:color w:val="000000"/>
                <w:sz w:val="16"/>
              </w:rPr>
              <w:t>3. for each j ∈ N do</w:t>
            </w:r>
          </w:p>
          <w:p w14:paraId="104BB8FC" w14:textId="77777777" w:rsidR="008867B5" w:rsidRDefault="00000000">
            <w:pPr>
              <w:keepNext/>
              <w:keepLines/>
              <w:tabs>
                <w:tab w:val="left" w:pos="600"/>
              </w:tabs>
              <w:spacing w:after="50" w:line="240" w:lineRule="auto"/>
            </w:pPr>
            <w:r>
              <w:rPr>
                <w:rFonts w:ascii="Times New Roman" w:hAnsi="Times New Roman"/>
                <w:color w:val="000000"/>
                <w:sz w:val="16"/>
              </w:rPr>
              <w:t>4.     hⱼ ← CandidateFeatures(i, j, c); sⱼ ← Score(i, j)  [Eq. (6)]</w:t>
            </w:r>
          </w:p>
          <w:p w14:paraId="44046880" w14:textId="77777777" w:rsidR="008867B5" w:rsidRDefault="00000000">
            <w:pPr>
              <w:keepNext/>
              <w:keepLines/>
              <w:tabs>
                <w:tab w:val="left" w:pos="600"/>
              </w:tabs>
              <w:spacing w:after="50" w:line="240" w:lineRule="auto"/>
            </w:pPr>
            <w:r>
              <w:rPr>
                <w:rFonts w:ascii="Times New Roman" w:hAnsi="Times New Roman"/>
                <w:color w:val="000000"/>
                <w:sz w:val="16"/>
              </w:rPr>
              <w:t>5. end for</w:t>
            </w:r>
          </w:p>
          <w:p w14:paraId="7829BEE1" w14:textId="77777777" w:rsidR="008867B5" w:rsidRDefault="00000000">
            <w:pPr>
              <w:keepNext/>
              <w:keepLines/>
              <w:tabs>
                <w:tab w:val="left" w:pos="600"/>
              </w:tabs>
              <w:spacing w:after="50" w:line="240" w:lineRule="auto"/>
            </w:pPr>
            <w:r>
              <w:rPr>
                <w:rFonts w:ascii="Times New Roman" w:hAnsi="Times New Roman"/>
                <w:color w:val="000000"/>
                <w:sz w:val="16"/>
              </w:rPr>
              <w:t>6. H, m ← TopKAndPad({(sⱼ, hⱼ)}, K = 8)</w:t>
            </w:r>
          </w:p>
          <w:p w14:paraId="748CA968" w14:textId="77777777" w:rsidR="008867B5" w:rsidRDefault="00000000">
            <w:pPr>
              <w:keepNext/>
              <w:keepLines/>
              <w:tabs>
                <w:tab w:val="left" w:pos="600"/>
              </w:tabs>
              <w:spacing w:after="50" w:line="240" w:lineRule="auto"/>
            </w:pPr>
            <w:r>
              <w:rPr>
                <w:rFonts w:ascii="Times New Roman" w:hAnsi="Times New Roman"/>
                <w:color w:val="000000"/>
                <w:sz w:val="16"/>
              </w:rPr>
              <w:t>7. x ← PacketContext(i, c, remaining slack, six QoS debts)</w:t>
            </w:r>
          </w:p>
          <w:p w14:paraId="534BFBBB" w14:textId="77777777" w:rsidR="008867B5" w:rsidRDefault="00000000">
            <w:pPr>
              <w:keepNext/>
              <w:keepLines/>
              <w:tabs>
                <w:tab w:val="left" w:pos="600"/>
              </w:tabs>
              <w:spacing w:after="50" w:line="240" w:lineRule="auto"/>
            </w:pPr>
            <w:r>
              <w:rPr>
                <w:rFonts w:ascii="Times New Roman" w:hAnsi="Times New Roman"/>
                <w:color w:val="000000"/>
                <w:sz w:val="16"/>
              </w:rPr>
              <w:t>8. ℓ ← MaskedActor(x, H, m)  [Eq. (7)]</w:t>
            </w:r>
          </w:p>
          <w:p w14:paraId="25052601" w14:textId="77777777" w:rsidR="008867B5" w:rsidRDefault="00000000">
            <w:pPr>
              <w:keepNext/>
              <w:keepLines/>
              <w:tabs>
                <w:tab w:val="left" w:pos="600"/>
              </w:tabs>
              <w:spacing w:after="50" w:line="240" w:lineRule="auto"/>
            </w:pPr>
            <w:r>
              <w:rPr>
                <w:rFonts w:ascii="Times New Roman" w:hAnsi="Times New Roman"/>
                <w:color w:val="000000"/>
                <w:sz w:val="16"/>
              </w:rPr>
              <w:t>9. a ← Sample(softmax(ℓ)) in training; argmax(ℓ) in evaluation</w:t>
            </w:r>
          </w:p>
          <w:p w14:paraId="518FAB82" w14:textId="77777777" w:rsidR="008867B5" w:rsidRDefault="00000000">
            <w:pPr>
              <w:keepNext/>
              <w:keepLines/>
              <w:tabs>
                <w:tab w:val="left" w:pos="600"/>
              </w:tabs>
              <w:spacing w:after="50" w:line="240" w:lineRule="auto"/>
            </w:pPr>
            <w:r>
              <w:rPr>
                <w:rFonts w:ascii="Times New Roman" w:hAnsi="Times New Roman"/>
                <w:color w:val="000000"/>
                <w:sz w:val="16"/>
              </w:rPr>
              <w:t>10. o′, r, C, done ← EnvironmentStep(a)  [Eq. (8); terminal rules]</w:t>
            </w:r>
          </w:p>
          <w:p w14:paraId="0FB38E72" w14:textId="77777777" w:rsidR="008867B5" w:rsidRDefault="00000000">
            <w:pPr>
              <w:keepLines/>
              <w:tabs>
                <w:tab w:val="left" w:pos="600"/>
              </w:tabs>
              <w:spacing w:after="40" w:line="240" w:lineRule="auto"/>
            </w:pPr>
            <w:r>
              <w:rPr>
                <w:rFonts w:ascii="Times New Roman" w:hAnsi="Times New Roman"/>
                <w:color w:val="000000"/>
                <w:sz w:val="16"/>
              </w:rPr>
              <w:t>11. return ((x, H, m), a, r, C, o′, done)</w:t>
            </w:r>
          </w:p>
        </w:tc>
      </w:tr>
    </w:tbl>
    <w:p w14:paraId="34EBD4BC" w14:textId="77777777" w:rsidR="008867B5" w:rsidRDefault="008867B5">
      <w:pPr>
        <w:pageBreakBefore w:val="0"/>
        <w:spacing w:before="100" w:after="80" w:line="480" w:lineRule="auto"/>
        <w:jc w:val="both"/>
      </w:pPr>
    </w:p>
    <w:p w14:paraId="564D0F61" w14:textId="77777777" w:rsidR="008867B5" w:rsidRDefault="00000000">
      <w:pPr>
        <w:pStyle w:val="Heading2"/>
        <w:keepNext/>
        <w:pageBreakBefore w:val="0"/>
        <w:spacing w:after="80" w:line="480" w:lineRule="auto"/>
      </w:pPr>
      <w:r>
        <w:rPr>
          <w:rFonts w:ascii="Times New Roman" w:hAnsi="Times New Roman"/>
          <w:color w:val="000000"/>
        </w:rPr>
        <w:t>E. Constrained PPO training and matched comparator</w:t>
      </w:r>
    </w:p>
    <w:p w14:paraId="6553E955" w14:textId="77777777" w:rsidR="008867B5" w:rsidRDefault="00000000">
      <w:pPr>
        <w:pageBreakBefore w:val="0"/>
        <w:spacing w:after="80" w:line="480" w:lineRule="auto"/>
        <w:jc w:val="both"/>
      </w:pPr>
      <w:r>
        <w:rPr>
          <w:rFonts w:eastAsia="Times New Roman" w:ascii="Times New Roman" w:hAnsi="Times New Roman"/>
          <w:color w:val="000000"/>
          <w:sz w:val="19"/>
        </w:rPr>
        <w:t>Each seed uses eight training updates, 50 complete packet episodes per update, and three full-batch PPO epochs per update. Reward and all six cost advantages use GAE with γ = 0.99 and λGAE = 0.95. If the reward-advantage standard deviation exceeds 10⁻⁶, its batch mean is subtracted and it is divided by its standard deviation plus 10⁻⁸; otherwise it is retained. Cost advantages are not standardized. Reward and cost return targets are computed before reward-advantage standardization [7, 8].</w:t>
      </w:r>
    </w:p>
    <w:p w14:paraId="5F2B4DB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After collecting a batch, </w:t>
      </w:r>
      <m:oMath>
        <m:sSubSup>
          <m:sSubSupPr>
            <m:ctrlPr>
              <w:rPr>
                <w:rFonts w:ascii="Cambria Math" w:hAnsi="Cambria Math"/>
              </w:rPr>
            </m:ctrlPr>
          </m:sSubSupPr>
          <m:e>
            <m:r>
              <w:rPr>
                <w:rFonts w:ascii="Cambria Math" w:hAnsi="Cambria Math"/>
                <w:sz w:val="22"/>
              </w:rPr>
              <m:t>Ĵ</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is the average terminal cost among packets of class </w:t>
      </w:r>
      <m:oMath>
        <m:r>
          <w:rPr>
            <w:rFonts w:ascii="Cambria Math" w:hAnsi="Cambria Math"/>
            <w:sz w:val="22"/>
          </w:rPr>
          <m:t>c</m:t>
        </m:r>
      </m:oMath>
      <w:r>
        <w:rPr>
          <w:rFonts w:eastAsia="Times New Roman" w:ascii="Times New Roman" w:hAnsi="Times New Roman"/>
          <w:color w:val="000000"/>
          <w:sz w:val="19"/>
        </w:rPr>
        <w:t xml:space="preserve"> in that batch. The multiplier starts at zero and is updated before the three PPO epochs:</w:t>
      </w:r>
    </w:p>
    <w:p w14:paraId="1B50B47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λ</m:t>
            </m:r>
          </m:e>
          <m:sub>
            <m:r>
              <m:t>c</m:t>
            </m:r>
          </m:sub>
          <m:sup>
            <m:d>
              <m:dPr>
                <m:ctrlPr/>
              </m:dPr>
              <m:e>
                <m:r>
                  <m:t>u</m:t>
                </m:r>
              </m:e>
            </m:d>
          </m:sup>
        </m:sSubSup>
        <m:r>
          <m:rPr>
            <m:nor/>
          </m:rPr>
          <m:t xml:space="preserve"> ← </m:t>
        </m:r>
        <m:sSub>
          <m:sSubPr>
            <m:ctrlPr/>
          </m:sSubPr>
          <m:e>
            <m:r>
              <m:rPr>
                <m:nor/>
              </m:rPr>
              <m:t>Π</m:t>
            </m:r>
          </m:e>
          <m:sub>
            <m:r>
              <m:rPr>
                <m:nor/>
              </m:rPr>
              <m:t>[0, 50]</m:t>
            </m:r>
          </m:sub>
        </m:sSub>
        <m:d>
          <m:dPr>
            <m:begChr m:val="["/>
            <m:endChr m:val="]"/>
            <m:ctrlPr/>
          </m:dPr>
          <m:e>
            <m:sSubSup>
              <m:sSubSupPr>
                <m:ctrlPr/>
              </m:sSubSupPr>
              <m:e>
                <m:r>
                  <m:t>λ</m:t>
                </m:r>
              </m:e>
              <m:sub>
                <m:r>
                  <m:t>c</m:t>
                </m:r>
              </m:sub>
              <m:sup>
                <m:d>
                  <m:dPr>
                    <m:ctrlPr/>
                  </m:dPr>
                  <m:e>
                    <m:r>
                      <m:t>u</m:t>
                    </m:r>
                  </m:e>
                </m:d>
              </m:sup>
            </m:sSubSup>
            <m:r>
              <m:rPr>
                <m:nor/>
              </m:rPr>
              <m:t xml:space="preserve"> + </m:t>
            </m:r>
            <m:sSub>
              <m:sSubPr>
                <m:ctrlPr/>
              </m:sSubPr>
              <m:e>
                <m:r>
                  <m:t>η</m:t>
                </m:r>
              </m:e>
              <m:sub>
                <m:r>
                  <m:t>λ</m:t>
                </m:r>
              </m:sub>
            </m:sSub>
            <m:d>
              <m:dPr>
                <m:ctrlPr/>
              </m:dPr>
              <m:e>
                <m:sSubSup>
                  <m:sSubSupPr>
                    <m:ctrlPr/>
                  </m:sSubSupPr>
                  <m:e>
                    <m:r>
                      <m:t>Ĵ</m:t>
                    </m:r>
                  </m:e>
                  <m:sub>
                    <m:r>
                      <m:t>c</m:t>
                    </m:r>
                  </m:sub>
                  <m:sup>
                    <m:d>
                      <m:dPr>
                        <m:ctrlPr/>
                      </m:dPr>
                      <m:e>
                        <m:r>
                          <m:t>u</m:t>
                        </m:r>
                      </m:e>
                    </m:d>
                  </m:sup>
                </m:sSubSup>
                <m:r>
                  <m:rPr>
                    <m:nor/>
                  </m:rPr>
                  <m:t xml:space="preserve"> - </m:t>
                </m:r>
                <m:sSubSup>
                  <m:sSubSupPr>
                    <m:ctrlPr/>
                  </m:sSubSupPr>
                  <m:e>
                    <m:r>
                      <m:t>b</m:t>
                    </m:r>
                  </m:e>
                  <m:sub>
                    <m:r>
                      <m:t>c</m:t>
                    </m:r>
                  </m:sub>
                  <m:sup>
                    <m:d>
                      <m:dPr>
                        <m:ctrlPr/>
                      </m:dPr>
                      <m:e>
                        <m:r>
                          <m:t>u</m:t>
                        </m:r>
                      </m:e>
                    </m:d>
                  </m:sup>
                </m:sSubSup>
              </m:e>
            </m:d>
          </m:e>
        </m:d>
        <m:r>
          <m:rPr>
            <m:nor/>
          </m:rPr>
          <m:t xml:space="preserve">,   </m:t>
        </m:r>
        <m:sSub>
          <m:sSubPr>
            <m:ctrlPr/>
          </m:sSubPr>
          <m:e>
            <m:r>
              <m:t>η</m:t>
            </m:r>
          </m:e>
          <m:sub>
            <m:r>
              <m:t>λ</m:t>
            </m:r>
          </m:sub>
        </m:sSub>
        <m:r>
          <m:rPr>
            <m:nor/>
          </m:rPr>
          <m:t xml:space="preserve"> = 0.03.</m:t>
        </m:r>
      </m:oMath>
      <w:r>
        <w:rPr>
          <w:rFonts w:ascii="Times New Roman" w:hAnsi="Times New Roman"/>
          <w:color w:val="000000"/>
          <w:sz w:val="19"/>
        </w:rPr>
        <w:tab/>
      </w:r>
      <w:r>
        <w:rPr>
          <w:rFonts w:ascii="Times New Roman" w:eastAsia="Times New Roman" w:hAnsi="Times New Roman"/>
          <w:color w:val="000000"/>
          <w:sz w:val="19"/>
        </w:rPr>
        <w:t>(9)</w:t>
      </w:r>
    </w:p>
    <w:p w14:paraId="02288E1B" w14:textId="77777777" w:rsidR="008867B5" w:rsidRDefault="00000000">
      <w:pPr>
        <w:pageBreakBefore w:val="0"/>
        <w:spacing w:after="80" w:line="480" w:lineRule="auto"/>
        <w:jc w:val="both"/>
      </w:pPr>
      <w:r>
        <w:rPr>
          <w:rFonts w:eastAsia="Times New Roman" w:ascii="Times New Roman" w:hAnsi="Times New Roman"/>
          <w:color w:val="000000"/>
          <w:sz w:val="19"/>
        </w:rPr>
        <w:t>Equation (9) is applied only to classes represented in the batch; absent classes retain their multipliers. Projection clips both the lower and upper bounds. The resulting multipliers remain fixed across the three PPO epochs and are used in Eq. (5).</w:t>
      </w:r>
    </w:p>
    <w:p w14:paraId="68E056D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policy ratio </w:t>
      </w:r>
      <m:oMath>
        <m:sSub>
          <m:sSubPr>
            <m:ctrlPr>
              <w:rPr>
                <w:rFonts w:ascii="Cambria Math" w:hAnsi="Cambria Math"/>
              </w:rPr>
            </m:ctrlPr>
          </m:sSubPr>
          <m:e>
            <m:r>
              <w:rPr>
                <w:rFonts w:ascii="Cambria Math" w:hAnsi="Cambria Math"/>
                <w:sz w:val="22"/>
              </w:rPr>
              <m:t>R</m:t>
            </m:r>
          </m:e>
          <m:sub>
            <m:r>
              <w:rPr>
                <w:rFonts w:ascii="Cambria Math" w:hAnsi="Cambria Math"/>
                <w:sz w:val="22"/>
              </w:rPr>
              <m:t>t</m:t>
            </m:r>
          </m:sub>
        </m:sSub>
        <m:r>
          <m:rPr>
            <m:nor/>
          </m:rPr>
          <w:rPr>
            <w:rFonts w:ascii="Cambria Math" w:hAnsi="Cambria Math"/>
            <w:sz w:val="22"/>
          </w:rPr>
          <m:t xml:space="preserve">(θ) = </m:t>
        </m:r>
        <m:f>
          <m:fPr>
            <m:ctrlPr>
              <w:rPr>
                <w:rFonts w:ascii="Cambria Math" w:hAnsi="Cambria Math"/>
              </w:rPr>
            </m:ctrlPr>
          </m:fPr>
          <m:num>
            <m:sSub>
              <m:sSubPr>
                <m:ctrlPr>
                  <w:rPr>
                    <w:rFonts w:ascii="Cambria Math" w:hAnsi="Cambria Math"/>
                  </w:rPr>
                </m:ctrlPr>
              </m:sSubPr>
              <m:e>
                <m:r>
                  <w:rPr>
                    <w:rFonts w:ascii="Cambria Math" w:hAnsi="Cambria Math"/>
                    <w:sz w:val="22"/>
                  </w:rPr>
                  <m:t>π</m:t>
                </m:r>
              </m:e>
              <m:sub>
                <m:r>
                  <w:rPr>
                    <w:rFonts w:ascii="Cambria Math" w:hAnsi="Cambria Math"/>
                    <w:sz w:val="22"/>
                  </w:rPr>
                  <m:t>θ</m:t>
                </m:r>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num>
          <m:den>
            <m:sSub>
              <m:sSubPr>
                <m:ctrlPr>
                  <w:rPr>
                    <w:rFonts w:ascii="Cambria Math" w:hAnsi="Cambria Math"/>
                  </w:rPr>
                </m:ctrlPr>
              </m:sSubPr>
              <m:e>
                <m:r>
                  <w:rPr>
                    <w:rFonts w:ascii="Cambria Math" w:hAnsi="Cambria Math"/>
                    <w:sz w:val="22"/>
                  </w:rPr>
                  <m:t>π</m:t>
                </m:r>
              </m:e>
              <m:sub>
                <m:sSub>
                  <m:sSubPr>
                    <m:ctrlPr>
                      <w:rPr>
                        <w:rFonts w:ascii="Cambria Math" w:hAnsi="Cambria Math"/>
                      </w:rPr>
                    </m:ctrlPr>
                  </m:sSubPr>
                  <m:e>
                    <m:r>
                      <w:rPr>
                        <w:rFonts w:ascii="Cambria Math" w:hAnsi="Cambria Math"/>
                        <w:sz w:val="22"/>
                      </w:rPr>
                      <m:t>θ</m:t>
                    </m:r>
                  </m:e>
                  <m:sub>
                    <m:r>
                      <m:rPr>
                        <m:nor/>
                      </m:rPr>
                      <w:rPr>
                        <w:rFonts w:ascii="Cambria Math" w:hAnsi="Cambria Math"/>
                        <w:sz w:val="22"/>
                      </w:rPr>
                      <m:t>old</m:t>
                    </m:r>
                  </m:sub>
                </m:sSub>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den>
        </m:f>
      </m:oMath>
      <w:r>
        <w:rPr>
          <w:rFonts w:eastAsia="Times New Roman" w:ascii="Times New Roman" w:hAnsi="Times New Roman"/>
          <w:color w:val="000000"/>
          <w:sz w:val="19"/>
        </w:rPr>
        <w:t>, the clipped policy objective is</w:t>
      </w:r>
    </w:p>
    <w:p w14:paraId="0171007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p>
          <m:sSupPr>
            <m:ctrlPr/>
          </m:sSupPr>
          <m:e>
            <m:r>
              <m:t>L</m:t>
            </m:r>
          </m:e>
          <m:sup>
            <m:r>
              <m:rPr>
                <m:nor/>
              </m:rPr>
              <m:t>clip</m:t>
            </m:r>
          </m:sup>
        </m:sSup>
        <m:r>
          <m:rPr>
            <m:nor/>
          </m:rPr>
          <m:t xml:space="preserve">(θ) = </m:t>
        </m:r>
        <m:sSub>
          <m:sSubPr>
            <m:ctrlPr/>
          </m:sSubPr>
          <m:e>
            <m:r>
              <m:rPr>
                <m:nor/>
              </m:rPr>
              <m:t>Ê</m:t>
            </m:r>
          </m:e>
          <m:sub>
            <m:r>
              <m:t>t</m:t>
            </m:r>
          </m:sub>
        </m:sSub>
        <m:d>
          <m:dPr>
            <m:begChr m:val="["/>
            <m:endChr m:val="]"/>
            <m:ctrlPr/>
          </m:dPr>
          <m:e>
            <m:r>
              <m:rPr>
                <m:nor/>
              </m:rPr>
              <m:t>min</m:t>
            </m:r>
            <m:d>
              <m:dPr>
                <m:ctrlPr/>
              </m:dPr>
              <m:e>
                <m:sSub>
                  <m:sSubPr>
                    <m:ctrlPr/>
                  </m:sSubPr>
                  <m:e>
                    <m:r>
                      <m:t>R</m:t>
                    </m:r>
                  </m:e>
                  <m:sub>
                    <m:r>
                      <m:t>t</m:t>
                    </m:r>
                  </m:sub>
                </m:sSub>
                <m:r>
                  <m:rPr>
                    <m:nor/>
                  </m:rPr>
                  <m:t>(θ)</m:t>
                </m:r>
                <m:sSubSup>
                  <m:sSubSupPr>
                    <m:ctrlPr/>
                  </m:sSubSupPr>
                  <m:e>
                    <m:r>
                      <m:t>A</m:t>
                    </m:r>
                  </m:e>
                  <m:sub>
                    <m:r>
                      <m:t>t</m:t>
                    </m:r>
                  </m:sub>
                  <m:sup>
                    <m:r>
                      <m:rPr>
                        <m:nor/>
                      </m:rPr>
                      <m:t>CPPO</m:t>
                    </m:r>
                  </m:sup>
                </m:sSubSup>
                <m:r>
                  <m:rPr>
                    <m:nor/>
                  </m:rPr>
                  <m:t>, clip</m:t>
                </m:r>
                <m:d>
                  <m:dPr>
                    <m:ctrlPr/>
                  </m:dPr>
                  <m:e>
                    <m:sSub>
                      <m:sSubPr>
                        <m:ctrlPr/>
                      </m:sSubPr>
                      <m:e>
                        <m:r>
                          <m:t>R</m:t>
                        </m:r>
                      </m:e>
                      <m:sub>
                        <m:r>
                          <m:t>t</m:t>
                        </m:r>
                      </m:sub>
                    </m:sSub>
                    <m:r>
                      <m:rPr>
                        <m:nor/>
                      </m:rPr>
                      <m:t>(θ), 0.8, 1.2</m:t>
                    </m:r>
                  </m:e>
                </m:d>
                <m:sSubSup>
                  <m:sSubSupPr>
                    <m:ctrlPr/>
                  </m:sSubSupPr>
                  <m:e>
                    <m:r>
                      <m:t>A</m:t>
                    </m:r>
                  </m:e>
                  <m:sub>
                    <m:r>
                      <m:t>t</m:t>
                    </m:r>
                  </m:sub>
                  <m:sup>
                    <m:r>
                      <m:rPr>
                        <m:nor/>
                      </m:rPr>
                      <m:t>CPPO</m:t>
                    </m:r>
                  </m:sup>
                </m:sSubSup>
              </m:e>
            </m:d>
          </m:e>
        </m:d>
        <m:r>
          <m:rPr>
            <m:nor/>
          </m:rPr>
          <m:t>.</m:t>
        </m:r>
      </m:oMath>
      <w:r>
        <w:rPr>
          <w:rFonts w:ascii="Times New Roman" w:hAnsi="Times New Roman"/>
          <w:color w:val="000000"/>
          <w:sz w:val="19"/>
        </w:rPr>
        <w:tab/>
      </w:r>
      <w:r>
        <w:rPr>
          <w:rFonts w:ascii="Times New Roman" w:eastAsia="Times New Roman" w:hAnsi="Times New Roman"/>
          <w:color w:val="000000"/>
          <w:sz w:val="19"/>
        </w:rPr>
        <w:t>(10)</w:t>
      </w:r>
    </w:p>
    <w:p w14:paraId="672C2EE5" w14:textId="77777777" w:rsidR="008867B5" w:rsidRDefault="00000000">
      <w:pPr>
        <w:pageBreakBefore w:val="0"/>
        <w:spacing w:after="80" w:line="480" w:lineRule="auto"/>
        <w:jc w:val="both"/>
      </w:pPr>
      <w:r>
        <w:rPr>
          <w:rFonts w:eastAsia="Times New Roman" w:ascii="Times New Roman" w:hAnsi="Times New Roman"/>
          <w:color w:val="000000"/>
          <w:sz w:val="19"/>
        </w:rPr>
        <w:t>The joint loss minimizes the negative of Eq. (10), subtracts 0.01 times mean policy entropy, and adds the reward and cost mean-squared-error terms. Each value error is first multiplied by 0.5 and then weighted by a further 0.5 in the joint loss; the cost error averages over transitions and all six channels. Adam uses learning rate 3 × 10⁻⁴, and the joint gradient norm is clipped at 1.0. Algorithm 2 states the implemented order.</w:t>
      </w:r>
    </w:p>
    <w:tbl>
      <w:tblPr>
        <w:tblW w:w="9071" w:type="dxa"/>
        <w:tblLayout w:type="fixed"/>
        <w:tblCellMar>
          <w:top w:w="60" w:type="dxa"/>
          <w:left w:w="0" w:type="dxa"/>
          <w:bottom w:w="60" w:type="dxa"/>
          <w:right w:w="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9071"/>
      </w:tblGrid>
      <w:tr w:rsidR="008867B5" w14:paraId="710D00F0" w14:textId="77777777">
        <w:trPr>
          <w:cantSplit/>
          <w:tblHeader/>
          <w:cantSplit/>
        </w:trPr>
        <w:tc>
          <w:tcPr>
            <w:tcW w:w="9071" w:type="dxa"/>
          </w:tcPr>
          <w:p>
            <w:pPr>
              <w:spacing w:line="240" w:lineRule="auto"/>
            </w:pPr>
            <w:r>
              <w:rPr>
                <w:rFonts w:ascii="Times New Roman" w:hAnsi="Times New Roman"/>
                <w:b/>
                <w:color w:val="000000"/>
                <w:sz w:val="16"/>
              </w:rPr>
              <w:t>Algorithm 2. Lagrangian PPO training</w:t>
            </w:r>
          </w:p>
        </w:tc>
      </w:tr>
      <w:tr w:rsidR="008867B5" w14:paraId="602A503D" w14:textId="77777777">
        <w:trPr>
          <w:cantSplit/>
          <w:cantSplit/>
        </w:trPr>
        <w:tc>
          <w:tcPr>
            <w:tcW w:w="9071" w:type="dxa"/>
          </w:tcPr>
          <w:p w14:paraId="1AE9FD16"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Actor/critic parameters θ, ψ; class budgets b; frozen training configuration.</w:t>
            </w:r>
          </w:p>
          <w:p w14:paraId="1D9EFF40"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Trained parameters θ, ψ and final multipliers λ.</w:t>
            </w:r>
          </w:p>
          <w:p w14:paraId="77B2EDF3" w14:textId="77777777" w:rsidR="008867B5" w:rsidRDefault="00000000">
            <w:pPr>
              <w:keepNext/>
              <w:keepLines/>
              <w:tabs>
                <w:tab w:val="left" w:pos="600"/>
              </w:tabs>
              <w:spacing w:after="50" w:line="240" w:lineRule="auto"/>
            </w:pPr>
            <w:r>
              <w:rPr>
                <w:rFonts w:ascii="Times New Roman" w:hAnsi="Times New Roman"/>
                <w:color w:val="000000"/>
                <w:sz w:val="16"/>
              </w:rPr>
              <w:t>1. λ ← 0</w:t>
            </w:r>
          </w:p>
          <w:p w14:paraId="265F69DB" w14:textId="77777777" w:rsidR="008867B5" w:rsidRDefault="00000000">
            <w:pPr>
              <w:keepNext/>
              <w:keepLines/>
              <w:tabs>
                <w:tab w:val="left" w:pos="600"/>
              </w:tabs>
              <w:spacing w:after="50" w:line="240" w:lineRule="auto"/>
            </w:pPr>
            <w:r>
              <w:rPr>
                <w:rFonts w:ascii="Times New Roman" w:hAnsi="Times New Roman"/>
                <w:color w:val="000000"/>
                <w:sz w:val="16"/>
              </w:rPr>
              <w:t>2. for update = 1, …, 8 do</w:t>
            </w:r>
          </w:p>
          <w:p w14:paraId="356CC3A9" w14:textId="77777777" w:rsidR="008867B5" w:rsidRDefault="00000000">
            <w:pPr>
              <w:keepNext/>
              <w:keepLines/>
              <w:tabs>
                <w:tab w:val="left" w:pos="600"/>
              </w:tabs>
              <w:spacing w:after="50" w:line="240" w:lineRule="auto"/>
            </w:pPr>
            <w:r>
              <w:rPr>
                <w:rFonts w:ascii="Times New Roman" w:hAnsi="Times New Roman"/>
                <w:color w:val="000000"/>
                <w:sz w:val="16"/>
              </w:rPr>
              <w:t>3.     B, Ĵ, active ← Collect(50 packet episodes; Algorithm 1)</w:t>
            </w:r>
          </w:p>
          <w:p w14:paraId="289B00B7" w14:textId="77777777" w:rsidR="008867B5" w:rsidRDefault="00000000">
            <w:pPr>
              <w:keepNext/>
              <w:keepLines/>
              <w:tabs>
                <w:tab w:val="left" w:pos="600"/>
              </w:tabs>
              <w:spacing w:after="50" w:line="240" w:lineRule="auto"/>
            </w:pPr>
            <w:r>
              <w:rPr>
                <w:rFonts w:ascii="Times New Roman" w:hAnsi="Times New Roman"/>
                <w:color w:val="000000"/>
                <w:sz w:val="16"/>
              </w:rPr>
              <w:t>4.     Aᴿ, Gᴿ, Aᶜ, Gᶜ ← GAE(B; γ = 0.99, λGAE = 0.95)</w:t>
            </w:r>
          </w:p>
          <w:p w14:paraId="5D77298C" w14:textId="77777777" w:rsidR="008867B5" w:rsidRDefault="00000000">
            <w:pPr>
              <w:keepNext/>
              <w:keepLines/>
              <w:tabs>
                <w:tab w:val="left" w:pos="600"/>
              </w:tabs>
              <w:spacing w:after="50" w:line="240" w:lineRule="auto"/>
            </w:pPr>
            <w:r>
              <w:rPr>
                <w:rFonts w:ascii="Times New Roman" w:hAnsi="Times New Roman"/>
                <w:color w:val="000000"/>
                <w:sz w:val="16"/>
              </w:rPr>
              <w:t>5.     Āᴿ ← StandardizeIfVarying(Aᴿ); retain the raw cost advantages</w:t>
            </w:r>
          </w:p>
          <w:p w14:paraId="3F81BB1F" w14:textId="77777777" w:rsidR="008867B5" w:rsidRDefault="00000000">
            <w:pPr>
              <w:keepNext/>
              <w:keepLines/>
              <w:tabs>
                <w:tab w:val="left" w:pos="600"/>
              </w:tabs>
              <w:spacing w:after="50" w:line="240" w:lineRule="auto"/>
            </w:pPr>
            <w:r>
              <w:rPr>
                <w:rFonts w:ascii="Times New Roman" w:hAnsi="Times New Roman"/>
                <w:color w:val="000000"/>
                <w:sz w:val="16"/>
              </w:rPr>
              <w:t>6.     λ ← ProjectActive(λ, Ĵ − b; ηλ = 0.03, bounds [0, 50])  [Eq. (9)]</w:t>
            </w:r>
          </w:p>
          <w:p w14:paraId="6EF4773D" w14:textId="77777777" w:rsidR="008867B5" w:rsidRDefault="00000000">
            <w:pPr>
              <w:keepNext/>
              <w:keepLines/>
              <w:tabs>
                <w:tab w:val="left" w:pos="600"/>
              </w:tabs>
              <w:spacing w:after="50" w:line="240" w:lineRule="auto"/>
            </w:pPr>
            <w:r>
              <w:rPr>
                <w:rFonts w:ascii="Times New Roman" w:hAnsi="Times New Roman"/>
                <w:color w:val="000000"/>
                <w:sz w:val="16"/>
              </w:rPr>
              <w:t>7.     Aᶜᴾᴾᴼ ← CombinedAdvantage(Āᴿ, Aᶜ, λ)  [Eq. (5)]</w:t>
            </w:r>
          </w:p>
          <w:p w14:paraId="338F5D57" w14:textId="77777777" w:rsidR="008867B5" w:rsidRDefault="00000000">
            <w:pPr>
              <w:keepNext/>
              <w:keepLines/>
              <w:tabs>
                <w:tab w:val="left" w:pos="600"/>
              </w:tabs>
              <w:spacing w:after="50" w:line="240" w:lineRule="auto"/>
            </w:pPr>
            <w:r>
              <w:rPr>
                <w:rFonts w:ascii="Times New Roman" w:hAnsi="Times New Roman"/>
                <w:color w:val="000000"/>
                <w:sz w:val="16"/>
              </w:rPr>
              <w:t>8.     for epoch = 1, 2, 3 do</w:t>
            </w:r>
          </w:p>
          <w:p w14:paraId="1DFCA7F4" w14:textId="77777777" w:rsidR="008867B5" w:rsidRDefault="00000000">
            <w:pPr>
              <w:keepNext/>
              <w:keepLines/>
              <w:tabs>
                <w:tab w:val="left" w:pos="600"/>
              </w:tabs>
              <w:spacing w:after="50" w:line="240" w:lineRule="auto"/>
            </w:pPr>
            <w:r>
              <w:rPr>
                <w:rFonts w:ascii="Times New Roman" w:hAnsi="Times New Roman"/>
                <w:color w:val="000000"/>
                <w:sz w:val="16"/>
              </w:rPr>
              <w:t>9.         Form the clipped policy, entropy and value losses  [Eq. (10)]</w:t>
            </w:r>
          </w:p>
          <w:p w14:paraId="00C3EADA" w14:textId="77777777" w:rsidR="008867B5" w:rsidRDefault="00000000">
            <w:pPr>
              <w:keepNext/>
              <w:keepLines/>
              <w:tabs>
                <w:tab w:val="left" w:pos="600"/>
              </w:tabs>
              <w:spacing w:after="50" w:line="240" w:lineRule="auto"/>
            </w:pPr>
            <w:r>
              <w:rPr>
                <w:rFonts w:ascii="Times New Roman" w:hAnsi="Times New Roman"/>
                <w:color w:val="000000"/>
                <w:sz w:val="16"/>
              </w:rPr>
              <w:t>10.         Backpropagate; clip gradient norm at 1.0; take one Adam step</w:t>
            </w:r>
          </w:p>
          <w:p w14:paraId="77154AF0" w14:textId="77777777" w:rsidR="008867B5" w:rsidRDefault="00000000">
            <w:pPr>
              <w:keepNext/>
              <w:keepLines/>
              <w:tabs>
                <w:tab w:val="left" w:pos="600"/>
              </w:tabs>
              <w:spacing w:after="50" w:line="240" w:lineRule="auto"/>
            </w:pPr>
            <w:r>
              <w:rPr>
                <w:rFonts w:ascii="Times New Roman" w:hAnsi="Times New Roman"/>
                <w:color w:val="000000"/>
                <w:sz w:val="16"/>
              </w:rPr>
              <w:t>11.     end for</w:t>
            </w:r>
          </w:p>
          <w:p w14:paraId="06E8DDAA" w14:textId="77777777" w:rsidR="008867B5" w:rsidRDefault="00000000">
            <w:pPr>
              <w:keepNext/>
              <w:keepLines/>
              <w:tabs>
                <w:tab w:val="left" w:pos="600"/>
              </w:tabs>
              <w:spacing w:after="50" w:line="240" w:lineRule="auto"/>
            </w:pPr>
            <w:r>
              <w:rPr>
                <w:rFonts w:ascii="Times New Roman" w:hAnsi="Times New Roman"/>
                <w:color w:val="000000"/>
                <w:sz w:val="16"/>
              </w:rPr>
              <w:t>12. end for</w:t>
            </w:r>
          </w:p>
          <w:p w14:paraId="2E8C872B" w14:textId="77777777" w:rsidR="008867B5" w:rsidRDefault="00000000">
            <w:pPr>
              <w:keepLines/>
              <w:tabs>
                <w:tab w:val="left" w:pos="600"/>
              </w:tabs>
              <w:spacing w:after="40" w:line="240" w:lineRule="auto"/>
            </w:pPr>
            <w:r>
              <w:rPr>
                <w:rFonts w:ascii="Times New Roman" w:hAnsi="Times New Roman"/>
                <w:color w:val="000000"/>
                <w:sz w:val="16"/>
              </w:rPr>
              <w:t>13. return θ, ψ, λ</w:t>
            </w:r>
          </w:p>
        </w:tc>
      </w:tr>
    </w:tbl>
    <w:p w14:paraId="52552946" w14:textId="77777777" w:rsidR="008867B5" w:rsidRDefault="008867B5">
      <w:pPr>
        <w:pageBreakBefore w:val="0"/>
        <w:spacing w:before="100" w:after="80" w:line="480" w:lineRule="auto"/>
        <w:jc w:val="both"/>
      </w:pPr>
    </w:p>
    <w:p w14:paraId="281D3899" w14:textId="77777777" w:rsidR="008867B5" w:rsidRDefault="00000000">
      <w:pPr>
        <w:pageBreakBefore w:val="0"/>
        <w:spacing w:after="80" w:line="480" w:lineRule="auto"/>
        <w:jc w:val="both"/>
      </w:pPr>
      <w:r>
        <w:rPr>
          <w:rFonts w:eastAsia="Times New Roman" w:ascii="Times New Roman" w:hAnsi="Times New Roman"/>
          <w:color w:val="000000"/>
          <w:sz w:val="19"/>
        </w:rPr>
        <w:t>Evaluation uses 240 packet episodes in a newly initialized environment with separate seed offsets, the trained model weights, and deterministic actions. Forwarding evidence and QoS debts continue to update online during evaluation; the policy and critic weights remain frozen. The fixed-slot MLP receives the same 93 observation values, candidate mask, reward/cost signals, optimizer settings and training budget. Its two 96-unit tanh layers process the flattened observation, followed by actor and value heads.</w:t>
      </w:r>
    </w:p>
    <w:p w14:paraId="04111B14" w14:textId="77777777" w:rsidR="008867B5" w:rsidRDefault="00000000">
      <w:pPr>
        <w:pageBreakBefore w:val="0"/>
        <w:spacing w:after="80" w:line="480" w:lineRule="auto"/>
        <w:jc w:val="both"/>
      </w:pPr>
      <w:r>
        <w:rPr>
          <w:rFonts w:ascii="Times New Roman" w:hAnsi="Times New Roman"/>
          <w:color w:val="000000"/>
          <w:sz w:val="19"/>
        </w:rPr>
        <w:t>The historical comparison was not parameter-count matched: attention had 63,368 parameters and the same-width MLP had 19,791. The separate new validation approximately matches total parameter count and is reported in Section IX. Neither design isolates architecture at equal computation cost.</w:t>
      </w:r>
    </w:p>
    <w:p w14:paraId="1F488B69" w14:textId="77777777" w:rsidR="008867B5" w:rsidRDefault="00000000">
      <w:pPr>
        <w:pStyle w:val="Heading1"/>
        <w:keepNext/>
        <w:pageBreakBefore w:val="0"/>
        <w:spacing w:before="180" w:after="80" w:line="480" w:lineRule="auto"/>
      </w:pPr>
      <w:r>
        <w:rPr>
          <w:rFonts w:ascii="Times New Roman" w:hAnsi="Times New Roman"/>
          <w:color w:val="000000"/>
        </w:rPr>
        <w:t>V. Confirmatory experimental methodology</w:t>
      </w:r>
    </w:p>
    <w:p w14:paraId="3D18F703" w14:textId="77777777" w:rsidR="008867B5" w:rsidRDefault="00000000">
      <w:pPr>
        <w:pStyle w:val="Heading2"/>
        <w:keepNext/>
        <w:pageBreakBefore w:val="0"/>
        <w:spacing w:before="120" w:after="80" w:line="480" w:lineRule="auto"/>
      </w:pPr>
      <w:r>
        <w:rPr>
          <w:rFonts w:ascii="Times New Roman" w:hAnsi="Times New Roman"/>
          <w:color w:val="000000"/>
        </w:rPr>
        <w:t>A. Prespecified hypothesis, estimands, and seeds</w:t>
      </w:r>
    </w:p>
    <w:p w14:paraId="01C90CF4" w14:textId="77777777" w:rsidR="008867B5" w:rsidRDefault="00000000">
      <w:pPr>
        <w:pageBreakBefore w:val="0"/>
        <w:spacing w:after="80" w:line="480" w:lineRule="auto"/>
        <w:ind w:firstLine="346"/>
        <w:jc w:val="both"/>
      </w:pPr>
      <w:r>
        <w:rPr>
          <w:rFonts w:ascii="Times New Roman" w:hAnsi="Times New Roman"/>
          <w:color w:val="000000"/>
          <w:sz w:val="19"/>
        </w:rPr>
        <w:t>The confirmatory hypothesis required local attention to outperform the identical-state MLP on both Class-0 endpoints. Differences are reported as attention minus MLP, so negative values are favorable. Thirty fresh seeds were reserved before AF-v3 outcomes were generated and were not used for structural qualification, smoke tests, or development. Training-environment, Torch, NumPy, and evaluation streams use fixed seed offsets so that the evaluation stream does not simply continue the training stream. All 30 paired seeds were retained.</w:t>
      </w:r>
    </w:p>
    <w:p w14:paraId="19029E78" w14:textId="77777777" w:rsidR="008867B5" w:rsidRDefault="00000000">
      <w:pPr>
        <w:pageBreakBefore w:val="0"/>
        <w:spacing w:after="80" w:line="480" w:lineRule="auto"/>
        <w:ind w:firstLine="346"/>
        <w:jc w:val="both"/>
      </w:pPr>
      <w:r>
        <w:rPr>
          <w:rFonts w:ascii="Times New Roman" w:hAnsi="Times New Roman"/>
          <w:color w:val="000000"/>
          <w:sz w:val="19"/>
        </w:rPr>
        <w:t>We estimate the across-seed paired differences in Class-0 mean delivered delay and Class-0 total delay-violation rate. A total violation includes either non-delivery or arrival after the 90 ms deadline. Using both endpoints makes the selection effect in delivered-packet latency visible: the mean can look lower when difficult packets are lost and never enter the delay calculation.</w:t>
      </w:r>
    </w:p>
    <w:p w14:paraId="1486336C" w14:textId="77777777" w:rsidR="008867B5" w:rsidRDefault="00000000">
      <w:pPr>
        <w:pStyle w:val="Heading2"/>
        <w:keepNext/>
        <w:pageBreakBefore w:val="0"/>
        <w:spacing w:before="120" w:after="80" w:line="480" w:lineRule="auto"/>
      </w:pPr>
      <w:r>
        <w:rPr>
          <w:rFonts w:ascii="Times New Roman" w:hAnsi="Times New Roman"/>
          <w:color w:val="000000"/>
        </w:rPr>
        <w:t>B. Statistical analysis and decision rule</w:t>
      </w:r>
    </w:p>
    <w:p w14:paraId="7B6F67D5" w14:textId="77777777" w:rsidR="008867B5" w:rsidRDefault="00000000">
      <w:pPr>
        <w:pageBreakBefore w:val="0"/>
        <w:spacing w:after="80" w:line="480" w:lineRule="auto"/>
        <w:ind w:firstLine="346"/>
        <w:jc w:val="both"/>
      </w:pPr>
      <w:r>
        <w:rPr>
          <w:rFonts w:ascii="Times New Roman" w:hAnsi="Times New Roman"/>
          <w:color w:val="000000"/>
          <w:sz w:val="19"/>
        </w:rPr>
        <w:t xml:space="preserve">For each co-primary endpoint, the prespecified analysis reports the paired mean difference, a two-sided 95% confidence interval, a paired t-test, Cohen dz, and a Wilcoxon signed-rank sensitivity analysis. We apply Holm adjustment to the two paired t-test p-values. Delivery and energy are assessed with two one-sided 95% non-inferiority checks: the lower confidence bound for the overall delivery-rate difference must exceed -0.01, and the upper confidence bound for the geometric energy-per-delivered-packet ratio must not exceed 1.05. A strict PASS </w:t>
      </w:r>
      <w:r>
        <w:rPr>
          <w:rFonts w:ascii="Times New Roman" w:hAnsi="Times New Roman"/>
          <w:color w:val="000000"/>
          <w:sz w:val="19"/>
        </w:rPr>
        <w:t>requires favorable differences on both co-primary endpoints, both Holm-adjusted p-values below 0.05, and both guardrails to pass. It also requires all matched seeds, apart from a documented whole-seed integrity failure, and no protocol deviation.</w:t>
      </w:r>
    </w:p>
    <w:p w14:paraId="7BEF6005" w14:textId="77777777" w:rsidR="008867B5" w:rsidRDefault="00000000">
      <w:pPr>
        <w:pStyle w:val="Heading2"/>
        <w:keepNext/>
        <w:pageBreakBefore w:val="0"/>
        <w:spacing w:before="120" w:after="80" w:line="480" w:lineRule="auto"/>
      </w:pPr>
      <w:r>
        <w:rPr>
          <w:rFonts w:ascii="Times New Roman" w:hAnsi="Times New Roman"/>
          <w:color w:val="000000"/>
        </w:rPr>
        <w:t>C. Simulation data and evaluation samples</w:t>
      </w:r>
    </w:p>
    <w:p w14:paraId="29439395" w14:textId="77777777" w:rsidR="008867B5" w:rsidRDefault="00000000">
      <w:pPr>
        <w:pageBreakBefore w:val="0"/>
        <w:spacing w:after="80" w:line="480" w:lineRule="auto"/>
        <w:ind w:firstLine="346"/>
        <w:jc w:val="both"/>
      </w:pPr>
      <w:r>
        <w:rPr>
          <w:rFonts w:ascii="Times New Roman" w:hAnsi="Times New Roman"/>
          <w:color w:val="000000"/>
          <w:sz w:val="19"/>
        </w:rPr>
        <w:t>We generated the training and evaluation data as simulator trajectories. Each learning arm used 400 training packet episodes and 240 evaluation episodes per seed, giving 12,000 and 7,200 episodes across the 30 seeds. During evaluation, actions are deterministic but the environment remains stochastic. The realized Class-0, Class-1, and Class-2 counts are 2,514, 3,283, and 1,403 for attention and 2,527, 3,230, and 1,443 for the MLP. Random class draws and policy-dependent consumption of the random stream account for these differences. Training and evaluation start from separately initialized environments. There is no offline train–test split or supervised intrusion-detection dataset.</w:t>
      </w:r>
    </w:p>
    <w:p w14:paraId="20818709" w14:textId="77777777" w:rsidR="008867B5" w:rsidRDefault="00000000">
      <w:pPr>
        <w:pStyle w:val="Heading2"/>
        <w:keepNext/>
        <w:pageBreakBefore w:val="0"/>
        <w:spacing w:after="80" w:line="480" w:lineRule="auto"/>
      </w:pPr>
      <w:r>
        <w:rPr>
          <w:rFonts w:ascii="Times New Roman" w:hAnsi="Times New Roman"/>
          <w:color w:val="000000"/>
        </w:rPr>
        <w:t>D. Random-stream pairing</w:t>
      </w:r>
    </w:p>
    <w:p w14:paraId="242617D2" w14:textId="77777777" w:rsidR="008867B5" w:rsidRDefault="00000000">
      <w:pPr>
        <w:pageBreakBefore w:val="0"/>
        <w:spacing w:after="80" w:line="480" w:lineRule="auto"/>
      </w:pPr>
      <w:r>
        <w:rPr>
          <w:rFonts w:ascii="Times New Roman" w:hAnsi="Times New Roman"/>
          <w:color w:val="000000"/>
          <w:sz w:val="19"/>
        </w:rPr>
        <w:t>Both policies use the same seed to initialize a network. Subsequent external events are not replayed from a policy-independent schedule, however. Source and traffic-class draws use the same environment random stream as some transition events, so different actions and episode lengths can alter later draws. The pairing therefore aligns the initial conditions without ensuring identical traffic, radio, or attack events thereafter. Separate random streams or replay of an exogenous event schedule would improve a future replication.</w:t>
      </w:r>
    </w:p>
    <w:p w14:paraId="646CABED" w14:textId="77777777" w:rsidR="008867B5" w:rsidRDefault="00000000">
      <w:pPr>
        <w:pStyle w:val="Heading2"/>
        <w:keepNext/>
        <w:pageBreakBefore w:val="0"/>
        <w:spacing w:before="120" w:after="80" w:line="480" w:lineRule="auto"/>
      </w:pPr>
      <w:r>
        <w:rPr>
          <w:rFonts w:ascii="Times New Roman" w:hAnsi="Times New Roman"/>
          <w:color w:val="000000"/>
        </w:rPr>
        <w:t>E. Reproducibility and protocol integrity</w:t>
      </w:r>
    </w:p>
    <w:p w14:paraId="380C9EBB" w14:textId="77777777" w:rsidR="008867B5" w:rsidRDefault="00000000">
      <w:pPr>
        <w:pageBreakBefore w:val="0"/>
        <w:spacing w:after="80" w:line="480" w:lineRule="auto"/>
        <w:ind w:firstLine="346"/>
        <w:jc w:val="both"/>
      </w:pPr>
      <w:r>
        <w:rPr>
          <w:rFonts w:ascii="Times New Roman" w:hAnsi="Times New Roman"/>
          <w:color w:val="000000"/>
          <w:sz w:val="19"/>
        </w:rPr>
        <w:t>We fixed the architecture and analysis plan before evaluating efficacy. The AF-v3 E1 record is GitHub Actions run 34178527532 at source commit 0f60eb5; full identifiers and artifact digests are listed in the provenance manifest. An earlier execution completed the scientific computation but failed while writing provenance paths. The technical rerun preserved the architecture, seeds, coefficients, budgets, endpoints, and statistical rules.</w:t>
      </w:r>
    </w:p>
    <w:p w14:paraId="57323A88" w14:textId="77777777" w:rsidR="008867B5" w:rsidRDefault="00000000">
      <w:pPr>
        <w:pStyle w:val="Heading2"/>
        <w:keepNext/>
        <w:pageBreakBefore w:val="0"/>
        <w:spacing w:after="80" w:line="480" w:lineRule="auto"/>
      </w:pPr>
      <w:r>
        <w:rPr>
          <w:rFonts w:ascii="Times New Roman" w:hAnsi="Times New Roman"/>
          <w:color w:val="000000"/>
        </w:rPr>
        <w:t>F. Descriptive training diagnostics</w:t>
      </w:r>
    </w:p>
    <w:p w14:paraId="3CFC6200" w14:textId="77777777" w:rsidR="008867B5" w:rsidRDefault="00000000">
      <w:pPr>
        <w:pageBreakBefore w:val="0"/>
        <w:spacing w:after="80" w:line="480" w:lineRule="auto"/>
      </w:pPr>
      <w:r>
        <w:rPr>
          <w:rFonts w:ascii="Times New Roman" w:hAnsi="Times New Roman"/>
          <w:color w:val="000000"/>
          <w:sz w:val="19"/>
        </w:rPr>
        <w:t>Figure 2 follows training across the 30 seeds. Between archived update 0 and update 7, mean episode reward rose from 0.056 to 1.729 for attention and from −0.090 to 1.866 for the MLP. Mean training delivery rose from 0.534 to 0.749 and from 0.501 to 0.759, respectively. These curves show progress within the allocated budget, but they do not establish convergence or optimality. The shading represents pointwise 95% t intervals for the across-seed mean.</w:t>
      </w:r>
    </w:p>
    <w:p w14:paraId="53F3BDFF" w14:textId="77777777" w:rsidR="008867B5" w:rsidRDefault="00000000">
      <w:pPr>
        <w:pStyle w:val="Heading1"/>
        <w:keepNext/>
        <w:pageBreakBefore w:val="0"/>
        <w:spacing w:before="180" w:after="80" w:line="480" w:lineRule="auto"/>
      </w:pPr>
      <w:r>
        <w:rPr>
          <w:rFonts w:ascii="Times New Roman" w:hAnsi="Times New Roman"/>
          <w:color w:val="000000"/>
        </w:rPr>
        <w:t>VI. Results</w:t>
      </w:r>
    </w:p>
    <w:p w14:paraId="48CCC158" w14:textId="77777777" w:rsidR="008867B5" w:rsidRDefault="00000000">
      <w:pPr>
        <w:pStyle w:val="Heading2"/>
        <w:keepNext/>
        <w:pageBreakBefore w:val="0"/>
        <w:spacing w:before="120" w:after="80" w:line="480" w:lineRule="auto"/>
      </w:pPr>
      <w:r>
        <w:rPr>
          <w:rFonts w:ascii="Times New Roman" w:hAnsi="Times New Roman"/>
          <w:color w:val="000000"/>
        </w:rPr>
        <w:t>A. Co-primary confirmatory endpoints</w:t>
      </w:r>
    </w:p>
    <w:p w14:paraId="405C16C2" w14:textId="77777777" w:rsidR="008867B5" w:rsidRDefault="008867B5">
      <w:pPr>
        <w:pageBreakBefore w:val="0"/>
        <w:spacing w:after="80" w:line="480" w:lineRule="auto"/>
      </w:pPr>
    </w:p>
    <w:p w14:paraId="27E1F1BC" w14:textId="77777777" w:rsidR="008867B5" w:rsidRDefault="00000000">
      <w:pPr>
        <w:pageBreakBefore w:val="0"/>
        <w:spacing w:after="80" w:line="480" w:lineRule="auto"/>
        <w:ind w:firstLine="346"/>
        <w:jc w:val="both"/>
      </w:pPr>
      <w:r>
        <w:t>Figures 3 and 4 show seedwise outcomes for both policies on the co-primary endpoints. Mean delivered delay is numerically higher under attention, and its confidence interval includes zero. It therefore meets neither the directional requirement nor the multiplicity-adjusted significance requirement. The Class-0 total violation rate falls by 0.03125 absolute, with its confidence interval entirely below zero and Holm-adjusted p=0.007703. The paired standardized effect is moderate (dz=-0.574). Both endpoints had to succeed, so these results do not confirm the prespecified superiority hypothesis.</w:t>
      </w:r>
      <w:r>
        <w:t xml:space="preserve"> Table IV reports the paired inferential results.</w:t>
      </w:r>
    </w:p>
    <w:p w14:paraId="05321D9B" w14:textId="77777777" w:rsidR="008867B5" w:rsidRDefault="00000000">
      <w:pPr>
        <w:pStyle w:val="Heading2"/>
        <w:keepNext/>
        <w:pageBreakBefore w:val="0"/>
        <w:spacing w:before="120" w:after="80" w:line="480" w:lineRule="auto"/>
      </w:pPr>
      <w:r>
        <w:rPr>
          <w:rFonts w:ascii="Times New Roman" w:hAnsi="Times New Roman"/>
          <w:color w:val="000000"/>
        </w:rPr>
        <w:t>B. Non-inferiority guardrails</w:t>
      </w:r>
    </w:p>
    <w:p w14:paraId="60C15FE3" w14:textId="77777777" w:rsidR="008867B5" w:rsidRDefault="008867B5">
      <w:pPr>
        <w:pageBreakBefore w:val="0"/>
        <w:spacing w:after="80" w:line="480" w:lineRule="auto"/>
      </w:pPr>
    </w:p>
    <w:p w14:paraId="75886F2A" w14:textId="77777777" w:rsidR="008867B5" w:rsidRDefault="00000000">
      <w:pPr>
        <w:pageBreakBefore w:val="0"/>
        <w:spacing w:after="80" w:line="480" w:lineRule="auto"/>
        <w:ind w:firstLine="346"/>
        <w:jc w:val="both"/>
      </w:pPr>
      <w:r>
        <w:rPr>
          <w:rFonts w:ascii="Times New Roman" w:hAnsi="Times New Roman"/>
          <w:color w:val="000000"/>
          <w:sz w:val="19"/>
        </w:rPr>
        <w:t>Attention passed both non-inferiority checks. Overall delivery was higher on average, and energy per delivered packet stayed within the prespecified margin. The failed mean-delay endpoint nevertheless means that the joint success criterion was not met.</w:t>
      </w:r>
      <w:r>
        <w:t xml:space="preserve"> Table V reports the estimates and frozen margins.</w:t>
      </w:r>
    </w:p>
    <w:p w14:paraId="0E1D8716" w14:textId="77777777" w:rsidR="008867B5" w:rsidRDefault="00000000">
      <w:pPr>
        <w:pStyle w:val="Heading2"/>
        <w:keepNext/>
        <w:pageBreakBefore w:val="0"/>
        <w:spacing w:before="120" w:after="80" w:line="480" w:lineRule="auto"/>
      </w:pPr>
      <w:r>
        <w:rPr>
          <w:rFonts w:ascii="Times New Roman" w:hAnsi="Times New Roman"/>
          <w:color w:val="000000"/>
        </w:rPr>
        <w:t>C. Descriptive baselines</w:t>
      </w:r>
    </w:p>
    <w:p w14:paraId="1DD40EF7" w14:textId="77777777" w:rsidR="008867B5" w:rsidRDefault="00000000">
      <w:pPr>
        <w:keepNext/>
        <w:pageBreakBefore w:val="0"/>
        <w:spacing w:after="80" w:line="480" w:lineRule="auto"/>
        <w:ind w:firstLine="346"/>
        <w:jc w:val="both"/>
      </w:pPr>
      <w:r>
        <w:rPr>
          <w:rFonts w:ascii="Times New Roman" w:hAnsi="Times New Roman"/>
          <w:color w:val="000000"/>
          <w:sz w:val="19"/>
        </w:rPr>
        <w:t>Table VI reports static energy-risk-ETX and periodic ROA energy-risk-ETX routing as descriptive baselines. Both use the AF-v1 configuration, whose clustering, hierarchy, and shield settings differ from the primary experiment. These comparisons provide context but cannot isolate the effect of policy representation. They are therefore outside the confirmatory endpoint family and strict decision rule.</w:t>
      </w:r>
    </w:p>
    <w:p w14:paraId="36F5BC87" w14:textId="77777777" w:rsidR="008867B5" w:rsidRDefault="008867B5">
      <w:pPr>
        <w:pageBreakBefore w:val="0"/>
        <w:spacing w:after="80" w:line="480" w:lineRule="auto"/>
      </w:pPr>
    </w:p>
    <w:p w14:paraId="0C4E5665" w14:textId="77777777" w:rsidR="008867B5" w:rsidRDefault="00000000">
      <w:pPr>
        <w:pStyle w:val="Heading1"/>
        <w:keepNext/>
        <w:pageBreakBefore w:val="0"/>
        <w:spacing w:before="180" w:after="80" w:line="480" w:lineRule="auto"/>
      </w:pPr>
      <w:r>
        <w:rPr>
          <w:rFonts w:ascii="Times New Roman" w:hAnsi="Times New Roman"/>
          <w:color w:val="000000"/>
        </w:rPr>
        <w:t>VII. Exploratory mechanism analysis</w:t>
      </w:r>
    </w:p>
    <w:p w14:paraId="345521E1" w14:textId="77777777" w:rsidR="008867B5" w:rsidRDefault="00000000">
      <w:pPr>
        <w:pageBreakBefore w:val="0"/>
        <w:spacing w:after="80" w:line="480" w:lineRule="auto"/>
        <w:ind w:firstLine="346"/>
        <w:jc w:val="both"/>
      </w:pPr>
      <w:r>
        <w:rPr>
          <w:rFonts w:ascii="Times New Roman" w:hAnsi="Times New Roman"/>
          <w:color w:val="000000"/>
          <w:sz w:val="19"/>
        </w:rPr>
        <w:t>The analyses in this section were carried out after the confirmatory decision and are treated as exploratory. They are used to understand why the two primary endpoints moved differently; they do not modify the pre-specified verdict or introduce a new success criterion.</w:t>
      </w:r>
    </w:p>
    <w:p w14:paraId="41018FA0" w14:textId="77777777" w:rsidR="008867B5" w:rsidRDefault="00000000">
      <w:pPr>
        <w:pStyle w:val="Heading2"/>
        <w:keepNext/>
        <w:pageBreakBefore w:val="0"/>
        <w:spacing w:before="120" w:after="80" w:line="480" w:lineRule="auto"/>
      </w:pPr>
      <w:r>
        <w:rPr>
          <w:rFonts w:ascii="Times New Roman" w:hAnsi="Times New Roman"/>
          <w:color w:val="000000"/>
        </w:rPr>
        <w:t>A. Exact decomposition of total violation</w:t>
      </w:r>
    </w:p>
    <w:p w14:paraId="73EFD3A0" w14:textId="77777777" w:rsidR="008867B5" w:rsidRDefault="00000000">
      <w:pPr>
        <w:pageBreakBefore w:val="0"/>
        <w:spacing w:after="80" w:line="480" w:lineRule="auto"/>
        <w:ind w:firstLine="346"/>
        <w:jc w:val="both"/>
      </w:pPr>
      <w:r>
        <w:rPr>
          <w:rFonts w:ascii="Times New Roman" w:hAnsi="Times New Roman"/>
          <w:color w:val="000000"/>
          <w:sz w:val="19"/>
        </w:rPr>
        <w:t>For Class 0, a total violation consists of one of two mutually exclusive outcomes: the packet is not delivered, or it is delivered after the 90 ms deadline. The attention-minus-MLP difference is -0.027483 for Class-0 loss and -0.003771 for the delivered-late fraction. These components sum to -0.031254, exactly reproducing the confirmatory total-violation difference. In magnitude, about 87.9% of the observed improvement therefore comes from fewer losses rather than from fewer late deliveries. Table VII summarizes this decomposition.</w:t>
      </w:r>
    </w:p>
    <w:p w14:paraId="65F2301A" w14:textId="77777777" w:rsidR="008867B5" w:rsidRDefault="008867B5">
      <w:pPr>
        <w:pageBreakBefore w:val="0"/>
        <w:spacing w:after="80" w:line="480" w:lineRule="auto"/>
      </w:pPr>
    </w:p>
    <w:p w14:paraId="172C3655" w14:textId="77777777" w:rsidR="008867B5" w:rsidRDefault="00000000">
      <w:pPr>
        <w:pStyle w:val="Heading2"/>
        <w:keepNext/>
        <w:pageBreakBefore w:val="0"/>
        <w:spacing w:before="120" w:after="80" w:line="480" w:lineRule="auto"/>
      </w:pPr>
      <w:r>
        <w:rPr>
          <w:rFonts w:ascii="Times New Roman" w:hAnsi="Times New Roman"/>
          <w:color w:val="000000"/>
        </w:rPr>
        <w:t>B. Route-length composition and survivor bias</w:t>
      </w:r>
    </w:p>
    <w:p w14:paraId="162D090A"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Figure 5 shows the route-length composition. Among delivered Class-0 packets, attention increases the per-seed mean hop count by about 0.0648 and the three-hop share by about 0.0458. Within a fixed hop count, pooled delivered delays are not higher for attention: 30.083 versus 30.136 ms at one hop, 60.926 versus 62.098 ms at two hops, and 90.196 versus 96.368 ms at three hops. The larger difference is in route composition: attention delivers 186 three-hop Class-0 packets, whereas the MLP delivers 75.</w:t>
      </w:r>
    </w:p>
    <w:p w14:paraId="271C5CFC" w14:textId="77777777" w:rsidR="008867B5" w:rsidRDefault="00000000">
      <w:pPr>
        <w:pageBreakBefore w:val="0"/>
        <w:spacing w:after="80" w:line="480" w:lineRule="auto"/>
        <w:ind w:firstLine="346"/>
        <w:jc w:val="both"/>
      </w:pPr>
      <w:r>
        <w:rPr>
          <w:rFonts w:ascii="Times New Roman" w:hAnsi="Times New Roman"/>
          <w:color w:val="000000"/>
          <w:sz w:val="19"/>
        </w:rPr>
        <w:t xml:space="preserve">The pooled delivered means are 52.19 ms for attention and 51.26 ms for the MLP. Reweighting attention’s within-hop means with the MLP hop proportions gives 50.35 ms. This calculation is consistent with route composition contributing to the observed delay difference. It does not establish that attention causally improves </w:t>
      </w:r>
      <w:r>
        <w:rPr>
          <w:rFonts w:ascii="Times New Roman" w:hAnsi="Times New Roman"/>
          <w:color w:val="000000"/>
          <w:sz w:val="19"/>
        </w:rPr>
        <w:t>delay within comparable packets: the delivered populations differ, and the reweighting is neither randomized nor a mediation analysis.</w:t>
      </w:r>
    </w:p>
    <w:p w14:paraId="0627E8CC" w14:textId="77777777" w:rsidR="008867B5" w:rsidRDefault="00000000">
      <w:pPr>
        <w:pStyle w:val="Heading2"/>
        <w:keepNext/>
        <w:pageBreakBefore w:val="0"/>
        <w:spacing w:before="120" w:after="80" w:line="480" w:lineRule="auto"/>
      </w:pPr>
      <w:r>
        <w:rPr>
          <w:rFonts w:ascii="Times New Roman" w:hAnsi="Times New Roman"/>
          <w:color w:val="000000"/>
        </w:rPr>
        <w:t>C. Security-drop pattern</w:t>
      </w:r>
    </w:p>
    <w:p w14:paraId="441A84E5" w14:textId="77777777" w:rsidR="008867B5" w:rsidRDefault="00000000">
      <w:pPr>
        <w:pageBreakBefore w:val="0"/>
        <w:spacing w:after="80" w:line="480" w:lineRule="auto"/>
        <w:ind w:firstLine="346"/>
        <w:jc w:val="both"/>
      </w:pPr>
      <w:r>
        <w:rPr>
          <w:rFonts w:ascii="Times New Roman" w:hAnsi="Times New Roman"/>
          <w:color w:val="000000"/>
          <w:sz w:val="19"/>
        </w:rPr>
        <w:t>The overall security-drop rate is 0.0308 for attention and 0.0649 for the MLP, and the paired Class-0 delivery difference is approximately +0.0275. These descriptive results are consistent with greater use of lower-risk forwarding opportunities. The logs do not identify which individual packets would have survived under both policies, so they cannot establish a causal path from risk scoring to route length and delay.</w:t>
      </w:r>
    </w:p>
    <w:p w14:paraId="4869142A" w14:textId="77777777" w:rsidR="008867B5" w:rsidRDefault="00000000">
      <w:pPr>
        <w:pStyle w:val="Heading1"/>
        <w:keepNext/>
        <w:pageBreakBefore w:val="0"/>
        <w:spacing w:before="180" w:after="80" w:line="480" w:lineRule="auto"/>
      </w:pPr>
      <w:r>
        <w:rPr>
          <w:rFonts w:ascii="Times New Roman" w:hAnsi="Times New Roman"/>
          <w:color w:val="000000"/>
        </w:rPr>
        <w:t>VIII. Development-only residual-slack sensitivity</w:t>
      </w:r>
    </w:p>
    <w:p w14:paraId="02377A56" w14:textId="77777777" w:rsidR="008867B5" w:rsidRDefault="00000000">
      <w:pPr>
        <w:pageBreakBefore w:val="0"/>
        <w:spacing w:after="80" w:line="480" w:lineRule="auto"/>
        <w:ind w:firstLine="346"/>
        <w:jc w:val="both"/>
      </w:pPr>
      <w:r>
        <w:rPr>
          <w:rFonts w:ascii="Times New Roman" w:hAnsi="Times New Roman"/>
          <w:color w:val="000000"/>
          <w:sz w:val="19"/>
        </w:rPr>
        <w:t>After AF-v3 E1, we fixed a separate AF-v4 development protocol and evaluated two residual-slack attention variants against a state-matched slack-aware MLP on 20 fresh seeds. Neither met the selection criteria. The candidate-minus-MLP Class-0 mean-delay differences were +3.226 ms for the slack-feature model and +1.628 ms for the slack-monotone model, although both delivery and energy guardrails passed. No candidate was selected, and the 30 reserved AF-v4 confirmatory seeds remained unused. Appendix A reports the criteria, intervals, and decision.</w:t>
      </w:r>
    </w:p>
    <w:p w14:paraId="255CD803" w14:textId="77777777" w:rsidR="008867B5" w:rsidRDefault="008867B5">
      <w:pPr>
        <w:pageBreakBefore w:val="0"/>
        <w:spacing w:after="80" w:line="480" w:lineRule="auto"/>
      </w:pPr>
    </w:p>
    <w:p>
      <w:pPr>
        <w:pStyle w:val="Heading1"/>
        <w:keepNext/>
        <w:pageBreakBefore w:val="0"/>
        <w:spacing w:after="80" w:line="480" w:lineRule="auto"/>
      </w:pPr>
      <w:r>
        <w:rPr>
          <w:rFonts w:ascii="Times New Roman" w:hAnsi="Times New Roman"/>
          <w:color w:val="000000"/>
        </w:rPr>
        <w:t>IX. Independent reviewer-led validation</w:t>
      </w:r>
    </w:p>
    <w:p>
      <w:pPr>
        <w:pageBreakBefore w:val="0"/>
        <w:spacing w:after="80" w:line="480" w:lineRule="auto"/>
      </w:pPr>
      <w:r>
        <w:rPr>
          <w:rFonts w:ascii="Times New Roman" w:hAnsi="Times New Roman"/>
          <w:color w:val="000000"/>
          <w:sz w:val="19"/>
        </w:rPr>
        <w:t>This validation was specified separately after the historical AF-v3 and AF-v4 programs. The original gates and outcomes remain unchanged. Thirty new evaluation seeds, 41001–41030, were fixed before the new outcomes were generated. Each arm received eight updates of 50 training episodes and three PPO epochs per update. Trained weights were evaluated for 240 episodes in each setting and retained as checkpoints.</w:t>
      </w:r>
    </w:p>
    <w:p>
      <w:pPr>
        <w:pageBreakBefore w:val="0"/>
        <w:spacing w:after="80" w:line="480" w:lineRule="auto"/>
      </w:pPr>
      <w:r>
        <w:rPr>
          <w:rFonts w:ascii="Times New Roman" w:hAnsi="Times New Roman"/>
          <w:color w:val="000000"/>
          <w:sz w:val="19"/>
        </w:rPr>
        <w:t>The attention model contains 63,368 parameters. The nearest-size fixed-slot MLP contains 63,554. Its width was chosen from parameter count alone. This controls total parameter count approximately; compute, layer structure and inductive bias remain different. Two additional attention arms remove risk from candidate features, preselection and reward, or observe only 80% of forwarding outcomes. The latter is a missing-feedback sensitivity analysis, not a live-traffic implementation.</w:t>
      </w:r>
    </w:p>
    <w:p>
      <w:pPr>
        <w:pageBreakBefore w:val="0"/>
        <w:spacing w:after="80" w:line="480" w:lineRule="auto"/>
      </w:pPr>
      <w:r>
        <w:rPr>
          <w:rFonts w:ascii="Times New Roman" w:hAnsi="Times New Roman"/>
          <w:color w:val="000000"/>
          <w:sz w:val="19"/>
        </w:rPr>
        <w:t>Separate seeded generators govern traffic selection, queue dynamics, attack transitions, radio draws and feedback omission. Radio consumption therefore does not alter later traffic-class draws. Policy-dependent radio and attack draws remain possible, and source eligibility can diverge after node death. The experiment does not replay an identical per-edge external-event schedule.</w:t>
      </w:r>
    </w:p>
    <w:p>
      <w:pPr>
        <w:pageBreakBefore w:val="0"/>
        <w:spacing w:after="80" w:line="480" w:lineRule="auto"/>
      </w:pPr>
      <w:r>
        <w:rPr>
          <w:rFonts w:ascii="Times New Roman" w:hAnsi="Times New Roman"/>
          <w:color w:val="000000"/>
          <w:sz w:val="19"/>
        </w:rPr>
        <w:t>The nominal comparison family consists of the six paired tests formed by three comparators and two critical-class endpoints. Holm correction is applied jointly to these six tests. Paired 95% intervals are unadjusted. Transfer evaluations retain the trained weights and change only the node count to 200 in the same area or the malicious-node ratio to 10% or 40%. These secondary results measure sensitivity; increasing density is not a density-preserving scalability test.</w:t>
      </w:r>
      <w:r>
        <w:t xml:space="preserve"> Table IX summarizes the nominal and transfer outcomes.</w:t>
      </w:r>
    </w:p>
    <w:p>
      <w:pPr>
        <w:pageBreakBefore w:val="0"/>
        <w:spacing w:after="80" w:line="480" w:lineRule="auto"/>
      </w:pPr>
      <w:r>
        <w:rPr>
          <w:rFonts w:ascii="Times New Roman" w:hAnsi="Times New Roman"/>
          <w:color w:val="000000"/>
          <w:sz w:val="19"/>
        </w:rPr>
        <w:t>Against the capacity-matched MLP, attention changed mean delivered delay by +0.8205 ms (95% CI -0.1212 to +1.7623; Holm p=0.3409). Total violations changed by -1.5223 percentage points (95% CI -2.7538 to -0.2909; Holm p=0.08581). Table VIII reports all nominal comparisons, and Fig. 6 shows their effect intervals. Unfavorable and inconclusive contrasts are retained.</w:t>
      </w:r>
    </w:p>
    <w:p>
      <w:pPr>
        <w:pageBreakBefore w:val="0"/>
        <w:spacing w:after="80" w:line="480" w:lineRule="auto"/>
      </w:pPr>
      <w:r>
        <w:rPr>
          <w:rFonts w:ascii="Times New Roman" w:hAnsi="Times New Roman"/>
          <w:color w:val="000000"/>
          <w:sz w:val="19"/>
        </w:rPr>
        <w:t>In the nominal simulation study, forwarding observations come from simulator outcomes. The separate UDP diagnostics below validate packet/feedback software integration but retain synthetic link features and omit realistic radio overhead.</w:t>
      </w:r>
    </w:p>
    <w:p>
      <w:pPr>
        <w:pStyle w:val="Heading2"/>
        <w:keepNext/>
        <w:pageBreakBefore w:val="0"/>
        <w:spacing w:line="480" w:lineRule="auto"/>
      </w:pPr>
      <w:r>
        <w:rPr>
          <w:rFonts w:ascii="Times New Roman" w:hAnsi="Times New Roman"/>
          <w:color w:val="000000"/>
        </w:rPr>
        <w:t>A. Packet feedback and frozen policy integration</w:t>
      </w:r>
    </w:p>
    <w:p>
      <w:pPr>
        <w:pageBreakBefore w:val="0"/>
        <w:spacing w:line="480" w:lineRule="auto"/>
      </w:pPr>
      <w:r>
        <w:rPr>
          <w:rFonts w:ascii="Times New Roman" w:hAnsi="Times New Roman"/>
          <w:color w:val="000000"/>
          <w:sz w:val="19"/>
        </w:rPr>
        <w:t>The software feedback adapter sends an actual UDP datagram to the selected relay and accepts an acknowledgment only from the intended endpoint with matching sequence and nonce. A separate sink socket witnesses downstream receipt before the relay acknowledges forwarding. The acknowledgment or timeout updates the Bayesian posterior before the next observation and policy inference. No attack label or fault-target identifier is supplied to the policy. Nonces prevent packet confusion but do not authenticate peers. Expected link PDR remains model-derived.</w:t>
      </w:r>
      <w:r>
        <w:t xml:space="preserve"> In the simulator, a hop outcome is credited to the current transmitting node; in the UDP diagnostic, a downstream receipt is credited to the selected relay after its relay-to-sink forwarding. The observation point differs, so the diagnostic is an interface-transfer test rather than a bitwise reproduction of simulator feedback.</w:t>
      </w:r>
    </w:p>
    <w:p>
      <w:pPr>
        <w:pageBreakBefore w:val="0"/>
        <w:spacing w:line="480" w:lineRule="auto"/>
      </w:pPr>
      <w:r>
        <w:rPr>
          <w:rFonts w:ascii="Times New Roman" w:hAnsi="Times New Roman"/>
          <w:color w:val="000000"/>
          <w:sz w:val="19"/>
        </w:rPr>
        <w:t>A preliminary periodic-fault fixture changed policy probabilities but produced no next-hop changes in 360 attempts. A subsequent persistent initial-relay fault diagnostic used all 30 frozen attention checkpoints and 30 fresh fixtures. Twenty-five fixtures selected an alternative relay; five did not. In the 25 first-switch decisions, the faulty relay remained a candidate and was unmasked. These exploratory diagnostics motivated the separately specified capacity comparison below; they are not confirmatory trials.</w:t>
      </w:r>
    </w:p>
    <w:p>
      <w:pPr>
        <w:pStyle w:val="Heading2"/>
        <w:keepNext/>
        <w:pageBreakBefore w:val="0"/>
        <w:spacing w:line="480" w:lineRule="auto"/>
      </w:pPr>
      <w:r>
        <w:rPr>
          <w:rFonts w:ascii="Times New Roman" w:hAnsi="Times New Roman"/>
          <w:color w:val="000000"/>
        </w:rPr>
        <w:t>B. Shared target capacity comparison</w:t>
      </w:r>
    </w:p>
    <w:p>
      <w:pPr>
        <w:pageBreakBefore w:val="0"/>
        <w:spacing w:line="480" w:lineRule="auto"/>
      </w:pPr>
      <w:r>
        <w:rPr>
          <w:rFonts w:ascii="Times New Roman" w:hAnsi="Times New Roman"/>
          <w:color w:val="000000"/>
          <w:sz w:val="19"/>
        </w:rPr>
        <w:t>Thirty fresh topology seeds, 73001–73030, were paired with the existing attention and capacity-MLP checkpoints, 41001–41030. Each fixture used two shared fault targets: the relay initially preferred by attention and the relay initially preferred by the MLP. Both controllers faced both targets for 30 attempts each. No model was retrained or selected after the outcomes. Source position, energy, queues and QoS state stayed fixed within each run; only forwarding-risk posteriors evolved. The relay fault was persistent and targeted, rather than a sample from a random malicious-node distribution.</w:t>
      </w:r>
    </w:p>
    <w:p>
      <w:pPr>
        <w:pageBreakBefore w:val="0"/>
        <w:spacing w:line="480" w:lineRule="auto"/>
      </w:pPr>
      <w:r>
        <w:rPr>
          <w:rFonts w:ascii="Times New Roman" w:hAnsi="Times New Roman"/>
          <w:color w:val="000000"/>
          <w:sz w:val="19"/>
        </w:rPr>
        <w:t>The two target choices coincided in 26 fixtures. We averaged their outcomes within fixture before paired inference, retaining n = 30 rather than treating the 120 executed runs as independent experiments. Both policies initially chose the faulty relay in 56 of their 60 scenarios. Mean sink delivery was 85.39% for attention and 32.22% for the capacity-matched MLP. The paired difference was 53.17 percentage points (95% Student-t interval, 35.31–71.02; two-sided paired p = 1.246 × 10⁻⁶). Attention performed better in 21 fixtures, tied in eight and worse in one. Table X and Fig. 7 report these diagnostic outcomes.</w:t>
      </w:r>
    </w:p>
    <w:p>
      <w:pPr>
        <w:pStyle w:val="Heading2"/>
        <w:keepNext/>
        <w:pageBreakBefore w:val="0"/>
        <w:spacing w:line="480" w:lineRule="auto"/>
      </w:pPr>
      <w:r>
        <w:rPr>
          <w:rFonts w:ascii="Times New Roman" w:hAnsi="Times New Roman"/>
          <w:color w:val="000000"/>
        </w:rPr>
        <w:t>C. Verification and interpretation limits</w:t>
      </w:r>
    </w:p>
    <w:p>
      <w:pPr>
        <w:pageBreakBefore w:val="0"/>
        <w:spacing w:line="480" w:lineRule="auto"/>
      </w:pPr>
      <w:r>
        <w:rPr>
          <w:rFonts w:ascii="Times New Roman" w:hAnsi="Times New Roman"/>
          <w:color w:val="000000"/>
          <w:sz w:val="19"/>
        </w:rPr>
        <w:t>Across 3,600 attempts, the sink witnessed 2,117 deliveries and 1,483 attempts timed out. The adapter and sink witness agreed on every recorded outcome. A separate verifier reconstructed the observations, risk posteriors, checkpoint hashes, policy probabilities and selected actions for all records. All 47 repository tests passed. This verifies internal software consistency; it is not an external packet-capture or authenticated observer audit.</w:t>
      </w:r>
    </w:p>
    <w:p>
      <w:pPr>
        <w:pageBreakBefore w:val="0"/>
        <w:spacing w:line="480" w:lineRule="auto"/>
      </w:pPr>
      <w:r>
        <w:rPr>
          <w:rFonts w:ascii="Times New Roman" w:hAnsi="Times New Roman"/>
          <w:color w:val="000000"/>
          <w:sz w:val="19"/>
        </w:rPr>
        <w:t>The UDP payload is a seven-byte fixture message plus JSON metadata, not the simulator’s 4,000-bit application packet. Relays communicate directly with the localhost sink regardless of radio reachability. The 20 ms timeout is a harness setting, not a measured wireless deadline. MAC contention, fading, sleep currents, acknowledgment energy and distributed authentication are absent. The positive diagnostic therefore supports a feedback-responsive frozen routing pipeline in this targeted fixture, while the earlier nominal co-primary results remain unchanged.</w:t>
      </w:r>
    </w:p>
    <w:p w14:paraId="75D7A95B" w14:textId="77777777" w:rsidR="008867B5" w:rsidRDefault="00000000">
      <w:pPr>
        <w:pStyle w:val="Heading1"/>
        <w:keepNext/>
        <w:pageBreakBefore w:val="0"/>
        <w:spacing w:before="180" w:after="80" w:line="480" w:lineRule="auto"/>
      </w:pPr>
      <w:r>
        <w:rPr>
          <w:rFonts w:ascii="Times New Roman" w:hAnsi="Times New Roman"/>
          <w:color w:val="000000"/>
        </w:rPr>
        <w:t>X. Discussion</w:t>
      </w:r>
    </w:p>
    <w:p w14:paraId="6D88F6BA" w14:textId="77777777" w:rsidR="008867B5" w:rsidRDefault="00000000">
      <w:pPr>
        <w:pStyle w:val="Heading2"/>
        <w:keepNext/>
        <w:pageBreakBefore w:val="0"/>
        <w:spacing w:before="120" w:after="80" w:line="480" w:lineRule="auto"/>
      </w:pPr>
      <w:r>
        <w:rPr>
          <w:rFonts w:ascii="Times New Roman" w:hAnsi="Times New Roman"/>
          <w:color w:val="000000"/>
        </w:rPr>
        <w:t>A. Reliability and delivered-packet delay</w:t>
      </w:r>
    </w:p>
    <w:p w14:paraId="3A6E2259" w14:textId="77777777" w:rsidR="008867B5" w:rsidRDefault="00000000">
      <w:pPr>
        <w:pageBreakBefore w:val="0"/>
        <w:spacing w:after="80" w:line="480" w:lineRule="auto"/>
        <w:ind w:firstLine="346"/>
        <w:jc w:val="both"/>
      </w:pPr>
      <w:r>
        <w:rPr>
          <w:rFonts w:ascii="Times New Roman" w:hAnsi="Times New Roman"/>
          <w:color w:val="000000"/>
          <w:sz w:val="19"/>
        </w:rPr>
        <w:t>In the tested 100-node mixed-attack setting, LA-CPPO lowered Class-0 total violations relative to the fixed-slot MLP under the same training budget. Both the Holm-adjusted paired t-test and the Wilcoxon sensitivity analysis supported this endpoint, and the delivery and energy guardrails passed. Because non-delivery counts as a violation, the improvement chiefly reflects a useful reliability gain.</w:t>
      </w:r>
    </w:p>
    <w:p w14:paraId="2E289603" w14:textId="77777777" w:rsidR="008867B5" w:rsidRDefault="00000000">
      <w:pPr>
        <w:pageBreakBefore w:val="0"/>
        <w:spacing w:after="80" w:line="480" w:lineRule="auto"/>
        <w:ind w:firstLine="346"/>
        <w:jc w:val="both"/>
      </w:pPr>
      <w:r>
        <w:rPr>
          <w:rFonts w:ascii="Times New Roman" w:hAnsi="Times New Roman"/>
          <w:color w:val="000000"/>
          <w:sz w:val="19"/>
        </w:rPr>
        <w:t>Passing the relative guardrails does not imply that the absolute class budgets were met. The across-seed Class-0 total-violation and loss rates under attention were 0.1242 and 0.0480, respectively, against budgets of 0.015 for each channel. Class-1 rates also exceeded their 0.04 budgets. Table XI reports all six descriptive rates. The finite-budget Lagrangian training procedure therefore did not establish empirical constraint satisfaction in the evaluated setting.</w:t>
      </w:r>
    </w:p>
    <w:p w14:paraId="660FB739" w14:textId="77777777" w:rsidR="008867B5" w:rsidRDefault="00000000">
      <w:pPr>
        <w:pageBreakBefore w:val="0"/>
        <w:spacing w:after="80" w:line="480" w:lineRule="auto"/>
        <w:ind w:firstLine="346"/>
        <w:jc w:val="both"/>
      </w:pPr>
      <w:r>
        <w:rPr>
          <w:rFonts w:ascii="Times New Roman" w:hAnsi="Times New Roman"/>
          <w:color w:val="000000"/>
          <w:sz w:val="19"/>
        </w:rPr>
        <w:t>Attention had a numerically higher mean delivered delay, with a confidence interval spanning zero, and the joint success criterion failed. Mean delay among delivered packets can favor a policy that loses the more difficult traffic. The reliability gain must therefore be read alongside this unsuccessful delay endpoint.</w:t>
      </w:r>
    </w:p>
    <w:p w14:paraId="03F4E026" w14:textId="77777777" w:rsidR="008867B5" w:rsidRDefault="00000000">
      <w:pPr>
        <w:pStyle w:val="Heading2"/>
        <w:keepNext/>
        <w:pageBreakBefore w:val="0"/>
        <w:spacing w:before="120" w:after="80" w:line="480" w:lineRule="auto"/>
      </w:pPr>
      <w:r>
        <w:rPr>
          <w:rFonts w:ascii="Times New Roman" w:hAnsi="Times New Roman"/>
          <w:color w:val="000000"/>
        </w:rPr>
        <w:t>B. Representation-level interpretation</w:t>
      </w:r>
    </w:p>
    <w:p w14:paraId="6447CE7F" w14:textId="77777777" w:rsidR="008867B5" w:rsidRDefault="00000000">
      <w:pPr>
        <w:pageBreakBefore w:val="0"/>
        <w:spacing w:after="80" w:line="480" w:lineRule="auto"/>
        <w:ind w:firstLine="346"/>
        <w:jc w:val="both"/>
      </w:pPr>
      <w:r>
        <w:rPr>
          <w:rFonts w:ascii="Times New Roman" w:hAnsi="Times New Roman"/>
          <w:color w:val="000000"/>
          <w:sz w:val="19"/>
        </w:rPr>
        <w:t>The fixed-slot MLP can use deterministic candidate rank as a cue. The shared attention model has no equivalent slot-specific parameters. Route-composition and security-drop patterns suggest that the two implementations use candidate information differently, but unequal parameter counts prevent an attribution to attention at equal capacity. The unsuccessful AF-v4 refinement also shows that the tested residual-slack additions did not remove the delay trade-off.</w:t>
      </w:r>
    </w:p>
    <w:p w14:paraId="31C9BCEC" w14:textId="77777777" w:rsidR="008867B5" w:rsidRDefault="00000000">
      <w:pPr>
        <w:pStyle w:val="Heading2"/>
        <w:keepNext/>
        <w:pageBreakBefore w:val="0"/>
        <w:spacing w:before="120" w:after="80" w:line="480" w:lineRule="auto"/>
      </w:pPr>
      <w:r>
        <w:rPr>
          <w:rFonts w:ascii="Times New Roman" w:hAnsi="Times New Roman"/>
          <w:color w:val="000000"/>
        </w:rPr>
        <w:t>C. Implications for evaluation of learned routing</w:t>
      </w:r>
    </w:p>
    <w:p w14:paraId="23617AF5" w14:textId="77777777" w:rsidR="008867B5" w:rsidRDefault="00000000">
      <w:pPr>
        <w:pageBreakBefore w:val="0"/>
        <w:spacing w:after="80" w:line="480" w:lineRule="auto"/>
        <w:ind w:firstLine="346"/>
        <w:jc w:val="both"/>
      </w:pPr>
      <w:r>
        <w:rPr>
          <w:rFonts w:ascii="Times New Roman" w:hAnsi="Times New Roman"/>
          <w:color w:val="000000"/>
          <w:sz w:val="19"/>
        </w:rPr>
        <w:t>Loss, delivered-packet delay, and total violations need to be reported together when evaluating learned routing. Holding state content and masks constant helps interpret an architectural comparison, while prespecified guardrails state how much deterioration in delivery or energy is acceptable. Effect sizes, confidence intervals, multiplicity control, and the reporting of failed endpoints make the limits of a local performance result clear.</w:t>
      </w:r>
    </w:p>
    <w:p w14:paraId="6DB6DEF2" w14:textId="77777777" w:rsidR="008867B5" w:rsidRDefault="00000000">
      <w:pPr>
        <w:pStyle w:val="Heading2"/>
        <w:keepNext/>
        <w:pageBreakBefore w:val="0"/>
        <w:spacing w:before="120" w:after="80" w:line="480" w:lineRule="auto"/>
      </w:pPr>
      <w:r>
        <w:rPr>
          <w:rFonts w:ascii="Times New Roman" w:hAnsi="Times New Roman"/>
          <w:color w:val="000000"/>
        </w:rPr>
        <w:t>D. Scope relative to current literature</w:t>
      </w:r>
    </w:p>
    <w:p w14:paraId="1B93D0DE" w14:textId="77777777" w:rsidR="008867B5" w:rsidRDefault="00000000">
      <w:pPr>
        <w:pageBreakBefore w:val="0"/>
        <w:spacing w:after="80" w:line="480" w:lineRule="auto"/>
        <w:ind w:firstLine="346"/>
        <w:jc w:val="both"/>
      </w:pPr>
      <w:r>
        <w:rPr>
          <w:rFonts w:ascii="Times New Roman" w:hAnsi="Times New Roman"/>
          <w:color w:val="000000"/>
          <w:sz w:val="19"/>
        </w:rPr>
        <w:t xml:space="preserve">Recent work combines DRL, attention, graph representations, trust, and federated learning in many routing settings [12, 13, 14, 15, 16, 17, 18, 19, 20, 21, 22, 23]. LA-CPPO’s contribution lies in its explicit local candidate-set formulation and its evaluation: an </w:t>
      </w:r>
      <w:r>
        <w:rPr>
          <w:rFonts w:ascii="Times New Roman" w:hAnsi="Times New Roman"/>
          <w:color w:val="000000"/>
          <w:sz w:val="19"/>
        </w:rPr>
        <w:t>equivariant actor and invariant critic conditioned on QoS debt and online posterior risk, compared with a state-matched MLP under a fixed protocol. The present experiment establishes neither priority over all related architectures nor state-of-the-art performance.</w:t>
      </w:r>
    </w:p>
    <w:p w14:paraId="10C09E28" w14:textId="77777777" w:rsidR="008867B5" w:rsidRDefault="00000000">
      <w:pPr>
        <w:pStyle w:val="Heading1"/>
        <w:keepNext/>
        <w:pageBreakBefore w:val="0"/>
        <w:spacing w:before="180" w:after="80" w:line="480" w:lineRule="auto"/>
      </w:pPr>
      <w:r>
        <w:rPr>
          <w:rFonts w:ascii="Times New Roman" w:hAnsi="Times New Roman"/>
          <w:color w:val="000000"/>
        </w:rPr>
        <w:t>XI. Study limitations</w:t>
      </w:r>
    </w:p>
    <w:p w14:paraId="48801F46"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The confirmatory evidence comes entirely from simulation and from a single nominal setting of 100 nodes in a 150 m × 150 m area. It should not be read as evidence of field-deployment performance.</w:t>
      </w:r>
    </w:p>
    <w:p w14:paraId="763CA9DA" w14:textId="77777777" w:rsidR="008867B5" w:rsidRDefault="00000000">
      <w:pPr>
        <w:keepLines/>
        <w:pageBreakBefore w:val="0"/>
        <w:spacing w:after="80" w:line="480" w:lineRule="auto"/>
        <w:ind w:firstLine="346"/>
        <w:jc w:val="both"/>
      </w:pPr>
      <w:r>
        <w:rPr>
          <w:rFonts w:ascii="Times New Roman" w:hAnsi="Times New Roman"/>
          <w:color w:val="000000"/>
          <w:sz w:val="19"/>
        </w:rPr>
        <w:t>Historical confirmation uses a 25% mixed-attack setting. The separate validation changes attack prevalence to 10% and 40% but retains the same attack mechanisms. Robustness to unseen attack types, collusion, adaptive evasion, Sybil attacks and wormholes remains unknown.</w:t>
      </w:r>
    </w:p>
    <w:p w14:paraId="104CFFD7" w14:textId="77777777" w:rsidR="008867B5" w:rsidRDefault="00000000">
      <w:pPr>
        <w:keepLines/>
        <w:pageBreakBefore w:val="0"/>
        <w:spacing w:after="80" w:line="480" w:lineRule="auto"/>
        <w:ind w:firstLine="346"/>
        <w:jc w:val="both"/>
      </w:pPr>
      <w:r>
        <w:rPr>
          <w:rFonts w:ascii="Times New Roman" w:hAnsi="Times New Roman"/>
          <w:color w:val="000000"/>
          <w:sz w:val="19"/>
        </w:rPr>
        <w:t>Historical AF-v3 transfer and overhead experiments were not run after its failed gate. The separate new validation reports limited frozen-policy sensitivity to node count and attack prevalence. No hardware benchmark or complete deployment-overhead evaluation has been performed.</w:t>
      </w:r>
    </w:p>
    <w:p w14:paraId="74FFA74E"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We use the Beta model to supply forwarding-risk context. It is not a validated intrusion detector: its uncertainty score has not been calibrated against real attack observations, and this study does not estimate intrusion-detection accuracy.</w:t>
      </w:r>
    </w:p>
    <w:p w14:paraId="0EC25120"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AF-v4 is development evidence only. It is kept separate from the AF-v3 confirmatory sample and is not used to redefine the primary endpoint or enlarge the inferential sample.</w:t>
      </w:r>
    </w:p>
    <w:p w14:paraId="4FAF00C8"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Candidate preselection still relies on a hand-designed score. Both learning arms receive the same ranked candidate set, which keeps the primary comparison aligned, but this study does not isolate the effect of the preselection rule itself.</w:t>
      </w:r>
    </w:p>
    <w:p w14:paraId="07BDCF6D"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The seed-paired experiment aligns initial stochastic conditions but does not replay an identical exogenous event trace across policies. Policy-dependent random-number consumption can therefore make later traffic, radio, or attack events diverge. This limits a strict common-random-number causal interpretation and should be addressed with split random streams or event replay in future replication.</w:t>
      </w:r>
    </w:p>
    <w:p w14:paraId="17CB491D" w14:textId="77777777" w:rsidR="008867B5" w:rsidRDefault="00000000">
      <w:pPr>
        <w:keepLines/>
        <w:pageBreakBefore w:val="0"/>
        <w:spacing w:after="80" w:line="480" w:lineRule="auto"/>
        <w:ind w:firstLine="346"/>
        <w:jc w:val="both"/>
      </w:pPr>
      <w:r>
        <w:rPr>
          <w:rFonts w:ascii="Times New Roman" w:hAnsi="Times New Roman"/>
          <w:color w:val="000000"/>
          <w:sz w:val="19"/>
        </w:rPr>
        <w:t>The historical MLP is matched on state content and training budget rather than parameter count. The new comparison controls total capacity approximately; neither comparison establishes an isolated effect of representation at equal computation cost.</w:t>
      </w:r>
    </w:p>
    <w:p w14:paraId="6CC0A012" w14:textId="77777777" w:rsidR="008867B5" w:rsidRDefault="00000000">
      <w:pPr>
        <w:pStyle w:val="Heading1"/>
        <w:keepNext/>
        <w:pageBreakBefore w:val="0"/>
        <w:spacing w:before="180" w:after="80" w:line="480" w:lineRule="auto"/>
      </w:pPr>
      <w:r>
        <w:rPr>
          <w:rFonts w:ascii="Times New Roman" w:hAnsi="Times New Roman"/>
          <w:color w:val="000000"/>
        </w:rPr>
        <w:t>XII. Reproducibility record</w:t>
      </w:r>
    </w:p>
    <w:p w14:paraId="34C9B7C5" w14:textId="77777777" w:rsidR="008867B5" w:rsidRDefault="00000000">
      <w:pPr>
        <w:pageBreakBefore w:val="0"/>
        <w:spacing w:after="80" w:line="480" w:lineRule="auto"/>
        <w:ind w:firstLine="346"/>
        <w:jc w:val="both"/>
      </w:pPr>
      <w:r>
        <w:rPr>
          <w:rFonts w:ascii="Times New Roman" w:hAnsi="Times New Roman"/>
          <w:color w:val="000000"/>
          <w:sz w:val="19"/>
        </w:rPr>
        <w:t>The public package contains the current source, configurations, historical AF-v3 outputs, new validation data and checkpoints, analysis scripts and a file checksum manifest. Historical source commits and AF-v4 records are identified by links to their original provenance. Exact historical training requires the original source commit and environment; the current validation is not a bitwise reproduction claim.</w:t>
      </w:r>
    </w:p>
    <w:p w14:paraId="399BC354" w14:textId="77777777" w:rsidR="008867B5" w:rsidRDefault="00000000">
      <w:pPr>
        <w:pStyle w:val="Heading1"/>
        <w:keepNext/>
        <w:pageBreakBefore w:val="0"/>
        <w:spacing w:before="180" w:after="80" w:line="480" w:lineRule="auto"/>
      </w:pPr>
      <w:r>
        <w:rPr>
          <w:rFonts w:ascii="Times New Roman" w:hAnsi="Times New Roman"/>
          <w:color w:val="000000"/>
        </w:rPr>
        <w:t>XIII. Conclusion</w:t>
      </w:r>
    </w:p>
    <w:p w14:paraId="27A1414A" w14:textId="77777777" w:rsidR="008867B5" w:rsidRDefault="00000000">
      <w:pPr>
        <w:pageBreakBefore w:val="0"/>
        <w:spacing w:after="80" w:line="480" w:lineRule="auto"/>
        <w:ind w:firstLine="346"/>
        <w:jc w:val="both"/>
      </w:pPr>
      <w:r>
        <w:rPr>
          <w:rFonts w:ascii="Times New Roman" w:hAnsi="Times New Roman"/>
          <w:color w:val="000000"/>
          <w:sz w:val="19"/>
        </w:rPr>
        <w:t>LA-CPPO combines shared candidate scoring, invariant critics, service debt and forwarding-risk estimates. The historical joint superiority gate failed, and neither nominal capacity-matched co-primary contrast was significant after Holm correction. Risk removal reduced reliability. A separate targeted UDP diagnostic showed higher delivery for attention than the capacity MLP and verified packet-to-feedback-to-policy integration. Its fixed-state localhost design does not establish physical wireless effectiveness, live IDS accuracy or absolute constraint satisfaction. The evidence supports further deployment-relevant evaluation rather than a universal attention advantage.</w:t>
      </w:r>
    </w:p>
    <w:p>
      <w:pPr>
        <w:pStyle w:val="Heading1"/>
        <w:keepNext/>
        <w:pageBreakBefore w:val="0"/>
        <w:spacing w:after="80" w:line="480" w:lineRule="auto"/>
      </w:pPr>
      <w:r>
        <w:rPr>
          <w:rFonts w:ascii="Times New Roman" w:hAnsi="Times New Roman"/>
          <w:color w:val="000000"/>
          <w:sz w:val="19"/>
        </w:rPr>
        <w:t>Appendix A Historical development and constraint rates</w:t>
      </w:r>
    </w:p>
    <w:p>
      <w:pPr>
        <w:pageBreakBefore w:val="0"/>
        <w:spacing w:after="80" w:line="480" w:lineRule="auto"/>
      </w:pPr>
      <w:r>
        <w:rPr>
          <w:rFonts w:ascii="Times New Roman" w:hAnsi="Times New Roman"/>
          <w:color w:val="000000"/>
          <w:sz w:val="19"/>
        </w:rPr>
        <w:t>The AF-v4 development output retained two unsuccessful candidates. Their mean-delay differences against the slack-aware MLP were +3.225549 ms and +1.628427 ms. Neither passed the frozen development selection gate; no candidate was selected. Raw development comparisons, episode logs and selection_decision.json are supplied under data/historical_af_v4. These outcomes are not pooled with either 30-seed study.</w:t>
      </w:r>
    </w:p>
    <w:p w14:paraId="70526A34"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Declarations</w:t>
      </w:r>
    </w:p>
    <w:p w14:paraId="24C1412E" w14:textId="77777777" w:rsidR="008867B5" w:rsidRDefault="00000000">
      <w:pPr>
        <w:pageBreakBefore w:val="0"/>
        <w:spacing w:after="80" w:line="480" w:lineRule="auto"/>
        <w:jc w:val="both"/>
      </w:pPr>
      <w:r w:rsidRPr="009E59DE">
        <w:rPr>
          <w:rFonts w:eastAsia="Times New Roman" w:ascii="Times New Roman" w:hAnsi="Times New Roman"/>
          <w:b/>
          <w:bCs/>
          <w:color w:val="000000"/>
          <w:sz w:val="19"/>
        </w:rPr>
        <w:t>Conflict of interest:</w:t>
      </w:r>
      <w:r>
        <w:rPr>
          <w:rFonts w:eastAsia="Times New Roman" w:ascii="Times New Roman" w:hAnsi="Times New Roman"/>
          <w:color w:val="000000"/>
          <w:sz w:val="19"/>
        </w:rPr>
        <w:t xml:space="preserve"> The authors declare that they have no known competing financial interests or personal relationships that could have appeared to influence the work reported in this paper.</w:t>
      </w:r>
    </w:p>
    <w:p w14:paraId="24EE57F5" w14:textId="77777777" w:rsidR="008867B5" w:rsidRDefault="00000000">
      <w:pPr>
        <w:pageBreakBefore w:val="0"/>
        <w:spacing w:after="80" w:line="480" w:lineRule="auto"/>
        <w:jc w:val="both"/>
      </w:pPr>
      <w:r w:rsidRPr="009E59DE">
        <w:rPr>
          <w:rFonts w:eastAsia="Times New Roman" w:ascii="Times New Roman" w:hAnsi="Times New Roman"/>
          <w:b/>
          <w:bCs/>
          <w:color w:val="000000"/>
          <w:sz w:val="19"/>
        </w:rPr>
        <w:t>Funding:</w:t>
      </w:r>
      <w:r>
        <w:rPr>
          <w:rFonts w:eastAsia="Times New Roman" w:ascii="Times New Roman" w:hAnsi="Times New Roman"/>
          <w:color w:val="000000"/>
          <w:sz w:val="19"/>
        </w:rPr>
        <w:t xml:space="preserve"> No external funding is declared for this study.</w:t>
      </w:r>
    </w:p>
    <w:p w14:paraId="66B1081A" w14:textId="77777777" w:rsidR="008867B5" w:rsidRDefault="00000000">
      <w:pPr>
        <w:pageBreakBefore w:val="0"/>
        <w:spacing w:after="80" w:line="480" w:lineRule="auto"/>
        <w:jc w:val="both"/>
      </w:pPr>
      <w:r>
        <w:rPr>
          <w:rFonts w:eastAsia="Times New Roman" w:ascii="Times New Roman" w:hAnsi="Times New Roman"/>
          <w:color w:val="000000"/>
          <w:sz w:val="19"/>
        </w:rPr>
        <w:t>Ethics approval: Not applicable. This simulation study involves no human participants, animals, clinical data, or identifiable personal data.</w:t>
      </w:r>
    </w:p>
    <w:p w14:paraId="3090ACD5" w14:textId="77777777" w:rsidR="008867B5" w:rsidRDefault="00000000">
      <w:pPr>
        <w:pageBreakBefore w:val="0"/>
        <w:spacing w:after="80" w:line="480" w:lineRule="auto"/>
        <w:jc w:val="both"/>
      </w:pPr>
      <w:r>
        <w:rPr>
          <w:rFonts w:ascii="Times New Roman" w:hAnsi="Times New Roman"/>
          <w:color w:val="000000"/>
          <w:sz w:val="19"/>
        </w:rPr>
        <w:t>Data and code availability: Source code, configurations, historical AF-v3 raw outputs, new validation trajectories, seed summaries, trained checkpoints and analysis scripts are available at https://github.com/DrShivamBhardwaj/JICCE_LA_CPPO_Reproducibility. Historical and new evidence are separated, and the original failed joint criterion is retained.</w:t>
      </w:r>
    </w:p>
    <w:p w14:paraId="3943239F" w14:textId="03D7D94A" w:rsidR="008867B5" w:rsidRDefault="00000000">
      <w:pPr>
        <w:pageBreakBefore w:val="0"/>
        <w:spacing w:after="80" w:line="480" w:lineRule="auto"/>
        <w:jc w:val="both"/>
      </w:pPr>
      <w:r w:rsidRPr="009E59DE">
        <w:rPr>
          <w:rFonts w:eastAsia="Times New Roman" w:ascii="Times New Roman" w:hAnsi="Times New Roman"/>
          <w:b/>
          <w:bCs/>
          <w:color w:val="000000"/>
          <w:sz w:val="19"/>
        </w:rPr>
        <w:t>C</w:t>
      </w:r>
      <w:r w:rsidR="00D556B0">
        <w:rPr>
          <w:rFonts w:eastAsia="Times New Roman" w:ascii="Times New Roman" w:hAnsi="Times New Roman"/>
          <w:b/>
          <w:bCs/>
          <w:color w:val="000000"/>
          <w:sz w:val="19"/>
        </w:rPr>
        <w:t>redit</w:t>
      </w:r>
      <w:r w:rsidRPr="009E59DE">
        <w:rPr>
          <w:rFonts w:eastAsia="Times New Roman" w:ascii="Times New Roman" w:hAnsi="Times New Roman"/>
          <w:b/>
          <w:bCs/>
          <w:color w:val="000000"/>
          <w:sz w:val="19"/>
        </w:rPr>
        <w:t xml:space="preserve"> author statement:</w:t>
      </w:r>
      <w:r>
        <w:rPr>
          <w:rFonts w:eastAsia="Times New Roman" w:ascii="Times New Roman" w:hAnsi="Times New Roman"/>
          <w:color w:val="000000"/>
          <w:sz w:val="19"/>
        </w:rPr>
        <w:t xml:space="preserve"> Shivam Bhardwaj: Conceptualization, methodology, software, investigation, formal analysis, visualization, writing - original draft. Jitendra Nath Srivastava: Supervision, validation, writing - review and editing. Akash Sanghi: Supervision, validation, writing - review and editing.</w:t>
      </w:r>
    </w:p>
    <w:p w14:paraId="5FBA6619" w14:textId="77777777" w:rsidR="008867B5" w:rsidRDefault="00000000">
      <w:pPr>
        <w:pStyle w:val="Heading2"/>
        <w:keepNext/>
        <w:pageBreakBefore w:val="0"/>
        <w:spacing w:before="120" w:after="80" w:line="480" w:lineRule="auto"/>
      </w:pPr>
      <w:r>
        <w:rPr>
          <w:rFonts w:ascii="Times New Roman" w:eastAsia="Times New Roman" w:hAnsi="Times New Roman"/>
          <w:color w:val="000000"/>
        </w:rPr>
        <w:t>Declaration of generative AI and AI-assisted technologies in the manuscript preparation process</w:t>
      </w:r>
    </w:p>
    <w:p w14:paraId="0CEBB709" w14:textId="327A1138" w:rsidR="008867B5" w:rsidRDefault="00000000">
      <w:pPr>
        <w:pageBreakBefore w:val="0"/>
        <w:spacing w:after="80" w:line="480" w:lineRule="auto"/>
        <w:jc w:val="both"/>
      </w:pPr>
      <w:r>
        <w:rPr>
          <w:rFonts w:ascii="Times New Roman" w:hAnsi="Times New Roman"/>
          <w:color w:val="000000"/>
          <w:sz w:val="19"/>
        </w:rPr>
        <w:t>The authors used OpenAI tools to assist with language editing and preparation of code and analysis. They reviewed the methods, experimental outputs and manuscript and take responsibility for the final content.</w:t>
      </w:r>
    </w:p>
    <w:p w14:paraId="49D9819A"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References</w:t>
      </w:r>
    </w:p>
    <w:p>
      <w:pPr>
        <w:pageBreakBefore w:val="0"/>
        <w:spacing w:line="480" w:lineRule="auto" w:after="0"/>
      </w:pPr>
      <w:r>
        <w:rPr>
          <w:rFonts w:ascii="Times New Roman" w:hAnsi="Times New Roman"/>
          <w:sz w:val="19"/>
        </w:rPr>
        <w:t>[1] I. F. Akyildiz, W. Su, Y. Sankarasubramaniam, and E. Cayirci, “Wireless sensor networks: a survey,” Computer Networks, vol. 38, no. 4, pp. 393-422, 2002. DOI: 10.1016/S1389-1286(01)00302-4.</w:t>
      </w:r>
    </w:p>
    <w:p>
      <w:pPr>
        <w:pageBreakBefore w:val="0"/>
        <w:spacing w:line="480" w:lineRule="auto" w:after="0"/>
      </w:pPr>
      <w:r>
        <w:rPr>
          <w:rFonts w:ascii="Times New Roman" w:hAnsi="Times New Roman"/>
          <w:sz w:val="19"/>
        </w:rPr>
        <w:t>[2] J. N. Al-Karaki, and A. E. Kamal, “Routing techniques in wireless sensor networks: a survey,” IEEE Wireless Communications, vol. 11, no. 6, pp. 6-28, 2004. DOI: 10.1109/MWC.2004.1368893.</w:t>
      </w:r>
    </w:p>
    <w:p>
      <w:pPr>
        <w:pageBreakBefore w:val="0"/>
        <w:spacing w:line="480" w:lineRule="auto" w:after="0"/>
      </w:pPr>
      <w:r>
        <w:rPr>
          <w:rFonts w:ascii="Times New Roman" w:hAnsi="Times New Roman"/>
          <w:sz w:val="19"/>
        </w:rPr>
        <w:t>[3] W. R. Heinzelman, A. Chandrakasan, and H. Balakrishnan, “Energy-efficient communication protocol for wireless microsensor networks,” in Proceedings of the Hawaii International Conference on System Sciences, 2000. DOI: 10.1109/HICSS.2000.926982.</w:t>
      </w:r>
    </w:p>
    <w:p>
      <w:pPr>
        <w:pageBreakBefore w:val="0"/>
        <w:spacing w:line="480" w:lineRule="auto" w:after="0"/>
      </w:pPr>
      <w:r>
        <w:rPr>
          <w:rFonts w:ascii="Times New Roman" w:hAnsi="Times New Roman"/>
          <w:sz w:val="19"/>
        </w:rPr>
        <w:t>[4] D. S. J. De Couto, D. Aguayo, J. Bicket, and R. Morris, “A high-throughput path metric for multi-hop wireless routing,” Proceedings of the 9th annual international conference on Mobile computing and networking, pp. 134-146, 2003. DOI: 10.1145/938985.939000.</w:t>
      </w:r>
    </w:p>
    <w:p>
      <w:pPr>
        <w:pageBreakBefore w:val="0"/>
        <w:spacing w:line="480" w:lineRule="auto" w:after="0"/>
      </w:pPr>
      <w:r>
        <w:rPr>
          <w:rFonts w:ascii="Times New Roman" w:hAnsi="Times New Roman"/>
          <w:sz w:val="19"/>
        </w:rPr>
        <w:t>[5] T. Winter et al., “RPL: IPv6 routing protocol for low-power and lossy networks,” IETF, RFC 6550, 2012. DOI: 10.17487/RFC6550.</w:t>
      </w:r>
    </w:p>
    <w:p>
      <w:pPr>
        <w:pageBreakBefore w:val="0"/>
        <w:spacing w:line="480" w:lineRule="auto" w:after="0"/>
      </w:pPr>
      <w:r>
        <w:rPr>
          <w:rFonts w:ascii="Times New Roman" w:hAnsi="Times New Roman"/>
          <w:sz w:val="19"/>
        </w:rPr>
        <w:t>[6] R. S. Sutton and A. G. Barto, Reinforcement Learning An Introduction, 2nd ed. Cambridge, MA: MIT Press, 2018.</w:t>
      </w:r>
    </w:p>
    <w:p>
      <w:pPr>
        <w:pageBreakBefore w:val="0"/>
        <w:spacing w:line="480" w:lineRule="auto" w:after="0"/>
      </w:pPr>
      <w:r>
        <w:rPr>
          <w:rFonts w:ascii="Times New Roman" w:hAnsi="Times New Roman"/>
          <w:sz w:val="19"/>
        </w:rPr>
        <w:t>[7] J. Schulman, F. Wolski, P. Dhariwal, A. Radford, and O. Klimov, “Proximal policy optimization algorithms,” arXiv:1707.06347, 2017.</w:t>
      </w:r>
    </w:p>
    <w:p>
      <w:pPr>
        <w:pageBreakBefore w:val="0"/>
        <w:spacing w:line="480" w:lineRule="auto" w:after="0"/>
      </w:pPr>
      <w:r>
        <w:rPr>
          <w:rFonts w:ascii="Times New Roman" w:hAnsi="Times New Roman"/>
          <w:sz w:val="19"/>
        </w:rPr>
        <w:t>[8] J. Schulman, P. Moritz, S. Levine, M. I. Jordan, and P. Abbeel, “High-dimensional continuous control using generalized advantage estimation,” in Proceedings of ICLR, 2016. arXiv:1506.02438.</w:t>
      </w:r>
    </w:p>
    <w:p>
      <w:pPr>
        <w:pageBreakBefore w:val="0"/>
        <w:spacing w:line="480" w:lineRule="auto" w:after="0"/>
      </w:pPr>
      <w:r>
        <w:rPr>
          <w:rFonts w:ascii="Times New Roman" w:hAnsi="Times New Roman"/>
          <w:sz w:val="19"/>
        </w:rPr>
        <w:t>[9] J. Achiam, D. Held, A. Tamar, and P. Abbeel, “Constrained policy optimization,” in Proceedings of ICML, vol. 70, pp. 22–31, 2017.</w:t>
      </w:r>
    </w:p>
    <w:p>
      <w:pPr>
        <w:pageBreakBefore w:val="0"/>
        <w:spacing w:line="480" w:lineRule="auto" w:after="0"/>
      </w:pPr>
      <w:r>
        <w:rPr>
          <w:rFonts w:ascii="Times New Roman" w:hAnsi="Times New Roman"/>
          <w:sz w:val="19"/>
        </w:rPr>
        <w:t>[10] Y. Song, M. Ni, and J. Liu, “Deep reinforcement learning for network routing optimization: A systematic survey,” Neurocomputing, vol. 666, Art. no. 132263, 2026. DOI: 10.1016/j.neucom.2025.132263.</w:t>
      </w:r>
    </w:p>
    <w:p>
      <w:pPr>
        <w:pageBreakBefore w:val="0"/>
        <w:spacing w:line="480" w:lineRule="auto" w:after="0"/>
      </w:pPr>
      <w:r>
        <w:rPr>
          <w:rFonts w:ascii="Times New Roman" w:hAnsi="Times New Roman"/>
          <w:sz w:val="19"/>
        </w:rPr>
        <w:t>[11] J. Yang, S. He, Y. Xu, L. Chen, and J. Ren, “A trusted routing scheme using blockchain and reinforcement learning for wireless sensor networks,” Sensors, vol. 19, no. 4, Art. no. 970, 2019. DOI: 10.3390/s19040970.</w:t>
      </w:r>
    </w:p>
    <w:p>
      <w:pPr>
        <w:pageBreakBefore w:val="0"/>
        <w:spacing w:line="480" w:lineRule="auto" w:after="0"/>
      </w:pPr>
      <w:r>
        <w:rPr>
          <w:rFonts w:ascii="Times New Roman" w:hAnsi="Times New Roman"/>
          <w:sz w:val="19"/>
        </w:rPr>
        <w:t>[12] C. Wang, H. Hu, and X. Fan, “Intelligent clustering and routing protocol for wireless sensor networks using quantum inspired Harris Hawk optimizer and deep reinforcement learning,” Ad Hoc Networks, vol. 178, Art. no. 103914, 2025. DOI: 10.1016/j.adhoc.2025.103914.</w:t>
      </w:r>
    </w:p>
    <w:p>
      <w:pPr>
        <w:pageBreakBefore w:val="0"/>
        <w:spacing w:line="480" w:lineRule="auto" w:after="0"/>
      </w:pPr>
      <w:r>
        <w:rPr>
          <w:rFonts w:ascii="Times New Roman" w:hAnsi="Times New Roman"/>
          <w:sz w:val="19"/>
        </w:rPr>
        <w:t>[13] N. Manogaran, M. T. M. Raphael, R. Raja, A. K. Jayakumar, M. Nandagopal, B. Balusamy, and G. Ghinea, “Developing a novel adaptive double deep Q-learning-based routing strategy for IoT-based wireless sensor network with federated learning,” Sensors, vol. 25, no. 10, Art. no. 3084, 2025. DOI: 10.3390/s25103084.</w:t>
      </w:r>
    </w:p>
    <w:p>
      <w:pPr>
        <w:pageBreakBefore w:val="0"/>
        <w:spacing w:line="480" w:lineRule="auto" w:after="0"/>
      </w:pPr>
      <w:r>
        <w:rPr>
          <w:rFonts w:ascii="Times New Roman" w:hAnsi="Times New Roman"/>
          <w:sz w:val="19"/>
        </w:rPr>
        <w:t>[14] S. Tao, H. Tang, J. Wang, and B. Li, “A Failure Risk-Aware Multi-Hop Routing Protocol in LPWANs Using Deep Q-Network,” Sensors, vol. 25, no. 14, Art. no. 4416, 2025. DOI: 10.3390/s25144416.</w:t>
      </w:r>
    </w:p>
    <w:p>
      <w:pPr>
        <w:pageBreakBefore w:val="0"/>
        <w:spacing w:line="480" w:lineRule="auto" w:after="0"/>
      </w:pPr>
      <w:r>
        <w:rPr>
          <w:rFonts w:ascii="Times New Roman" w:hAnsi="Times New Roman"/>
          <w:sz w:val="19"/>
        </w:rPr>
        <w:t>[15] Y. Song, J. Zhou, X. Li, and J. Liu, “Enabling robust and generalized DRL-driven routing optimization via exploration of graph neural networks,” IEEE Transactions on Cognitive Communications and Networking, vol. 11, no. 6, pp. 4281–4298, 2025. DOI: 10.1109/TCCN.2025.3544276.</w:t>
      </w:r>
    </w:p>
    <w:p>
      <w:pPr>
        <w:pageBreakBefore w:val="0"/>
        <w:spacing w:line="480" w:lineRule="auto" w:after="0"/>
      </w:pPr>
      <w:r>
        <w:rPr>
          <w:rFonts w:ascii="Times New Roman" w:hAnsi="Times New Roman"/>
          <w:sz w:val="19"/>
        </w:rPr>
        <w:t>[16] J. Wigmore, and E. Modiano, “Generalizable Policy Learning using Graph Neural Networks,” Proceedings of the Twenty-sixth International Symposium on Theory, Algorithmic Foundations, and Protocol Design for Mobile Networks and Mobile Computing, pp. 251-260, 2025. DOI: 10.1145/3704413.3764422.</w:t>
      </w:r>
    </w:p>
    <w:p>
      <w:pPr>
        <w:pageBreakBefore w:val="0"/>
        <w:spacing w:line="480" w:lineRule="auto" w:after="0"/>
      </w:pPr>
      <w:r>
        <w:rPr>
          <w:rFonts w:ascii="Times New Roman" w:hAnsi="Times New Roman"/>
          <w:sz w:val="19"/>
        </w:rPr>
        <w:t>[17] V. C., S. Al-Otaibi, B. V. V., S. T., M. M. Jamjoom, and S. J., “AI-enhanced routing and slicing strategy for QoS-aware mobile ad hoc networks,” Scientific Reports, vol. 16, no. 1, Art. no. 4468, 2026. DOI: 10.1038/s41598-025-34588-x.</w:t>
      </w:r>
    </w:p>
    <w:p>
      <w:pPr>
        <w:pageBreakBefore w:val="0"/>
        <w:spacing w:line="480" w:lineRule="auto" w:after="0"/>
      </w:pPr>
      <w:r>
        <w:rPr>
          <w:rFonts w:ascii="Times New Roman" w:hAnsi="Times New Roman"/>
          <w:sz w:val="19"/>
        </w:rPr>
        <w:t>[18] S. Betam, S. Nagendram, B. P. Kumar, M. B. Chennaiah, S. S. Aravinth, M. Rafi, Q. N. Naveed, S. Islam, and B. G. Assefa, “A dynamic reward framework for scalable and efficient IoT-WSN routing using deep reinforcement learning,” Scientific Reports, vol. 16, no. 1, Art. no. 31920, 2026. DOI: 10.1038/s41598-026-61080-x.</w:t>
      </w:r>
    </w:p>
    <w:p>
      <w:pPr>
        <w:pageBreakBefore w:val="0"/>
        <w:spacing w:line="480" w:lineRule="auto" w:after="0"/>
      </w:pPr>
      <w:r>
        <w:rPr>
          <w:rFonts w:ascii="Times New Roman" w:hAnsi="Times New Roman"/>
          <w:sz w:val="19"/>
        </w:rPr>
        <w:t>[19] A. A. Lata, and M. Kang, “RLFS-OR: Reinforcement Learning-Based Forwarder Selection for Opportunistic Routing in Wireless Sensor Networks,” Electronics, vol. 15, no. 5, Art. no. 910, 2026. DOI: 10.3390/electronics15050910.</w:t>
      </w:r>
    </w:p>
    <w:p>
      <w:pPr>
        <w:pageBreakBefore w:val="0"/>
        <w:spacing w:line="480" w:lineRule="auto" w:after="0"/>
      </w:pPr>
      <w:r>
        <w:rPr>
          <w:rFonts w:ascii="Times New Roman" w:hAnsi="Times New Roman"/>
          <w:sz w:val="19"/>
        </w:rPr>
        <w:t>[20] A. Iqbal and M. F. Siddiqui, “Feasibility-aware reinforcement learning for reliable hop-constrained routing in wireless sensor networks,” Computers, Materials and Continua, vol. 89, no. 1, Art. no. 85, 2026. DOI: 10.32604/cmc.2026.084851.</w:t>
      </w:r>
    </w:p>
    <w:p>
      <w:pPr>
        <w:pageBreakBefore w:val="0"/>
        <w:spacing w:line="480" w:lineRule="auto" w:after="0"/>
      </w:pPr>
      <w:r>
        <w:rPr>
          <w:rFonts w:ascii="Times New Roman" w:hAnsi="Times New Roman"/>
          <w:sz w:val="19"/>
        </w:rPr>
        <w:t>[21] K. Bala, D. Venu, B. P. Dudi, V. Nirmala, K. A. Kumar, and M. Manohara, “Federated deep reinforcement Q-learning for secure and energy-efficient data routing in internet of things networks,” Peer-to-Peer Networking and Applications, vol. 19, no. 3, Art. no. 88, 2026. DOI: 10.1007/s12083-026-02236-4.</w:t>
      </w:r>
    </w:p>
    <w:p>
      <w:pPr>
        <w:pageBreakBefore w:val="0"/>
        <w:spacing w:line="480" w:lineRule="auto" w:after="0"/>
      </w:pPr>
      <w:r>
        <w:rPr>
          <w:rFonts w:ascii="Times New Roman" w:hAnsi="Times New Roman"/>
          <w:sz w:val="19"/>
        </w:rPr>
        <w:t>[22] R. Gupta, S. K. Gupta, S. B. Singh, R. Kumar, and R. Muthukkumar, “Adaptive deep reinforcement learning–based secure routing for wireless sensor networks,” Scientific Reports, 2026. DOI: 10.1038/s41598-026-62519-x.</w:t>
      </w:r>
    </w:p>
    <w:p>
      <w:pPr>
        <w:pageBreakBefore w:val="0"/>
        <w:spacing w:line="480" w:lineRule="auto" w:after="0"/>
      </w:pPr>
      <w:r>
        <w:rPr>
          <w:rFonts w:ascii="Times New Roman" w:hAnsi="Times New Roman"/>
          <w:sz w:val="19"/>
        </w:rPr>
        <w:t>[23] S. S. Mercy, “Coordinate attention-driven multi-agent adaptive deep reinforcement learning model for resilient and energy-efficient routing in WSNs,” Sustainable Computing: Informatics and Systems, vol. 51, Art. no. 101427, 2026. DOI: 10.1016/j.suscom.2026.101427.</w:t>
      </w:r>
    </w:p>
    <w:p>
      <w:pPr>
        <w:pageBreakBefore w:val="0"/>
        <w:spacing w:line="480" w:lineRule="auto" w:after="0"/>
      </w:pPr>
      <w:r>
        <w:rPr>
          <w:rFonts w:ascii="Times New Roman" w:hAnsi="Times New Roman"/>
          <w:sz w:val="19"/>
        </w:rPr>
        <w:t>[24] S. Ramachandra, and M. Baskar, “Real-time multi-level trust-based secure routing for improved QoS in WSN using blockchain,” Results in Engineering, vol. 26, Art. no. 104732, 2025. DOI: 10.1016/j.rineng.2025.104732.</w:t>
      </w:r>
    </w:p>
    <w:p>
      <w:pPr>
        <w:pageBreakBefore w:val="0"/>
        <w:spacing w:line="480" w:lineRule="auto" w:after="0"/>
      </w:pPr>
      <w:r>
        <w:rPr>
          <w:rFonts w:ascii="Times New Roman" w:hAnsi="Times New Roman"/>
          <w:sz w:val="19"/>
        </w:rPr>
        <w:t>[25] M. J. Neely, Stochastic Network Optimization with Application to Communication and Queueing Systems. Morgan and Claypool, 2010.</w:t>
      </w:r>
    </w:p>
    <w:p>
      <w:pPr>
        <w:pageBreakBefore w:val="0"/>
        <w:spacing w:line="480" w:lineRule="auto" w:after="0"/>
      </w:pPr>
      <w:r>
        <w:rPr>
          <w:rFonts w:ascii="Times New Roman" w:hAnsi="Times New Roman"/>
          <w:sz w:val="19"/>
        </w:rPr>
        <w:t>[26] A. Vaswani et al., “Attention is all you need,” Advances in Neural Information Processing Systems, vol. 30, pp. 5998–6008, 2017.</w:t>
      </w:r>
    </w:p>
    <w:p>
      <w:pPr>
        <w:pageBreakBefore w:val="0"/>
        <w:spacing w:line="480" w:lineRule="auto" w:after="0"/>
      </w:pPr>
      <w:r>
        <w:rPr>
          <w:rFonts w:ascii="Times New Roman" w:hAnsi="Times New Roman"/>
          <w:sz w:val="19"/>
        </w:rPr>
        <w:t>[27] M. Zaheer, S. Kottur, S. Ravanbakhsh, B. Poczos, R. Salakhutdinov, and A. J. Smola, “Deep sets,” Advances in Neural Information Processing Systems, vol. 30, pp. 3391–3401, 2017.</w:t>
      </w:r>
    </w:p>
    <w:p>
      <w:pPr>
        <w:pageBreakBefore/>
      </w:pPr>
    </w:p>
    <w:p w14:paraId="5EACEF44"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 Positioning against representative recent intelligent-routing studies.</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089"/>
        <w:gridCol w:w="998"/>
        <w:gridCol w:w="1360"/>
        <w:gridCol w:w="1315"/>
        <w:gridCol w:w="1723"/>
        <w:gridCol w:w="2586"/>
      </w:tblGrid>
      <w:tr w:rsidR="008867B5" w14:paraId="26384D2D" w14:textId="77777777">
        <w:trPr>
          <w:tblHeader/>
          <w:cantSplit/>
        </w:trPr>
        <w:tc>
          <w:tcPr>
            <w:tcW w:w="1089" w:type="dxa"/>
            <w:tcMar>
              <w:top w:w="70" w:type="dxa"/>
              <w:left w:w="75" w:type="dxa"/>
              <w:bottom w:w="70" w:type="dxa"/>
              <w:right w:w="75" w:type="dxa"/>
            </w:tcMar>
          </w:tcPr>
          <w:p w14:paraId="2B63F5F8" w14:textId="77777777" w:rsidR="008867B5" w:rsidRDefault="00000000">
            <w:pPr>
              <w:spacing w:line="240" w:lineRule="auto"/>
              <w:jc w:val="center"/>
            </w:pPr>
            <w:r>
              <w:rPr>
                <w:rFonts w:eastAsia="Times New Roman" w:ascii="Times New Roman" w:hAnsi="Times New Roman"/>
                <w:b/>
                <w:color w:val="000000"/>
                <w:sz w:val="16"/>
              </w:rPr>
              <w:t>Study</w:t>
            </w:r>
          </w:p>
        </w:tc>
        <w:tc>
          <w:tcPr>
            <w:tcW w:w="998" w:type="dxa"/>
            <w:tcMar>
              <w:top w:w="70" w:type="dxa"/>
              <w:left w:w="75" w:type="dxa"/>
              <w:bottom w:w="70" w:type="dxa"/>
              <w:right w:w="75" w:type="dxa"/>
            </w:tcMar>
          </w:tcPr>
          <w:p w14:paraId="34E00502" w14:textId="77777777" w:rsidR="008867B5" w:rsidRDefault="00000000">
            <w:pPr>
              <w:spacing w:line="240" w:lineRule="auto"/>
              <w:jc w:val="center"/>
            </w:pPr>
            <w:r>
              <w:rPr>
                <w:rFonts w:eastAsia="Times New Roman" w:ascii="Times New Roman" w:hAnsi="Times New Roman"/>
                <w:b/>
                <w:color w:val="000000"/>
                <w:sz w:val="16"/>
              </w:rPr>
              <w:t>Setting</w:t>
            </w:r>
          </w:p>
        </w:tc>
        <w:tc>
          <w:tcPr>
            <w:tcW w:w="1360" w:type="dxa"/>
            <w:tcMar>
              <w:top w:w="70" w:type="dxa"/>
              <w:left w:w="75" w:type="dxa"/>
              <w:bottom w:w="70" w:type="dxa"/>
              <w:right w:w="75" w:type="dxa"/>
            </w:tcMar>
          </w:tcPr>
          <w:p w14:paraId="112CF65F" w14:textId="77777777" w:rsidR="008867B5" w:rsidRDefault="00000000">
            <w:pPr>
              <w:spacing w:line="240" w:lineRule="auto"/>
              <w:jc w:val="center"/>
            </w:pPr>
            <w:r>
              <w:rPr>
                <w:rFonts w:eastAsia="Times New Roman" w:ascii="Times New Roman" w:hAnsi="Times New Roman"/>
                <w:b/>
                <w:color w:val="000000"/>
                <w:sz w:val="16"/>
              </w:rPr>
              <w:t>Learning structure</w:t>
            </w:r>
          </w:p>
        </w:tc>
        <w:tc>
          <w:tcPr>
            <w:tcW w:w="1315" w:type="dxa"/>
            <w:tcMar>
              <w:top w:w="70" w:type="dxa"/>
              <w:left w:w="75" w:type="dxa"/>
              <w:bottom w:w="70" w:type="dxa"/>
              <w:right w:w="75" w:type="dxa"/>
            </w:tcMar>
          </w:tcPr>
          <w:p w14:paraId="04F4496C" w14:textId="77777777" w:rsidR="008867B5" w:rsidRDefault="00000000">
            <w:pPr>
              <w:spacing w:line="240" w:lineRule="auto"/>
              <w:jc w:val="center"/>
            </w:pPr>
            <w:r>
              <w:rPr>
                <w:rFonts w:eastAsia="Times New Roman" w:ascii="Times New Roman" w:hAnsi="Times New Roman"/>
                <w:b/>
                <w:color w:val="000000"/>
                <w:sz w:val="16"/>
              </w:rPr>
              <w:t>Primary emphasis</w:t>
            </w:r>
          </w:p>
        </w:tc>
        <w:tc>
          <w:tcPr>
            <w:tcW w:w="1723" w:type="dxa"/>
            <w:tcMar>
              <w:top w:w="70" w:type="dxa"/>
              <w:left w:w="75" w:type="dxa"/>
              <w:bottom w:w="70" w:type="dxa"/>
              <w:right w:w="75" w:type="dxa"/>
            </w:tcMar>
          </w:tcPr>
          <w:p w14:paraId="2AB15C79" w14:textId="77777777" w:rsidR="008867B5" w:rsidRDefault="00000000">
            <w:pPr>
              <w:spacing w:line="240" w:lineRule="auto"/>
              <w:jc w:val="center"/>
            </w:pPr>
            <w:r>
              <w:rPr>
                <w:rFonts w:eastAsia="Times New Roman" w:ascii="Times New Roman" w:hAnsi="Times New Roman"/>
                <w:b/>
                <w:color w:val="000000"/>
                <w:sz w:val="16"/>
              </w:rPr>
              <w:t>Representation/design</w:t>
            </w:r>
          </w:p>
        </w:tc>
        <w:tc>
          <w:tcPr>
            <w:tcW w:w="2586" w:type="dxa"/>
            <w:tcMar>
              <w:top w:w="70" w:type="dxa"/>
              <w:left w:w="75" w:type="dxa"/>
              <w:bottom w:w="70" w:type="dxa"/>
              <w:right w:w="75" w:type="dxa"/>
            </w:tcMar>
          </w:tcPr>
          <w:p w14:paraId="7135562F" w14:textId="77777777" w:rsidR="008867B5" w:rsidRDefault="00000000">
            <w:pPr>
              <w:spacing w:line="240" w:lineRule="auto"/>
            </w:pPr>
            <w:r>
              <w:rPr>
                <w:rFonts w:eastAsia="Times New Roman" w:ascii="Times New Roman" w:hAnsi="Times New Roman"/>
                <w:b/>
                <w:color w:val="000000"/>
                <w:sz w:val="16"/>
              </w:rPr>
              <w:t>Evaluation design reported</w:t>
            </w:r>
          </w:p>
        </w:tc>
      </w:tr>
      <w:tr w:rsidR="008867B5" w14:paraId="17EEF963" w14:textId="77777777">
        <w:trPr>
          <w:cantSplit/>
        </w:trPr>
        <w:tc>
          <w:tcPr>
            <w:tcW w:w="1089" w:type="dxa"/>
            <w:tcMar>
              <w:top w:w="70" w:type="dxa"/>
              <w:left w:w="75" w:type="dxa"/>
              <w:bottom w:w="70" w:type="dxa"/>
              <w:right w:w="75" w:type="dxa"/>
            </w:tcMar>
          </w:tcPr>
          <w:p w14:paraId="58F573D0" w14:textId="77777777" w:rsidR="008867B5" w:rsidRDefault="00000000">
            <w:pPr>
              <w:spacing w:line="240" w:lineRule="auto"/>
            </w:pPr>
            <w:r>
              <w:rPr>
                <w:rFonts w:eastAsia="Times New Roman" w:ascii="Times New Roman" w:hAnsi="Times New Roman"/>
                <w:color w:val="000000"/>
                <w:sz w:val="16"/>
              </w:rPr>
              <w:t>Wang et al. [12]</w:t>
            </w:r>
          </w:p>
        </w:tc>
        <w:tc>
          <w:tcPr>
            <w:tcW w:w="998" w:type="dxa"/>
            <w:tcMar>
              <w:top w:w="70" w:type="dxa"/>
              <w:left w:w="75" w:type="dxa"/>
              <w:bottom w:w="70" w:type="dxa"/>
              <w:right w:w="75" w:type="dxa"/>
            </w:tcMar>
          </w:tcPr>
          <w:p w14:paraId="5B68E2CE" w14:textId="77777777" w:rsidR="008867B5" w:rsidRDefault="00000000">
            <w:pPr>
              <w:spacing w:line="240" w:lineRule="auto"/>
              <w:jc w:val="center"/>
            </w:pPr>
            <w:r>
              <w:rPr>
                <w:rFonts w:eastAsia="Times New Roman" w:ascii="Times New Roman" w:hAnsi="Times New Roman"/>
                <w:color w:val="000000"/>
                <w:sz w:val="16"/>
              </w:rPr>
              <w:t>WSN</w:t>
            </w:r>
          </w:p>
        </w:tc>
        <w:tc>
          <w:tcPr>
            <w:tcW w:w="1360" w:type="dxa"/>
            <w:tcMar>
              <w:top w:w="70" w:type="dxa"/>
              <w:left w:w="75" w:type="dxa"/>
              <w:bottom w:w="70" w:type="dxa"/>
              <w:right w:w="75" w:type="dxa"/>
            </w:tcMar>
          </w:tcPr>
          <w:p w14:paraId="61D1D66B" w14:textId="77777777" w:rsidR="008867B5" w:rsidRDefault="00000000">
            <w:pPr>
              <w:spacing w:line="240" w:lineRule="auto"/>
              <w:jc w:val="center"/>
            </w:pPr>
            <w:r>
              <w:rPr>
                <w:rFonts w:eastAsia="Times New Roman" w:ascii="Times New Roman" w:hAnsi="Times New Roman"/>
                <w:color w:val="000000"/>
                <w:sz w:val="16"/>
              </w:rPr>
              <w:t>QHHO + DRL</w:t>
            </w:r>
          </w:p>
        </w:tc>
        <w:tc>
          <w:tcPr>
            <w:tcW w:w="1315" w:type="dxa"/>
            <w:tcMar>
              <w:top w:w="70" w:type="dxa"/>
              <w:left w:w="75" w:type="dxa"/>
              <w:bottom w:w="70" w:type="dxa"/>
              <w:right w:w="75" w:type="dxa"/>
            </w:tcMar>
          </w:tcPr>
          <w:p w14:paraId="4A1BC20E" w14:textId="77777777" w:rsidR="008867B5" w:rsidRDefault="00000000">
            <w:pPr>
              <w:spacing w:line="240" w:lineRule="auto"/>
              <w:jc w:val="center"/>
            </w:pPr>
            <w:r>
              <w:rPr>
                <w:rFonts w:eastAsia="Times New Roman" w:ascii="Times New Roman" w:hAnsi="Times New Roman"/>
                <w:color w:val="000000"/>
                <w:sz w:val="16"/>
              </w:rPr>
              <w:t>Energy/lifetime</w:t>
            </w:r>
          </w:p>
        </w:tc>
        <w:tc>
          <w:tcPr>
            <w:tcW w:w="1723" w:type="dxa"/>
            <w:tcMar>
              <w:top w:w="70" w:type="dxa"/>
              <w:left w:w="75" w:type="dxa"/>
              <w:bottom w:w="70" w:type="dxa"/>
              <w:right w:w="75" w:type="dxa"/>
            </w:tcMar>
          </w:tcPr>
          <w:p w14:paraId="25F05E3E" w14:textId="77777777" w:rsidR="008867B5" w:rsidRDefault="00000000">
            <w:pPr>
              <w:spacing w:line="240" w:lineRule="auto"/>
              <w:jc w:val="center"/>
            </w:pPr>
            <w:r>
              <w:rPr>
                <w:rFonts w:eastAsia="Times New Roman" w:ascii="Times New Roman" w:hAnsi="Times New Roman"/>
                <w:color w:val="000000"/>
                <w:sz w:val="16"/>
              </w:rPr>
              <w:t>Cluster-dependent hybrid</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25D6AF38" w14:textId="77777777">
        <w:trPr>
          <w:cantSplit/>
        </w:trPr>
        <w:tc>
          <w:tcPr>
            <w:tcW w:w="1089" w:type="dxa"/>
            <w:tcMar>
              <w:top w:w="70" w:type="dxa"/>
              <w:left w:w="75" w:type="dxa"/>
              <w:bottom w:w="70" w:type="dxa"/>
              <w:right w:w="75" w:type="dxa"/>
            </w:tcMar>
          </w:tcPr>
          <w:p w14:paraId="45E21C7D" w14:textId="77777777" w:rsidR="008867B5" w:rsidRDefault="00000000">
            <w:pPr>
              <w:spacing w:line="240" w:lineRule="auto"/>
            </w:pPr>
            <w:r>
              <w:rPr>
                <w:rFonts w:eastAsia="Times New Roman" w:ascii="Times New Roman" w:hAnsi="Times New Roman"/>
                <w:color w:val="000000"/>
                <w:sz w:val="16"/>
              </w:rPr>
              <w:t>Manogaran et al. [13]</w:t>
            </w:r>
          </w:p>
        </w:tc>
        <w:tc>
          <w:tcPr>
            <w:tcW w:w="998" w:type="dxa"/>
            <w:tcMar>
              <w:top w:w="70" w:type="dxa"/>
              <w:left w:w="75" w:type="dxa"/>
              <w:bottom w:w="70" w:type="dxa"/>
              <w:right w:w="75" w:type="dxa"/>
            </w:tcMar>
          </w:tcPr>
          <w:p w14:paraId="0E6BB2DE"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54B99EC0" w14:textId="77777777" w:rsidR="008867B5" w:rsidRDefault="00000000">
            <w:pPr>
              <w:spacing w:line="240" w:lineRule="auto"/>
              <w:jc w:val="center"/>
            </w:pPr>
            <w:r>
              <w:rPr>
                <w:rFonts w:eastAsia="Times New Roman" w:ascii="Times New Roman" w:hAnsi="Times New Roman"/>
                <w:color w:val="000000"/>
                <w:sz w:val="16"/>
              </w:rPr>
              <w:t>Adaptive DDQN + FL</w:t>
            </w:r>
          </w:p>
        </w:tc>
        <w:tc>
          <w:tcPr>
            <w:tcW w:w="1315" w:type="dxa"/>
            <w:tcMar>
              <w:top w:w="70" w:type="dxa"/>
              <w:left w:w="75" w:type="dxa"/>
              <w:bottom w:w="70" w:type="dxa"/>
              <w:right w:w="75" w:type="dxa"/>
            </w:tcMar>
          </w:tcPr>
          <w:p w14:paraId="700C1D1D" w14:textId="77777777" w:rsidR="008867B5" w:rsidRDefault="00000000">
            <w:pPr>
              <w:spacing w:line="240" w:lineRule="auto"/>
              <w:jc w:val="center"/>
            </w:pPr>
            <w:r>
              <w:rPr>
                <w:rFonts w:eastAsia="Times New Roman" w:ascii="Times New Roman" w:hAnsi="Times New Roman"/>
                <w:color w:val="000000"/>
                <w:sz w:val="16"/>
              </w:rPr>
              <w:t>Energy/routing</w:t>
            </w:r>
          </w:p>
        </w:tc>
        <w:tc>
          <w:tcPr>
            <w:tcW w:w="1723" w:type="dxa"/>
            <w:tcMar>
              <w:top w:w="70" w:type="dxa"/>
              <w:left w:w="75" w:type="dxa"/>
              <w:bottom w:w="70" w:type="dxa"/>
              <w:right w:w="75" w:type="dxa"/>
            </w:tcMar>
          </w:tcPr>
          <w:p w14:paraId="1BC5DAEC" w14:textId="77777777" w:rsidR="008867B5" w:rsidRDefault="00000000">
            <w:pPr>
              <w:spacing w:line="240" w:lineRule="auto"/>
              <w:jc w:val="center"/>
            </w:pPr>
            <w:r>
              <w:rPr>
                <w:rFonts w:eastAsia="Times New Roman" w:ascii="Times New Roman" w:hAnsi="Times New Roman"/>
                <w:color w:val="000000"/>
                <w:sz w:val="16"/>
              </w:rPr>
              <w:t>Learned routing; federated</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128316B4" w14:textId="77777777">
        <w:trPr>
          <w:cantSplit/>
        </w:trPr>
        <w:tc>
          <w:tcPr>
            <w:tcW w:w="1089" w:type="dxa"/>
            <w:tcMar>
              <w:top w:w="70" w:type="dxa"/>
              <w:left w:w="75" w:type="dxa"/>
              <w:bottom w:w="70" w:type="dxa"/>
              <w:right w:w="75" w:type="dxa"/>
            </w:tcMar>
          </w:tcPr>
          <w:p w14:paraId="380CC9D7" w14:textId="77777777" w:rsidR="008867B5" w:rsidRDefault="00000000">
            <w:pPr>
              <w:spacing w:line="240" w:lineRule="auto"/>
            </w:pPr>
            <w:r>
              <w:rPr>
                <w:rFonts w:eastAsia="Times New Roman" w:ascii="Times New Roman" w:hAnsi="Times New Roman"/>
                <w:color w:val="000000"/>
                <w:sz w:val="16"/>
              </w:rPr>
              <w:t>Tao et al. [14]</w:t>
            </w:r>
          </w:p>
        </w:tc>
        <w:tc>
          <w:tcPr>
            <w:tcW w:w="998" w:type="dxa"/>
            <w:tcMar>
              <w:top w:w="70" w:type="dxa"/>
              <w:left w:w="75" w:type="dxa"/>
              <w:bottom w:w="70" w:type="dxa"/>
              <w:right w:w="75" w:type="dxa"/>
            </w:tcMar>
          </w:tcPr>
          <w:p w14:paraId="5DA8166B" w14:textId="77777777" w:rsidR="008867B5" w:rsidRDefault="00000000">
            <w:pPr>
              <w:spacing w:line="240" w:lineRule="auto"/>
              <w:jc w:val="center"/>
            </w:pPr>
            <w:r>
              <w:rPr>
                <w:rFonts w:eastAsia="Times New Roman" w:ascii="Times New Roman" w:hAnsi="Times New Roman"/>
                <w:color w:val="000000"/>
                <w:sz w:val="16"/>
              </w:rPr>
              <w:t>LPWAN</w:t>
            </w:r>
          </w:p>
        </w:tc>
        <w:tc>
          <w:tcPr>
            <w:tcW w:w="1360" w:type="dxa"/>
            <w:tcMar>
              <w:top w:w="70" w:type="dxa"/>
              <w:left w:w="75" w:type="dxa"/>
              <w:bottom w:w="70" w:type="dxa"/>
              <w:right w:w="75" w:type="dxa"/>
            </w:tcMar>
          </w:tcPr>
          <w:p w14:paraId="1470F47F" w14:textId="77777777" w:rsidR="008867B5" w:rsidRDefault="00000000">
            <w:pPr>
              <w:spacing w:line="240" w:lineRule="auto"/>
              <w:jc w:val="center"/>
            </w:pPr>
            <w:r>
              <w:rPr>
                <w:rFonts w:eastAsia="Times New Roman" w:ascii="Times New Roman" w:hAnsi="Times New Roman"/>
                <w:color w:val="000000"/>
                <w:sz w:val="16"/>
              </w:rPr>
              <w:t>DQN</w:t>
            </w:r>
          </w:p>
        </w:tc>
        <w:tc>
          <w:tcPr>
            <w:tcW w:w="1315" w:type="dxa"/>
            <w:tcMar>
              <w:top w:w="70" w:type="dxa"/>
              <w:left w:w="75" w:type="dxa"/>
              <w:bottom w:w="70" w:type="dxa"/>
              <w:right w:w="75" w:type="dxa"/>
            </w:tcMar>
          </w:tcPr>
          <w:p w14:paraId="4C6055A6" w14:textId="77777777" w:rsidR="008867B5" w:rsidRDefault="00000000">
            <w:pPr>
              <w:spacing w:line="240" w:lineRule="auto"/>
              <w:jc w:val="center"/>
            </w:pPr>
            <w:r>
              <w:rPr>
                <w:rFonts w:eastAsia="Times New Roman" w:ascii="Times New Roman" w:hAnsi="Times New Roman"/>
                <w:color w:val="000000"/>
                <w:sz w:val="16"/>
              </w:rPr>
              <w:t>Failure risk</w:t>
            </w:r>
          </w:p>
        </w:tc>
        <w:tc>
          <w:tcPr>
            <w:tcW w:w="1723" w:type="dxa"/>
            <w:tcMar>
              <w:top w:w="70" w:type="dxa"/>
              <w:left w:w="75" w:type="dxa"/>
              <w:bottom w:w="70" w:type="dxa"/>
              <w:right w:w="75" w:type="dxa"/>
            </w:tcMar>
          </w:tcPr>
          <w:p w14:paraId="26C28CE9" w14:textId="77777777" w:rsidR="008867B5" w:rsidRDefault="00000000">
            <w:pPr>
              <w:spacing w:line="240" w:lineRule="auto"/>
              <w:jc w:val="center"/>
            </w:pPr>
            <w:r>
              <w:rPr>
                <w:rFonts w:eastAsia="Times New Roman" w:ascii="Times New Roman" w:hAnsi="Times New Roman"/>
                <w:color w:val="000000"/>
                <w:sz w:val="16"/>
              </w:rPr>
              <w:t>Risk-aware multi-hop</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4D774B6A" w14:textId="77777777">
        <w:trPr>
          <w:cantSplit/>
        </w:trPr>
        <w:tc>
          <w:tcPr>
            <w:tcW w:w="1089" w:type="dxa"/>
            <w:tcMar>
              <w:top w:w="70" w:type="dxa"/>
              <w:left w:w="75" w:type="dxa"/>
              <w:bottom w:w="70" w:type="dxa"/>
              <w:right w:w="75" w:type="dxa"/>
            </w:tcMar>
          </w:tcPr>
          <w:p w14:paraId="4A0AA4CC" w14:textId="77777777" w:rsidR="008867B5" w:rsidRDefault="00000000">
            <w:pPr>
              <w:spacing w:line="240" w:lineRule="auto"/>
            </w:pPr>
            <w:r>
              <w:rPr>
                <w:rFonts w:eastAsia="Times New Roman" w:ascii="Times New Roman" w:hAnsi="Times New Roman"/>
                <w:color w:val="000000"/>
                <w:sz w:val="16"/>
              </w:rPr>
              <w:t>Song et al. [15]</w:t>
            </w:r>
          </w:p>
        </w:tc>
        <w:tc>
          <w:tcPr>
            <w:tcW w:w="998" w:type="dxa"/>
            <w:tcMar>
              <w:top w:w="70" w:type="dxa"/>
              <w:left w:w="75" w:type="dxa"/>
              <w:bottom w:w="70" w:type="dxa"/>
              <w:right w:w="75" w:type="dxa"/>
            </w:tcMar>
          </w:tcPr>
          <w:p w14:paraId="156102CC" w14:textId="77777777" w:rsidR="008867B5" w:rsidRDefault="00000000">
            <w:pPr>
              <w:spacing w:line="240" w:lineRule="auto"/>
              <w:jc w:val="center"/>
            </w:pPr>
            <w:r>
              <w:rPr>
                <w:rFonts w:eastAsia="Times New Roman" w:ascii="Times New Roman" w:hAnsi="Times New Roman"/>
                <w:color w:val="000000"/>
                <w:sz w:val="16"/>
              </w:rPr>
              <w:t>General networks</w:t>
            </w:r>
          </w:p>
        </w:tc>
        <w:tc>
          <w:tcPr>
            <w:tcW w:w="1360" w:type="dxa"/>
            <w:tcMar>
              <w:top w:w="70" w:type="dxa"/>
              <w:left w:w="75" w:type="dxa"/>
              <w:bottom w:w="70" w:type="dxa"/>
              <w:right w:w="75" w:type="dxa"/>
            </w:tcMar>
          </w:tcPr>
          <w:p w14:paraId="45B51A09" w14:textId="77777777" w:rsidR="008867B5" w:rsidRDefault="00000000">
            <w:pPr>
              <w:spacing w:line="240" w:lineRule="auto"/>
            </w:pPr>
            <w:r>
              <w:rPr>
                <w:rFonts w:ascii="Times New Roman" w:hAnsi="Times New Roman"/>
                <w:color w:val="000000"/>
                <w:sz w:val="16"/>
              </w:rPr>
              <w:t>DRL + graph transformer</w:t>
            </w:r>
          </w:p>
        </w:tc>
        <w:tc>
          <w:tcPr>
            <w:tcW w:w="1315" w:type="dxa"/>
            <w:tcMar>
              <w:top w:w="70" w:type="dxa"/>
              <w:left w:w="75" w:type="dxa"/>
              <w:bottom w:w="70" w:type="dxa"/>
              <w:right w:w="75" w:type="dxa"/>
            </w:tcMar>
          </w:tcPr>
          <w:p w14:paraId="4FB4A183" w14:textId="77777777" w:rsidR="008867B5" w:rsidRDefault="00000000">
            <w:pPr>
              <w:spacing w:line="240" w:lineRule="auto"/>
              <w:jc w:val="center"/>
            </w:pPr>
            <w:r>
              <w:rPr>
                <w:rFonts w:eastAsia="Times New Roman" w:ascii="Times New Roman" w:hAnsi="Times New Roman"/>
                <w:color w:val="000000"/>
                <w:sz w:val="16"/>
              </w:rPr>
              <w:t>QoS/generalization</w:t>
            </w:r>
          </w:p>
        </w:tc>
        <w:tc>
          <w:tcPr>
            <w:tcW w:w="1723" w:type="dxa"/>
            <w:tcMar>
              <w:top w:w="70" w:type="dxa"/>
              <w:left w:w="75" w:type="dxa"/>
              <w:bottom w:w="70" w:type="dxa"/>
              <w:right w:w="75" w:type="dxa"/>
            </w:tcMar>
          </w:tcPr>
          <w:p w14:paraId="5FA4FB0D" w14:textId="77777777" w:rsidR="008867B5" w:rsidRDefault="00000000">
            <w:pPr>
              <w:spacing w:line="240" w:lineRule="auto"/>
              <w:jc w:val="center"/>
            </w:pPr>
            <w:r>
              <w:rPr>
                <w:rFonts w:eastAsia="Times New Roman" w:ascii="Times New Roman" w:hAnsi="Times New Roman"/>
                <w:color w:val="000000"/>
                <w:sz w:val="16"/>
              </w:rPr>
              <w:t>Graph-structured policy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973E707" w14:textId="77777777">
        <w:trPr>
          <w:cantSplit/>
        </w:trPr>
        <w:tc>
          <w:tcPr>
            <w:tcW w:w="1089" w:type="dxa"/>
            <w:tcMar>
              <w:top w:w="70" w:type="dxa"/>
              <w:left w:w="75" w:type="dxa"/>
              <w:bottom w:w="70" w:type="dxa"/>
              <w:right w:w="75" w:type="dxa"/>
            </w:tcMar>
          </w:tcPr>
          <w:p w14:paraId="7494FCD8" w14:textId="77777777" w:rsidR="008867B5" w:rsidRDefault="00000000">
            <w:pPr>
              <w:spacing w:line="240" w:lineRule="auto"/>
            </w:pPr>
            <w:r>
              <w:rPr>
                <w:rFonts w:eastAsia="Times New Roman" w:ascii="Times New Roman" w:hAnsi="Times New Roman"/>
                <w:color w:val="000000"/>
                <w:sz w:val="16"/>
              </w:rPr>
              <w:t>Wigmore &amp; Modiano [16]</w:t>
            </w:r>
          </w:p>
        </w:tc>
        <w:tc>
          <w:tcPr>
            <w:tcW w:w="998" w:type="dxa"/>
            <w:tcMar>
              <w:top w:w="70" w:type="dxa"/>
              <w:left w:w="75" w:type="dxa"/>
              <w:bottom w:w="70" w:type="dxa"/>
              <w:right w:w="75" w:type="dxa"/>
            </w:tcMar>
          </w:tcPr>
          <w:p w14:paraId="12B4D46C" w14:textId="77777777" w:rsidR="008867B5" w:rsidRDefault="00000000">
            <w:pPr>
              <w:spacing w:line="240" w:lineRule="auto"/>
              <w:jc w:val="center"/>
            </w:pPr>
            <w:r>
              <w:rPr>
                <w:rFonts w:eastAsia="Times New Roman" w:ascii="Times New Roman" w:hAnsi="Times New Roman"/>
                <w:color w:val="000000"/>
                <w:sz w:val="16"/>
              </w:rPr>
              <w:t>Queueing networks</w:t>
            </w:r>
          </w:p>
        </w:tc>
        <w:tc>
          <w:tcPr>
            <w:tcW w:w="1360" w:type="dxa"/>
            <w:tcMar>
              <w:top w:w="70" w:type="dxa"/>
              <w:left w:w="75" w:type="dxa"/>
              <w:bottom w:w="70" w:type="dxa"/>
              <w:right w:w="75" w:type="dxa"/>
            </w:tcMar>
          </w:tcPr>
          <w:p w14:paraId="3E45E091" w14:textId="77777777" w:rsidR="008867B5" w:rsidRDefault="00000000">
            <w:pPr>
              <w:spacing w:line="240" w:lineRule="auto"/>
              <w:jc w:val="center"/>
            </w:pPr>
            <w:r>
              <w:rPr>
                <w:rFonts w:eastAsia="Times New Roman" w:ascii="Times New Roman" w:hAnsi="Times New Roman"/>
                <w:color w:val="000000"/>
                <w:sz w:val="16"/>
              </w:rPr>
              <w:t>GNN policy learning</w:t>
            </w:r>
          </w:p>
        </w:tc>
        <w:tc>
          <w:tcPr>
            <w:tcW w:w="1315" w:type="dxa"/>
            <w:tcMar>
              <w:top w:w="70" w:type="dxa"/>
              <w:left w:w="75" w:type="dxa"/>
              <w:bottom w:w="70" w:type="dxa"/>
              <w:right w:w="75" w:type="dxa"/>
            </w:tcMar>
          </w:tcPr>
          <w:p w14:paraId="19C4F065" w14:textId="77777777" w:rsidR="008867B5" w:rsidRDefault="00000000">
            <w:pPr>
              <w:spacing w:line="240" w:lineRule="auto"/>
              <w:jc w:val="center"/>
            </w:pPr>
            <w:r>
              <w:rPr>
                <w:rFonts w:eastAsia="Times New Roman" w:ascii="Times New Roman" w:hAnsi="Times New Roman"/>
                <w:color w:val="000000"/>
                <w:sz w:val="16"/>
              </w:rPr>
              <w:t>Generalization</w:t>
            </w:r>
          </w:p>
        </w:tc>
        <w:tc>
          <w:tcPr>
            <w:tcW w:w="1723" w:type="dxa"/>
            <w:tcMar>
              <w:top w:w="70" w:type="dxa"/>
              <w:left w:w="75" w:type="dxa"/>
              <w:bottom w:w="70" w:type="dxa"/>
              <w:right w:w="75" w:type="dxa"/>
            </w:tcMar>
          </w:tcPr>
          <w:p w14:paraId="334724BD" w14:textId="77777777" w:rsidR="008867B5" w:rsidRDefault="00000000">
            <w:pPr>
              <w:spacing w:line="240" w:lineRule="auto"/>
              <w:jc w:val="center"/>
            </w:pPr>
            <w:r>
              <w:rPr>
                <w:rFonts w:eastAsia="Times New Roman" w:ascii="Times New Roman" w:hAnsi="Times New Roman"/>
                <w:color w:val="000000"/>
                <w:sz w:val="16"/>
              </w:rPr>
              <w:t>Permutation-aware graph policy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6F232B87" w14:textId="77777777">
        <w:trPr>
          <w:cantSplit/>
        </w:trPr>
        <w:tc>
          <w:tcPr>
            <w:tcW w:w="1089" w:type="dxa"/>
            <w:tcMar>
              <w:top w:w="70" w:type="dxa"/>
              <w:left w:w="75" w:type="dxa"/>
              <w:bottom w:w="70" w:type="dxa"/>
              <w:right w:w="75" w:type="dxa"/>
            </w:tcMar>
          </w:tcPr>
          <w:p w14:paraId="2E72C52C" w14:textId="77777777" w:rsidR="008867B5" w:rsidRDefault="00000000">
            <w:pPr>
              <w:spacing w:line="240" w:lineRule="auto"/>
            </w:pPr>
            <w:r>
              <w:rPr>
                <w:rFonts w:eastAsia="Times New Roman" w:ascii="Times New Roman" w:hAnsi="Times New Roman"/>
                <w:color w:val="000000"/>
                <w:sz w:val="16"/>
              </w:rPr>
              <w:t>Venkatesan et al. [17]</w:t>
            </w:r>
          </w:p>
        </w:tc>
        <w:tc>
          <w:tcPr>
            <w:tcW w:w="998" w:type="dxa"/>
            <w:tcMar>
              <w:top w:w="70" w:type="dxa"/>
              <w:left w:w="75" w:type="dxa"/>
              <w:bottom w:w="70" w:type="dxa"/>
              <w:right w:w="75" w:type="dxa"/>
            </w:tcMar>
          </w:tcPr>
          <w:p w14:paraId="0402E35C" w14:textId="77777777" w:rsidR="008867B5" w:rsidRDefault="00000000">
            <w:pPr>
              <w:spacing w:line="240" w:lineRule="auto"/>
              <w:jc w:val="center"/>
            </w:pPr>
            <w:r>
              <w:rPr>
                <w:rFonts w:eastAsia="Times New Roman" w:ascii="Times New Roman" w:hAnsi="Times New Roman"/>
                <w:color w:val="000000"/>
                <w:sz w:val="16"/>
              </w:rPr>
              <w:t>MANET</w:t>
            </w:r>
          </w:p>
        </w:tc>
        <w:tc>
          <w:tcPr>
            <w:tcW w:w="1360" w:type="dxa"/>
            <w:tcMar>
              <w:top w:w="70" w:type="dxa"/>
              <w:left w:w="75" w:type="dxa"/>
              <w:bottom w:w="70" w:type="dxa"/>
              <w:right w:w="75" w:type="dxa"/>
            </w:tcMar>
          </w:tcPr>
          <w:p w14:paraId="7DD8E0A3" w14:textId="77777777" w:rsidR="008867B5" w:rsidRDefault="00000000">
            <w:pPr>
              <w:spacing w:line="240" w:lineRule="auto"/>
              <w:jc w:val="center"/>
            </w:pPr>
            <w:r>
              <w:rPr>
                <w:rFonts w:eastAsia="Times New Roman" w:ascii="Times New Roman" w:hAnsi="Times New Roman"/>
                <w:color w:val="000000"/>
                <w:sz w:val="16"/>
              </w:rPr>
              <w:t>PPO + slicing</w:t>
            </w:r>
          </w:p>
        </w:tc>
        <w:tc>
          <w:tcPr>
            <w:tcW w:w="1315" w:type="dxa"/>
            <w:tcMar>
              <w:top w:w="70" w:type="dxa"/>
              <w:left w:w="75" w:type="dxa"/>
              <w:bottom w:w="70" w:type="dxa"/>
              <w:right w:w="75" w:type="dxa"/>
            </w:tcMar>
          </w:tcPr>
          <w:p w14:paraId="042ED178" w14:textId="77777777" w:rsidR="008867B5" w:rsidRDefault="00000000">
            <w:pPr>
              <w:spacing w:line="240" w:lineRule="auto"/>
              <w:jc w:val="center"/>
            </w:pPr>
            <w:r>
              <w:rPr>
                <w:rFonts w:eastAsia="Times New Roman" w:ascii="Times New Roman" w:hAnsi="Times New Roman"/>
                <w:color w:val="000000"/>
                <w:sz w:val="16"/>
              </w:rPr>
              <w:t>QoS</w:t>
            </w:r>
          </w:p>
        </w:tc>
        <w:tc>
          <w:tcPr>
            <w:tcW w:w="1723" w:type="dxa"/>
            <w:tcMar>
              <w:top w:w="70" w:type="dxa"/>
              <w:left w:w="75" w:type="dxa"/>
              <w:bottom w:w="70" w:type="dxa"/>
              <w:right w:w="75" w:type="dxa"/>
            </w:tcMar>
          </w:tcPr>
          <w:p w14:paraId="13268CA3" w14:textId="77777777" w:rsidR="008867B5" w:rsidRDefault="00000000">
            <w:pPr>
              <w:spacing w:line="240" w:lineRule="auto"/>
              <w:jc w:val="center"/>
            </w:pPr>
            <w:r>
              <w:rPr>
                <w:rFonts w:eastAsia="Times New Roman" w:ascii="Times New Roman" w:hAnsi="Times New Roman"/>
                <w:color w:val="000000"/>
                <w:sz w:val="16"/>
              </w:rPr>
              <w:t>Local topology/queue state</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5E0AAF87" w14:textId="77777777">
        <w:trPr>
          <w:cantSplit/>
        </w:trPr>
        <w:tc>
          <w:tcPr>
            <w:tcW w:w="1089" w:type="dxa"/>
            <w:tcMar>
              <w:top w:w="70" w:type="dxa"/>
              <w:left w:w="75" w:type="dxa"/>
              <w:bottom w:w="70" w:type="dxa"/>
              <w:right w:w="75" w:type="dxa"/>
            </w:tcMar>
          </w:tcPr>
          <w:p w14:paraId="3349CE2F" w14:textId="77777777" w:rsidR="008867B5" w:rsidRDefault="00000000">
            <w:pPr>
              <w:spacing w:line="240" w:lineRule="auto"/>
            </w:pPr>
            <w:r>
              <w:rPr>
                <w:rFonts w:eastAsia="Times New Roman" w:ascii="Times New Roman" w:hAnsi="Times New Roman"/>
                <w:color w:val="000000"/>
                <w:sz w:val="16"/>
              </w:rPr>
              <w:t>Betam et al. [18]</w:t>
            </w:r>
          </w:p>
        </w:tc>
        <w:tc>
          <w:tcPr>
            <w:tcW w:w="998" w:type="dxa"/>
            <w:tcMar>
              <w:top w:w="70" w:type="dxa"/>
              <w:left w:w="75" w:type="dxa"/>
              <w:bottom w:w="70" w:type="dxa"/>
              <w:right w:w="75" w:type="dxa"/>
            </w:tcMar>
          </w:tcPr>
          <w:p w14:paraId="3177A962"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56A9D2F1" w14:textId="77777777" w:rsidR="008867B5" w:rsidRDefault="00000000">
            <w:pPr>
              <w:spacing w:line="240" w:lineRule="auto"/>
              <w:jc w:val="center"/>
            </w:pPr>
            <w:r>
              <w:rPr>
                <w:rFonts w:eastAsia="Times New Roman" w:ascii="Times New Roman" w:hAnsi="Times New Roman"/>
                <w:color w:val="000000"/>
                <w:sz w:val="16"/>
              </w:rPr>
              <w:t>Hybrid DRL + attention</w:t>
            </w:r>
          </w:p>
        </w:tc>
        <w:tc>
          <w:tcPr>
            <w:tcW w:w="1315" w:type="dxa"/>
            <w:tcMar>
              <w:top w:w="70" w:type="dxa"/>
              <w:left w:w="75" w:type="dxa"/>
              <w:bottom w:w="70" w:type="dxa"/>
              <w:right w:w="75" w:type="dxa"/>
            </w:tcMar>
          </w:tcPr>
          <w:p w14:paraId="4C0E462F" w14:textId="77777777" w:rsidR="008867B5" w:rsidRDefault="00000000">
            <w:pPr>
              <w:spacing w:line="240" w:lineRule="auto"/>
              <w:jc w:val="center"/>
            </w:pPr>
            <w:r>
              <w:rPr>
                <w:rFonts w:eastAsia="Times New Roman" w:ascii="Times New Roman" w:hAnsi="Times New Roman"/>
                <w:color w:val="000000"/>
                <w:sz w:val="16"/>
              </w:rPr>
              <w:t>Energy/delay/throughput</w:t>
            </w:r>
          </w:p>
        </w:tc>
        <w:tc>
          <w:tcPr>
            <w:tcW w:w="1723" w:type="dxa"/>
            <w:tcMar>
              <w:top w:w="70" w:type="dxa"/>
              <w:left w:w="75" w:type="dxa"/>
              <w:bottom w:w="70" w:type="dxa"/>
              <w:right w:w="75" w:type="dxa"/>
            </w:tcMar>
          </w:tcPr>
          <w:p w14:paraId="5AA762B9" w14:textId="77777777" w:rsidR="008867B5" w:rsidRDefault="00000000">
            <w:pPr>
              <w:spacing w:line="240" w:lineRule="auto"/>
              <w:jc w:val="center"/>
            </w:pPr>
            <w:r>
              <w:rPr>
                <w:rFonts w:eastAsia="Times New Roman" w:ascii="Times New Roman" w:hAnsi="Times New Roman"/>
                <w:color w:val="000000"/>
                <w:sz w:val="16"/>
              </w:rPr>
              <w:t>Attention + hierarchy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2C7291E" w14:textId="77777777">
        <w:trPr>
          <w:cantSplit/>
        </w:trPr>
        <w:tc>
          <w:tcPr>
            <w:tcW w:w="1089" w:type="dxa"/>
            <w:tcMar>
              <w:top w:w="70" w:type="dxa"/>
              <w:left w:w="75" w:type="dxa"/>
              <w:bottom w:w="70" w:type="dxa"/>
              <w:right w:w="75" w:type="dxa"/>
            </w:tcMar>
          </w:tcPr>
          <w:p w14:paraId="5AFCC4F4" w14:textId="77777777" w:rsidR="008867B5" w:rsidRDefault="00000000">
            <w:pPr>
              <w:spacing w:line="240" w:lineRule="auto"/>
            </w:pPr>
            <w:r>
              <w:rPr>
                <w:rFonts w:eastAsia="Times New Roman" w:ascii="Times New Roman" w:hAnsi="Times New Roman"/>
                <w:color w:val="000000"/>
                <w:sz w:val="16"/>
              </w:rPr>
              <w:t>Iqbal &amp; Siddiqui [20]</w:t>
            </w:r>
          </w:p>
        </w:tc>
        <w:tc>
          <w:tcPr>
            <w:tcW w:w="998" w:type="dxa"/>
            <w:tcMar>
              <w:top w:w="70" w:type="dxa"/>
              <w:left w:w="75" w:type="dxa"/>
              <w:bottom w:w="70" w:type="dxa"/>
              <w:right w:w="75" w:type="dxa"/>
            </w:tcMar>
          </w:tcPr>
          <w:p w14:paraId="2E1CA899" w14:textId="77777777" w:rsidR="008867B5" w:rsidRDefault="00000000">
            <w:pPr>
              <w:spacing w:line="240" w:lineRule="auto"/>
              <w:jc w:val="center"/>
            </w:pPr>
            <w:r>
              <w:rPr>
                <w:rFonts w:eastAsia="Times New Roman" w:ascii="Times New Roman" w:hAnsi="Times New Roman"/>
                <w:color w:val="000000"/>
                <w:sz w:val="16"/>
              </w:rPr>
              <w:t>WSN</w:t>
            </w:r>
          </w:p>
        </w:tc>
        <w:tc>
          <w:tcPr>
            <w:tcW w:w="1360" w:type="dxa"/>
            <w:tcMar>
              <w:top w:w="70" w:type="dxa"/>
              <w:left w:w="75" w:type="dxa"/>
              <w:bottom w:w="70" w:type="dxa"/>
              <w:right w:w="75" w:type="dxa"/>
            </w:tcMar>
          </w:tcPr>
          <w:p w14:paraId="1C7CB4E6" w14:textId="77777777" w:rsidR="008867B5" w:rsidRDefault="00000000">
            <w:pPr>
              <w:spacing w:line="240" w:lineRule="auto"/>
              <w:jc w:val="center"/>
            </w:pPr>
            <w:r>
              <w:rPr>
                <w:rFonts w:eastAsia="Times New Roman" w:ascii="Times New Roman" w:hAnsi="Times New Roman"/>
                <w:color w:val="000000"/>
                <w:sz w:val="16"/>
              </w:rPr>
              <w:t>Feasibility-aware RL</w:t>
            </w:r>
          </w:p>
        </w:tc>
        <w:tc>
          <w:tcPr>
            <w:tcW w:w="1315" w:type="dxa"/>
            <w:tcMar>
              <w:top w:w="70" w:type="dxa"/>
              <w:left w:w="75" w:type="dxa"/>
              <w:bottom w:w="70" w:type="dxa"/>
              <w:right w:w="75" w:type="dxa"/>
            </w:tcMar>
          </w:tcPr>
          <w:p w14:paraId="7734A1AF" w14:textId="77777777" w:rsidR="008867B5" w:rsidRDefault="00000000">
            <w:pPr>
              <w:spacing w:line="240" w:lineRule="auto"/>
              <w:jc w:val="center"/>
            </w:pPr>
            <w:r>
              <w:rPr>
                <w:rFonts w:eastAsia="Times New Roman" w:ascii="Times New Roman" w:hAnsi="Times New Roman"/>
                <w:color w:val="000000"/>
                <w:sz w:val="16"/>
              </w:rPr>
              <w:t>Hop reliability/trust</w:t>
            </w:r>
          </w:p>
        </w:tc>
        <w:tc>
          <w:tcPr>
            <w:tcW w:w="1723" w:type="dxa"/>
            <w:tcMar>
              <w:top w:w="70" w:type="dxa"/>
              <w:left w:w="75" w:type="dxa"/>
              <w:bottom w:w="70" w:type="dxa"/>
              <w:right w:w="75" w:type="dxa"/>
            </w:tcMar>
          </w:tcPr>
          <w:p w14:paraId="392BB760" w14:textId="77777777" w:rsidR="008867B5" w:rsidRDefault="00000000">
            <w:pPr>
              <w:spacing w:line="240" w:lineRule="auto"/>
              <w:jc w:val="center"/>
            </w:pPr>
            <w:r>
              <w:rPr>
                <w:rFonts w:eastAsia="Times New Roman" w:ascii="Times New Roman" w:hAnsi="Times New Roman"/>
                <w:color w:val="000000"/>
                <w:sz w:val="16"/>
              </w:rPr>
              <w:t>Hard feasibility mask</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7D75053" w14:textId="77777777">
        <w:trPr>
          <w:cantSplit/>
        </w:trPr>
        <w:tc>
          <w:tcPr>
            <w:tcW w:w="1089" w:type="dxa"/>
            <w:tcMar>
              <w:top w:w="70" w:type="dxa"/>
              <w:left w:w="75" w:type="dxa"/>
              <w:bottom w:w="70" w:type="dxa"/>
              <w:right w:w="75" w:type="dxa"/>
            </w:tcMar>
          </w:tcPr>
          <w:p w14:paraId="1D813101" w14:textId="77777777" w:rsidR="008867B5" w:rsidRDefault="00000000">
            <w:pPr>
              <w:spacing w:line="240" w:lineRule="auto"/>
            </w:pPr>
            <w:r>
              <w:rPr>
                <w:rFonts w:eastAsia="Times New Roman" w:ascii="Times New Roman" w:hAnsi="Times New Roman"/>
                <w:color w:val="000000"/>
                <w:sz w:val="16"/>
              </w:rPr>
              <w:t>This work</w:t>
            </w:r>
          </w:p>
        </w:tc>
        <w:tc>
          <w:tcPr>
            <w:tcW w:w="998" w:type="dxa"/>
            <w:tcMar>
              <w:top w:w="70" w:type="dxa"/>
              <w:left w:w="75" w:type="dxa"/>
              <w:bottom w:w="70" w:type="dxa"/>
              <w:right w:w="75" w:type="dxa"/>
            </w:tcMar>
          </w:tcPr>
          <w:p w14:paraId="0041A352"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71233DDA" w14:textId="77777777" w:rsidR="008867B5" w:rsidRDefault="00000000">
            <w:pPr>
              <w:spacing w:line="240" w:lineRule="auto"/>
              <w:jc w:val="center"/>
            </w:pPr>
            <w:r>
              <w:rPr>
                <w:rFonts w:eastAsia="Times New Roman" w:ascii="Times New Roman" w:hAnsi="Times New Roman"/>
                <w:color w:val="000000"/>
                <w:sz w:val="16"/>
              </w:rPr>
              <w:t>Local attention + Lagrangian PPO</w:t>
            </w:r>
          </w:p>
        </w:tc>
        <w:tc>
          <w:tcPr>
            <w:tcW w:w="1315" w:type="dxa"/>
            <w:tcMar>
              <w:top w:w="70" w:type="dxa"/>
              <w:left w:w="75" w:type="dxa"/>
              <w:bottom w:w="70" w:type="dxa"/>
              <w:right w:w="75" w:type="dxa"/>
            </w:tcMar>
          </w:tcPr>
          <w:p w14:paraId="7008D5D2" w14:textId="77777777" w:rsidR="008867B5" w:rsidRDefault="00000000">
            <w:pPr>
              <w:spacing w:line="240" w:lineRule="auto"/>
              <w:jc w:val="center"/>
            </w:pPr>
            <w:r>
              <w:rPr>
                <w:rFonts w:eastAsia="Times New Roman" w:ascii="Times New Roman" w:hAnsi="Times New Roman"/>
                <w:color w:val="000000"/>
                <w:sz w:val="16"/>
              </w:rPr>
              <w:t>QoS + online risk</w:t>
            </w:r>
          </w:p>
        </w:tc>
        <w:tc>
          <w:tcPr>
            <w:tcW w:w="1723" w:type="dxa"/>
            <w:tcMar>
              <w:top w:w="70" w:type="dxa"/>
              <w:left w:w="75" w:type="dxa"/>
              <w:bottom w:w="70" w:type="dxa"/>
              <w:right w:w="75" w:type="dxa"/>
            </w:tcMar>
          </w:tcPr>
          <w:p w14:paraId="1DFFCAA8" w14:textId="77777777" w:rsidR="008867B5" w:rsidRDefault="00000000">
            <w:pPr>
              <w:spacing w:line="240" w:lineRule="auto"/>
              <w:jc w:val="center"/>
            </w:pPr>
            <w:r>
              <w:rPr>
                <w:rFonts w:eastAsia="Times New Roman" w:ascii="Times New Roman" w:hAnsi="Times New Roman"/>
                <w:color w:val="000000"/>
                <w:sz w:val="16"/>
              </w:rPr>
              <w:t>Candidate equivariance + invariant critic</w:t>
            </w:r>
          </w:p>
        </w:tc>
        <w:tc>
          <w:tcPr>
            <w:tcW w:w="2586" w:type="dxa"/>
            <w:tcMar>
              <w:top w:w="70" w:type="dxa"/>
              <w:left w:w="75" w:type="dxa"/>
              <w:bottom w:w="70" w:type="dxa"/>
              <w:right w:w="75" w:type="dxa"/>
            </w:tcMar>
          </w:tcPr>
          <w:p w14:paraId="790E6220" w14:textId="77777777" w:rsidR="008867B5" w:rsidRDefault="00000000">
            <w:pPr>
              <w:spacing w:line="240" w:lineRule="auto"/>
            </w:pPr>
            <w:r>
              <w:rPr>
                <w:rFonts w:eastAsia="Times New Roman" w:ascii="Times New Roman" w:hAnsi="Times New Roman"/>
                <w:color w:val="000000"/>
                <w:sz w:val="16"/>
              </w:rPr>
              <w:t>30 paired seeds; frozen endpoints; Holm + NI guardrails</w:t>
            </w:r>
          </w:p>
        </w:tc>
      </w:tr>
    </w:tbl>
    <w:p>
      <w:pPr>
        <w:pageBreakBefore/>
      </w:pPr>
    </w:p>
    <w:p w14:paraId="7D78CDB1"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II. Frozen primary simulator and training configuration.</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3538"/>
        <w:gridCol w:w="5533"/>
      </w:tblGrid>
      <w:tr w:rsidR="008867B5" w14:paraId="19BF00F4" w14:textId="77777777">
        <w:trPr>
          <w:tblHeader/>
          <w:cantSplit/>
        </w:trPr>
        <w:tc>
          <w:tcPr>
            <w:tcW w:w="3538" w:type="dxa"/>
            <w:tcMar>
              <w:top w:w="70" w:type="dxa"/>
              <w:left w:w="75" w:type="dxa"/>
              <w:bottom w:w="70" w:type="dxa"/>
              <w:right w:w="75" w:type="dxa"/>
            </w:tcMar>
          </w:tcPr>
          <w:p w14:paraId="1E77F6BD" w14:textId="77777777" w:rsidR="008867B5" w:rsidRDefault="00000000">
            <w:pPr>
              <w:spacing w:line="240" w:lineRule="auto"/>
              <w:jc w:val="center"/>
            </w:pPr>
            <w:r>
              <w:rPr>
                <w:rFonts w:eastAsia="Times New Roman" w:ascii="Times New Roman" w:hAnsi="Times New Roman"/>
                <w:b/>
                <w:color w:val="000000"/>
                <w:sz w:val="16"/>
              </w:rPr>
              <w:t>Parameter</w:t>
            </w:r>
          </w:p>
        </w:tc>
        <w:tc>
          <w:tcPr>
            <w:tcW w:w="5533" w:type="dxa"/>
            <w:tcMar>
              <w:top w:w="70" w:type="dxa"/>
              <w:left w:w="75" w:type="dxa"/>
              <w:bottom w:w="70" w:type="dxa"/>
              <w:right w:w="75" w:type="dxa"/>
            </w:tcMar>
          </w:tcPr>
          <w:p w14:paraId="7B4178AA" w14:textId="77777777" w:rsidR="008867B5" w:rsidRDefault="00000000">
            <w:pPr>
              <w:spacing w:line="240" w:lineRule="auto"/>
              <w:jc w:val="center"/>
            </w:pPr>
            <w:r>
              <w:rPr>
                <w:rFonts w:eastAsia="Times New Roman" w:ascii="Times New Roman" w:hAnsi="Times New Roman"/>
                <w:b/>
                <w:color w:val="000000"/>
                <w:sz w:val="16"/>
              </w:rPr>
              <w:t>Frozen value</w:t>
            </w:r>
          </w:p>
        </w:tc>
      </w:tr>
      <w:tr w:rsidR="008867B5" w14:paraId="0607A761" w14:textId="77777777">
        <w:trPr>
          <w:cantSplit/>
        </w:trPr>
        <w:tc>
          <w:tcPr>
            <w:tcW w:w="3538" w:type="dxa"/>
            <w:tcMar>
              <w:top w:w="70" w:type="dxa"/>
              <w:left w:w="75" w:type="dxa"/>
              <w:bottom w:w="70" w:type="dxa"/>
              <w:right w:w="75" w:type="dxa"/>
            </w:tcMar>
          </w:tcPr>
          <w:p w14:paraId="4F945965" w14:textId="77777777" w:rsidR="008867B5" w:rsidRDefault="00000000">
            <w:pPr>
              <w:spacing w:line="240" w:lineRule="auto"/>
            </w:pPr>
            <w:r>
              <w:rPr>
                <w:rFonts w:eastAsia="Times New Roman" w:ascii="Times New Roman" w:hAnsi="Times New Roman"/>
                <w:color w:val="000000"/>
                <w:sz w:val="16"/>
              </w:rPr>
              <w:t>Network / deployment</w:t>
            </w:r>
          </w:p>
        </w:tc>
        <w:tc>
          <w:tcPr>
            <w:tcW w:w="5533" w:type="dxa"/>
            <w:tcMar>
              <w:top w:w="70" w:type="dxa"/>
              <w:left w:w="75" w:type="dxa"/>
              <w:bottom w:w="70" w:type="dxa"/>
              <w:right w:w="75" w:type="dxa"/>
            </w:tcMar>
          </w:tcPr>
          <w:p w14:paraId="09365FD8" w14:textId="77777777" w:rsidR="008867B5" w:rsidRDefault="00000000">
            <w:pPr>
              <w:spacing w:line="240" w:lineRule="auto"/>
              <w:jc w:val="center"/>
            </w:pPr>
            <w:r>
              <w:rPr>
                <w:rFonts w:eastAsia="Times New Roman" w:ascii="Times New Roman" w:hAnsi="Times New Roman"/>
                <w:color w:val="000000"/>
                <w:sz w:val="16"/>
              </w:rPr>
              <w:t>100 nodes; 150 m × 150 m; sink at (75,75) m</w:t>
            </w:r>
          </w:p>
        </w:tc>
      </w:tr>
      <w:tr w:rsidR="008867B5" w14:paraId="277B4649" w14:textId="77777777">
        <w:trPr>
          <w:cantSplit/>
        </w:trPr>
        <w:tc>
          <w:tcPr>
            <w:tcW w:w="3538" w:type="dxa"/>
            <w:tcMar>
              <w:top w:w="70" w:type="dxa"/>
              <w:left w:w="75" w:type="dxa"/>
              <w:bottom w:w="70" w:type="dxa"/>
              <w:right w:w="75" w:type="dxa"/>
            </w:tcMar>
          </w:tcPr>
          <w:p w14:paraId="6EACF9C5" w14:textId="77777777" w:rsidR="008867B5" w:rsidRDefault="00000000">
            <w:pPr>
              <w:spacing w:line="240" w:lineRule="auto"/>
            </w:pPr>
            <w:r>
              <w:rPr>
                <w:rFonts w:eastAsia="Times New Roman" w:ascii="Times New Roman" w:hAnsi="Times New Roman"/>
                <w:color w:val="000000"/>
                <w:sz w:val="16"/>
              </w:rPr>
              <w:t>Initial energy / radio range</w:t>
            </w:r>
          </w:p>
        </w:tc>
        <w:tc>
          <w:tcPr>
            <w:tcW w:w="5533" w:type="dxa"/>
            <w:tcMar>
              <w:top w:w="70" w:type="dxa"/>
              <w:left w:w="75" w:type="dxa"/>
              <w:bottom w:w="70" w:type="dxa"/>
              <w:right w:w="75" w:type="dxa"/>
            </w:tcMar>
          </w:tcPr>
          <w:p w14:paraId="7CF6E9FB" w14:textId="77777777" w:rsidR="008867B5" w:rsidRDefault="00000000">
            <w:pPr>
              <w:spacing w:line="240" w:lineRule="auto"/>
              <w:jc w:val="center"/>
            </w:pPr>
            <w:r>
              <w:rPr>
                <w:rFonts w:eastAsia="Times New Roman" w:ascii="Times New Roman" w:hAnsi="Times New Roman"/>
                <w:color w:val="000000"/>
                <w:sz w:val="16"/>
              </w:rPr>
              <w:t>0.5 J per node / 50 m</w:t>
            </w:r>
          </w:p>
        </w:tc>
      </w:tr>
      <w:tr w:rsidR="008867B5" w14:paraId="5CD293F8" w14:textId="77777777">
        <w:trPr>
          <w:cantSplit/>
        </w:trPr>
        <w:tc>
          <w:tcPr>
            <w:tcW w:w="3538" w:type="dxa"/>
            <w:tcMar>
              <w:top w:w="70" w:type="dxa"/>
              <w:left w:w="75" w:type="dxa"/>
              <w:bottom w:w="70" w:type="dxa"/>
              <w:right w:w="75" w:type="dxa"/>
            </w:tcMar>
          </w:tcPr>
          <w:p w14:paraId="3F441AFD" w14:textId="77777777" w:rsidR="008867B5" w:rsidRDefault="00000000">
            <w:pPr>
              <w:spacing w:line="240" w:lineRule="auto"/>
            </w:pPr>
            <w:r>
              <w:rPr>
                <w:rFonts w:eastAsia="Times New Roman" w:ascii="Times New Roman" w:hAnsi="Times New Roman"/>
                <w:color w:val="000000"/>
                <w:sz w:val="16"/>
              </w:rPr>
              <w:t>Packet / data rate</w:t>
            </w:r>
          </w:p>
        </w:tc>
        <w:tc>
          <w:tcPr>
            <w:tcW w:w="5533" w:type="dxa"/>
            <w:tcMar>
              <w:top w:w="70" w:type="dxa"/>
              <w:left w:w="75" w:type="dxa"/>
              <w:bottom w:w="70" w:type="dxa"/>
              <w:right w:w="75" w:type="dxa"/>
            </w:tcMar>
          </w:tcPr>
          <w:p w14:paraId="32CC25CA" w14:textId="77777777" w:rsidR="008867B5" w:rsidRDefault="00000000">
            <w:pPr>
              <w:spacing w:line="240" w:lineRule="auto"/>
              <w:jc w:val="center"/>
            </w:pPr>
            <w:r>
              <w:rPr>
                <w:rFonts w:eastAsia="Times New Roman" w:ascii="Times New Roman" w:hAnsi="Times New Roman"/>
                <w:color w:val="000000"/>
                <w:sz w:val="16"/>
              </w:rPr>
              <w:t>4000 bits / 250 kbps</w:t>
            </w:r>
          </w:p>
        </w:tc>
      </w:tr>
      <w:tr w:rsidR="008867B5" w14:paraId="56D93EDA" w14:textId="77777777">
        <w:trPr>
          <w:cantSplit/>
        </w:trPr>
        <w:tc>
          <w:tcPr>
            <w:tcW w:w="3538" w:type="dxa"/>
            <w:tcMar>
              <w:top w:w="70" w:type="dxa"/>
              <w:left w:w="75" w:type="dxa"/>
              <w:bottom w:w="70" w:type="dxa"/>
              <w:right w:w="75" w:type="dxa"/>
            </w:tcMar>
          </w:tcPr>
          <w:p w14:paraId="158365EA" w14:textId="77777777" w:rsidR="008867B5" w:rsidRDefault="00000000">
            <w:pPr>
              <w:spacing w:line="240" w:lineRule="auto"/>
            </w:pPr>
            <w:r>
              <w:rPr>
                <w:rFonts w:eastAsia="Times New Roman" w:ascii="Times New Roman" w:hAnsi="Times New Roman"/>
                <w:color w:val="000000"/>
                <w:sz w:val="16"/>
              </w:rPr>
              <w:t>MAC retries</w:t>
            </w:r>
          </w:p>
        </w:tc>
        <w:tc>
          <w:tcPr>
            <w:tcW w:w="5533" w:type="dxa"/>
            <w:tcMar>
              <w:top w:w="70" w:type="dxa"/>
              <w:left w:w="75" w:type="dxa"/>
              <w:bottom w:w="70" w:type="dxa"/>
              <w:right w:w="75" w:type="dxa"/>
            </w:tcMar>
          </w:tcPr>
          <w:p w14:paraId="6CE98D29" w14:textId="77777777" w:rsidR="008867B5" w:rsidRDefault="00000000">
            <w:pPr>
              <w:spacing w:line="240" w:lineRule="auto"/>
            </w:pPr>
            <w:r>
              <w:rPr>
                <w:rFonts w:ascii="Times New Roman" w:hAnsi="Times New Roman"/>
                <w:color w:val="000000"/>
                <w:sz w:val="16"/>
              </w:rPr>
              <w:t>3 retries; at most 4 transmission attempts per hop</w:t>
            </w:r>
          </w:p>
        </w:tc>
      </w:tr>
      <w:tr w:rsidR="008867B5" w14:paraId="353BF589" w14:textId="77777777">
        <w:trPr>
          <w:cantSplit/>
        </w:trPr>
        <w:tc>
          <w:tcPr>
            <w:tcW w:w="3538" w:type="dxa"/>
            <w:tcMar>
              <w:top w:w="70" w:type="dxa"/>
              <w:left w:w="75" w:type="dxa"/>
              <w:bottom w:w="70" w:type="dxa"/>
              <w:right w:w="75" w:type="dxa"/>
            </w:tcMar>
          </w:tcPr>
          <w:p w14:paraId="674D0CAE" w14:textId="77777777" w:rsidR="008867B5" w:rsidRDefault="00000000">
            <w:pPr>
              <w:spacing w:line="240" w:lineRule="auto"/>
            </w:pPr>
            <w:r>
              <w:rPr>
                <w:rFonts w:eastAsia="Times New Roman" w:ascii="Times New Roman" w:hAnsi="Times New Roman"/>
                <w:color w:val="000000"/>
                <w:sz w:val="16"/>
              </w:rPr>
              <w:t>Traffic-class probabilities</w:t>
            </w:r>
          </w:p>
        </w:tc>
        <w:tc>
          <w:tcPr>
            <w:tcW w:w="5533" w:type="dxa"/>
            <w:tcMar>
              <w:top w:w="70" w:type="dxa"/>
              <w:left w:w="75" w:type="dxa"/>
              <w:bottom w:w="70" w:type="dxa"/>
              <w:right w:w="75" w:type="dxa"/>
            </w:tcMar>
          </w:tcPr>
          <w:p w14:paraId="11EC6719" w14:textId="77777777" w:rsidR="008867B5" w:rsidRDefault="00000000">
            <w:pPr>
              <w:spacing w:line="240" w:lineRule="auto"/>
              <w:jc w:val="center"/>
            </w:pPr>
            <w:r>
              <w:rPr>
                <w:rFonts w:eastAsia="Times New Roman" w:ascii="Times New Roman" w:hAnsi="Times New Roman"/>
                <w:color w:val="000000"/>
                <w:sz w:val="16"/>
              </w:rPr>
              <w:t>[0.35, 0.45, 0.20]</w:t>
            </w:r>
          </w:p>
        </w:tc>
      </w:tr>
      <w:tr w:rsidR="008867B5" w14:paraId="15B18848" w14:textId="77777777">
        <w:trPr>
          <w:cantSplit/>
        </w:trPr>
        <w:tc>
          <w:tcPr>
            <w:tcW w:w="3538" w:type="dxa"/>
            <w:tcMar>
              <w:top w:w="70" w:type="dxa"/>
              <w:left w:w="75" w:type="dxa"/>
              <w:bottom w:w="70" w:type="dxa"/>
              <w:right w:w="75" w:type="dxa"/>
            </w:tcMar>
          </w:tcPr>
          <w:p w14:paraId="58475F3C" w14:textId="77777777" w:rsidR="008867B5" w:rsidRDefault="00000000">
            <w:pPr>
              <w:spacing w:line="240" w:lineRule="auto"/>
            </w:pPr>
            <w:r>
              <w:rPr>
                <w:rFonts w:eastAsia="Times New Roman" w:ascii="Times New Roman" w:hAnsi="Times New Roman"/>
                <w:color w:val="000000"/>
                <w:sz w:val="16"/>
              </w:rPr>
              <w:t>Deadlines (ms)</w:t>
            </w:r>
          </w:p>
        </w:tc>
        <w:tc>
          <w:tcPr>
            <w:tcW w:w="5533" w:type="dxa"/>
            <w:tcMar>
              <w:top w:w="70" w:type="dxa"/>
              <w:left w:w="75" w:type="dxa"/>
              <w:bottom w:w="70" w:type="dxa"/>
              <w:right w:w="75" w:type="dxa"/>
            </w:tcMar>
          </w:tcPr>
          <w:p w14:paraId="451D722A" w14:textId="77777777" w:rsidR="008867B5" w:rsidRDefault="00000000">
            <w:pPr>
              <w:spacing w:line="240" w:lineRule="auto"/>
              <w:jc w:val="center"/>
            </w:pPr>
            <w:r>
              <w:rPr>
                <w:rFonts w:eastAsia="Times New Roman" w:ascii="Times New Roman" w:hAnsi="Times New Roman"/>
                <w:color w:val="000000"/>
                <w:sz w:val="16"/>
              </w:rPr>
              <w:t>[90, 350, 1500]</w:t>
            </w:r>
          </w:p>
        </w:tc>
      </w:tr>
      <w:tr w:rsidR="008867B5" w14:paraId="6BEB0CA2" w14:textId="77777777">
        <w:trPr>
          <w:cantSplit/>
        </w:trPr>
        <w:tc>
          <w:tcPr>
            <w:tcW w:w="3538" w:type="dxa"/>
            <w:tcMar>
              <w:top w:w="70" w:type="dxa"/>
              <w:left w:w="75" w:type="dxa"/>
              <w:bottom w:w="70" w:type="dxa"/>
              <w:right w:w="75" w:type="dxa"/>
            </w:tcMar>
          </w:tcPr>
          <w:p w14:paraId="56C5EF85" w14:textId="77777777" w:rsidR="008867B5" w:rsidRDefault="00000000">
            <w:pPr>
              <w:spacing w:line="240" w:lineRule="auto"/>
            </w:pPr>
            <w:r>
              <w:rPr>
                <w:rFonts w:eastAsia="Times New Roman" w:ascii="Times New Roman" w:hAnsi="Times New Roman"/>
                <w:color w:val="000000"/>
                <w:sz w:val="16"/>
              </w:rPr>
              <w:t>Target PDR</w:t>
            </w:r>
          </w:p>
        </w:tc>
        <w:tc>
          <w:tcPr>
            <w:tcW w:w="5533" w:type="dxa"/>
            <w:tcMar>
              <w:top w:w="70" w:type="dxa"/>
              <w:left w:w="75" w:type="dxa"/>
              <w:bottom w:w="70" w:type="dxa"/>
              <w:right w:w="75" w:type="dxa"/>
            </w:tcMar>
          </w:tcPr>
          <w:p w14:paraId="0282B875" w14:textId="77777777" w:rsidR="008867B5" w:rsidRDefault="00000000">
            <w:pPr>
              <w:spacing w:line="240" w:lineRule="auto"/>
              <w:jc w:val="center"/>
            </w:pPr>
            <w:r>
              <w:rPr>
                <w:rFonts w:eastAsia="Times New Roman" w:ascii="Times New Roman" w:hAnsi="Times New Roman"/>
                <w:color w:val="000000"/>
                <w:sz w:val="16"/>
              </w:rPr>
              <w:t>[0.985, 0.96, 0.90]</w:t>
            </w:r>
          </w:p>
        </w:tc>
      </w:tr>
      <w:tr w:rsidR="008867B5" w14:paraId="157A9C10" w14:textId="77777777">
        <w:trPr>
          <w:cantSplit/>
        </w:trPr>
        <w:tc>
          <w:tcPr>
            <w:tcW w:w="3538" w:type="dxa"/>
            <w:tcMar>
              <w:top w:w="70" w:type="dxa"/>
              <w:left w:w="75" w:type="dxa"/>
              <w:bottom w:w="70" w:type="dxa"/>
              <w:right w:w="75" w:type="dxa"/>
            </w:tcMar>
          </w:tcPr>
          <w:p w14:paraId="3350A288" w14:textId="77777777" w:rsidR="008867B5" w:rsidRDefault="00000000">
            <w:pPr>
              <w:spacing w:line="240" w:lineRule="auto"/>
            </w:pPr>
            <w:r>
              <w:rPr>
                <w:rFonts w:eastAsia="Times New Roman" w:ascii="Times New Roman" w:hAnsi="Times New Roman"/>
                <w:color w:val="000000"/>
                <w:sz w:val="16"/>
              </w:rPr>
              <w:t>Delay-violation budgets</w:t>
            </w:r>
          </w:p>
        </w:tc>
        <w:tc>
          <w:tcPr>
            <w:tcW w:w="5533" w:type="dxa"/>
            <w:tcMar>
              <w:top w:w="70" w:type="dxa"/>
              <w:left w:w="75" w:type="dxa"/>
              <w:bottom w:w="70" w:type="dxa"/>
              <w:right w:w="75" w:type="dxa"/>
            </w:tcMar>
          </w:tcPr>
          <w:p w14:paraId="37781998" w14:textId="77777777" w:rsidR="008867B5" w:rsidRDefault="00000000">
            <w:pPr>
              <w:spacing w:line="240" w:lineRule="auto"/>
              <w:jc w:val="center"/>
            </w:pPr>
            <w:r>
              <w:rPr>
                <w:rFonts w:eastAsia="Times New Roman" w:ascii="Times New Roman" w:hAnsi="Times New Roman"/>
                <w:color w:val="000000"/>
                <w:sz w:val="16"/>
              </w:rPr>
              <w:t>[0.015, 0.04, 0.10]</w:t>
            </w:r>
          </w:p>
        </w:tc>
      </w:tr>
      <w:tr w:rsidR="008867B5" w14:paraId="69BACB88" w14:textId="77777777">
        <w:trPr>
          <w:cantSplit/>
        </w:trPr>
        <w:tc>
          <w:tcPr>
            <w:tcW w:w="3538" w:type="dxa"/>
            <w:tcMar>
              <w:top w:w="70" w:type="dxa"/>
              <w:left w:w="75" w:type="dxa"/>
              <w:bottom w:w="70" w:type="dxa"/>
              <w:right w:w="75" w:type="dxa"/>
            </w:tcMar>
          </w:tcPr>
          <w:p w14:paraId="1BC1BC00" w14:textId="77777777" w:rsidR="008867B5" w:rsidRDefault="00000000">
            <w:pPr>
              <w:spacing w:line="240" w:lineRule="auto"/>
            </w:pPr>
            <w:r>
              <w:rPr>
                <w:rFonts w:eastAsia="Times New Roman" w:ascii="Times New Roman" w:hAnsi="Times New Roman"/>
                <w:color w:val="000000"/>
                <w:sz w:val="16"/>
              </w:rPr>
              <w:t>Malicious-node ratio</w:t>
            </w:r>
          </w:p>
        </w:tc>
        <w:tc>
          <w:tcPr>
            <w:tcW w:w="5533" w:type="dxa"/>
            <w:tcMar>
              <w:top w:w="70" w:type="dxa"/>
              <w:left w:w="75" w:type="dxa"/>
              <w:bottom w:w="70" w:type="dxa"/>
              <w:right w:w="75" w:type="dxa"/>
            </w:tcMar>
          </w:tcPr>
          <w:p w14:paraId="72560997" w14:textId="77777777" w:rsidR="008867B5" w:rsidRDefault="00000000">
            <w:pPr>
              <w:spacing w:line="240" w:lineRule="auto"/>
              <w:jc w:val="center"/>
            </w:pPr>
            <w:r>
              <w:rPr>
                <w:rFonts w:eastAsia="Times New Roman" w:ascii="Times New Roman" w:hAnsi="Times New Roman"/>
                <w:color w:val="000000"/>
                <w:sz w:val="16"/>
              </w:rPr>
              <w:t>0.25</w:t>
            </w:r>
          </w:p>
        </w:tc>
      </w:tr>
      <w:tr w:rsidR="008867B5" w14:paraId="1BABF402" w14:textId="77777777">
        <w:trPr>
          <w:cantSplit/>
        </w:trPr>
        <w:tc>
          <w:tcPr>
            <w:tcW w:w="3538" w:type="dxa"/>
            <w:tcMar>
              <w:top w:w="70" w:type="dxa"/>
              <w:left w:w="75" w:type="dxa"/>
              <w:bottom w:w="70" w:type="dxa"/>
              <w:right w:w="75" w:type="dxa"/>
            </w:tcMar>
          </w:tcPr>
          <w:p w14:paraId="3E1F0CFA" w14:textId="77777777" w:rsidR="008867B5" w:rsidRDefault="00000000">
            <w:pPr>
              <w:spacing w:line="240" w:lineRule="auto"/>
            </w:pPr>
            <w:r>
              <w:rPr>
                <w:rFonts w:eastAsia="Times New Roman" w:ascii="Times New Roman" w:hAnsi="Times New Roman"/>
                <w:color w:val="000000"/>
                <w:sz w:val="16"/>
              </w:rPr>
              <w:t>Selective-drop probability</w:t>
            </w:r>
          </w:p>
        </w:tc>
        <w:tc>
          <w:tcPr>
            <w:tcW w:w="5533" w:type="dxa"/>
            <w:tcMar>
              <w:top w:w="70" w:type="dxa"/>
              <w:left w:w="75" w:type="dxa"/>
              <w:bottom w:w="70" w:type="dxa"/>
              <w:right w:w="75" w:type="dxa"/>
            </w:tcMar>
          </w:tcPr>
          <w:p w14:paraId="4841B43A" w14:textId="77777777" w:rsidR="008867B5" w:rsidRDefault="00000000">
            <w:pPr>
              <w:spacing w:line="240" w:lineRule="auto"/>
              <w:jc w:val="center"/>
            </w:pPr>
            <w:r>
              <w:rPr>
                <w:rFonts w:eastAsia="Times New Roman" w:ascii="Times New Roman" w:hAnsi="Times New Roman"/>
                <w:color w:val="000000"/>
                <w:sz w:val="16"/>
              </w:rPr>
              <w:t>0.65</w:t>
            </w:r>
          </w:p>
        </w:tc>
      </w:tr>
      <w:tr w:rsidR="008867B5" w14:paraId="697F3BF0" w14:textId="77777777">
        <w:trPr>
          <w:cantSplit/>
        </w:trPr>
        <w:tc>
          <w:tcPr>
            <w:tcW w:w="3538" w:type="dxa"/>
            <w:tcMar>
              <w:top w:w="70" w:type="dxa"/>
              <w:left w:w="75" w:type="dxa"/>
              <w:bottom w:w="70" w:type="dxa"/>
              <w:right w:w="75" w:type="dxa"/>
            </w:tcMar>
          </w:tcPr>
          <w:p w14:paraId="2EBCA986" w14:textId="77777777" w:rsidR="008867B5" w:rsidRDefault="00000000">
            <w:pPr>
              <w:spacing w:line="240" w:lineRule="auto"/>
            </w:pPr>
            <w:r>
              <w:rPr>
                <w:rFonts w:eastAsia="Times New Roman" w:ascii="Times New Roman" w:hAnsi="Times New Roman"/>
                <w:color w:val="000000"/>
                <w:sz w:val="16"/>
              </w:rPr>
              <w:t>Candidate limit</w:t>
            </w:r>
          </w:p>
        </w:tc>
        <w:tc>
          <w:tcPr>
            <w:tcW w:w="5533" w:type="dxa"/>
            <w:tcMar>
              <w:top w:w="70" w:type="dxa"/>
              <w:left w:w="75" w:type="dxa"/>
              <w:bottom w:w="70" w:type="dxa"/>
              <w:right w:w="75" w:type="dxa"/>
            </w:tcMar>
          </w:tcPr>
          <w:p w14:paraId="16C04762" w14:textId="77777777" w:rsidR="008867B5" w:rsidRDefault="00000000">
            <w:pPr>
              <w:spacing w:line="240" w:lineRule="auto"/>
              <w:jc w:val="center"/>
            </w:pPr>
            <w:r>
              <w:rPr>
                <w:rFonts w:eastAsia="Times New Roman" w:ascii="Times New Roman" w:hAnsi="Times New Roman"/>
                <w:color w:val="000000"/>
                <w:sz w:val="16"/>
              </w:rPr>
              <w:t>K=8</w:t>
            </w:r>
          </w:p>
        </w:tc>
      </w:tr>
      <w:tr w:rsidR="008867B5" w14:paraId="0E4AB782" w14:textId="77777777">
        <w:trPr>
          <w:cantSplit/>
        </w:trPr>
        <w:tc>
          <w:tcPr>
            <w:tcW w:w="3538" w:type="dxa"/>
            <w:tcMar>
              <w:top w:w="70" w:type="dxa"/>
              <w:left w:w="75" w:type="dxa"/>
              <w:bottom w:w="70" w:type="dxa"/>
              <w:right w:w="75" w:type="dxa"/>
            </w:tcMar>
          </w:tcPr>
          <w:p w14:paraId="512B4F03" w14:textId="77777777" w:rsidR="008867B5" w:rsidRDefault="00000000">
            <w:pPr>
              <w:spacing w:line="240" w:lineRule="auto"/>
            </w:pPr>
            <w:r>
              <w:rPr>
                <w:rFonts w:eastAsia="Times New Roman" w:ascii="Times New Roman" w:hAnsi="Times New Roman"/>
                <w:color w:val="000000"/>
                <w:sz w:val="16"/>
              </w:rPr>
              <w:t>Hidden width / learning rate</w:t>
            </w:r>
          </w:p>
        </w:tc>
        <w:tc>
          <w:tcPr>
            <w:tcW w:w="5533" w:type="dxa"/>
            <w:tcMar>
              <w:top w:w="70" w:type="dxa"/>
              <w:left w:w="75" w:type="dxa"/>
              <w:bottom w:w="70" w:type="dxa"/>
              <w:right w:w="75" w:type="dxa"/>
            </w:tcMar>
          </w:tcPr>
          <w:p w14:paraId="0583045B" w14:textId="77777777" w:rsidR="008867B5" w:rsidRDefault="00000000">
            <w:pPr>
              <w:spacing w:line="240" w:lineRule="auto"/>
              <w:jc w:val="center"/>
            </w:pPr>
            <w:r>
              <w:rPr>
                <w:rFonts w:eastAsia="Times New Roman" w:ascii="Times New Roman" w:hAnsi="Times New Roman"/>
                <w:color w:val="000000"/>
                <w:sz w:val="16"/>
              </w:rPr>
              <w:t>96 / 3 × 10⁻⁴</w:t>
            </w:r>
          </w:p>
        </w:tc>
      </w:tr>
      <w:tr w:rsidR="008867B5" w14:paraId="2111A4C7" w14:textId="77777777">
        <w:trPr>
          <w:cantSplit/>
        </w:trPr>
        <w:tc>
          <w:tcPr>
            <w:tcW w:w="3538" w:type="dxa"/>
            <w:tcMar>
              <w:top w:w="70" w:type="dxa"/>
              <w:left w:w="75" w:type="dxa"/>
              <w:bottom w:w="70" w:type="dxa"/>
              <w:right w:w="75" w:type="dxa"/>
            </w:tcMar>
          </w:tcPr>
          <w:p w14:paraId="636E9C4A" w14:textId="77777777" w:rsidR="008867B5" w:rsidRDefault="00000000">
            <w:pPr>
              <w:spacing w:line="240" w:lineRule="auto"/>
            </w:pPr>
            <w:r>
              <w:rPr>
                <w:rFonts w:eastAsia="Times New Roman" w:ascii="Times New Roman" w:hAnsi="Times New Roman"/>
                <w:color w:val="000000"/>
                <w:sz w:val="16"/>
              </w:rPr>
              <w:t>PPO clip / entropy</w:t>
            </w:r>
          </w:p>
        </w:tc>
        <w:tc>
          <w:tcPr>
            <w:tcW w:w="5533" w:type="dxa"/>
            <w:tcMar>
              <w:top w:w="70" w:type="dxa"/>
              <w:left w:w="75" w:type="dxa"/>
              <w:bottom w:w="70" w:type="dxa"/>
              <w:right w:w="75" w:type="dxa"/>
            </w:tcMar>
          </w:tcPr>
          <w:p w14:paraId="256EA737" w14:textId="77777777" w:rsidR="008867B5" w:rsidRDefault="00000000">
            <w:pPr>
              <w:spacing w:line="240" w:lineRule="auto"/>
              <w:jc w:val="center"/>
            </w:pPr>
            <w:r>
              <w:rPr>
                <w:rFonts w:eastAsia="Times New Roman" w:ascii="Times New Roman" w:hAnsi="Times New Roman"/>
                <w:color w:val="000000"/>
                <w:sz w:val="16"/>
              </w:rPr>
              <w:t>0.20 / 0.01</w:t>
            </w:r>
          </w:p>
        </w:tc>
      </w:tr>
      <w:tr w:rsidR="008867B5" w14:paraId="1C467865" w14:textId="77777777">
        <w:trPr>
          <w:cantSplit/>
        </w:trPr>
        <w:tc>
          <w:tcPr>
            <w:tcW w:w="3538" w:type="dxa"/>
            <w:tcMar>
              <w:top w:w="70" w:type="dxa"/>
              <w:left w:w="75" w:type="dxa"/>
              <w:bottom w:w="70" w:type="dxa"/>
              <w:right w:w="75" w:type="dxa"/>
            </w:tcMar>
          </w:tcPr>
          <w:p w14:paraId="3CEB17D2" w14:textId="77777777" w:rsidR="008867B5" w:rsidRDefault="00000000">
            <w:pPr>
              <w:spacing w:line="240" w:lineRule="auto"/>
            </w:pPr>
            <w:r>
              <w:rPr>
                <w:rFonts w:ascii="Times New Roman" w:hAnsi="Times New Roman"/>
                <w:color w:val="000000"/>
                <w:sz w:val="16"/>
              </w:rPr>
              <w:t>Discount factor γ / GAE λ</w:t>
            </w:r>
          </w:p>
        </w:tc>
        <w:tc>
          <w:tcPr>
            <w:tcW w:w="5533" w:type="dxa"/>
            <w:tcMar>
              <w:top w:w="70" w:type="dxa"/>
              <w:left w:w="75" w:type="dxa"/>
              <w:bottom w:w="70" w:type="dxa"/>
              <w:right w:w="75" w:type="dxa"/>
            </w:tcMar>
          </w:tcPr>
          <w:p w14:paraId="21FDAF9A" w14:textId="77777777" w:rsidR="008867B5" w:rsidRDefault="00000000">
            <w:pPr>
              <w:spacing w:line="240" w:lineRule="auto"/>
              <w:jc w:val="center"/>
            </w:pPr>
            <w:r>
              <w:rPr>
                <w:rFonts w:eastAsia="Times New Roman" w:ascii="Times New Roman" w:hAnsi="Times New Roman"/>
                <w:color w:val="000000"/>
                <w:sz w:val="16"/>
              </w:rPr>
              <w:t>0.99 / 0.95</w:t>
            </w:r>
          </w:p>
        </w:tc>
      </w:tr>
      <w:tr w:rsidR="008867B5" w14:paraId="1872B0D2" w14:textId="77777777">
        <w:trPr>
          <w:cantSplit/>
        </w:trPr>
        <w:tc>
          <w:tcPr>
            <w:tcW w:w="3538" w:type="dxa"/>
            <w:tcMar>
              <w:top w:w="70" w:type="dxa"/>
              <w:left w:w="75" w:type="dxa"/>
              <w:bottom w:w="70" w:type="dxa"/>
              <w:right w:w="75" w:type="dxa"/>
            </w:tcMar>
          </w:tcPr>
          <w:p w14:paraId="56857F2D" w14:textId="77777777" w:rsidR="008867B5" w:rsidRDefault="00000000">
            <w:pPr>
              <w:spacing w:line="240" w:lineRule="auto"/>
            </w:pPr>
            <w:r>
              <w:rPr>
                <w:rFonts w:eastAsia="Times New Roman" w:ascii="Times New Roman" w:hAnsi="Times New Roman"/>
                <w:color w:val="000000"/>
                <w:sz w:val="16"/>
              </w:rPr>
              <w:t>Lagrange learning rate</w:t>
            </w:r>
          </w:p>
        </w:tc>
        <w:tc>
          <w:tcPr>
            <w:tcW w:w="5533" w:type="dxa"/>
            <w:tcMar>
              <w:top w:w="70" w:type="dxa"/>
              <w:left w:w="75" w:type="dxa"/>
              <w:bottom w:w="70" w:type="dxa"/>
              <w:right w:w="75" w:type="dxa"/>
            </w:tcMar>
          </w:tcPr>
          <w:p w14:paraId="5A6CBBEF" w14:textId="77777777" w:rsidR="008867B5" w:rsidRDefault="00000000">
            <w:pPr>
              <w:spacing w:line="240" w:lineRule="auto"/>
              <w:jc w:val="center"/>
            </w:pPr>
            <w:r>
              <w:rPr>
                <w:rFonts w:eastAsia="Times New Roman" w:ascii="Times New Roman" w:hAnsi="Times New Roman"/>
                <w:color w:val="000000"/>
                <w:sz w:val="16"/>
              </w:rPr>
              <w:t>0.03</w:t>
            </w:r>
          </w:p>
        </w:tc>
      </w:tr>
      <w:tr w:rsidR="008867B5" w14:paraId="72B1DA93" w14:textId="77777777">
        <w:trPr>
          <w:cantSplit/>
        </w:trPr>
        <w:tc>
          <w:tcPr>
            <w:tcW w:w="3538" w:type="dxa"/>
            <w:tcMar>
              <w:top w:w="70" w:type="dxa"/>
              <w:left w:w="75" w:type="dxa"/>
              <w:bottom w:w="70" w:type="dxa"/>
              <w:right w:w="75" w:type="dxa"/>
            </w:tcMar>
          </w:tcPr>
          <w:p w14:paraId="02F61879" w14:textId="77777777" w:rsidR="008867B5" w:rsidRDefault="00000000">
            <w:pPr>
              <w:spacing w:line="240" w:lineRule="auto"/>
            </w:pPr>
            <w:r>
              <w:rPr>
                <w:rFonts w:eastAsia="Times New Roman" w:ascii="Times New Roman" w:hAnsi="Times New Roman"/>
                <w:color w:val="000000"/>
                <w:sz w:val="16"/>
              </w:rPr>
              <w:t>Training per seed</w:t>
            </w:r>
          </w:p>
        </w:tc>
        <w:tc>
          <w:tcPr>
            <w:tcW w:w="5533" w:type="dxa"/>
            <w:tcMar>
              <w:top w:w="70" w:type="dxa"/>
              <w:left w:w="75" w:type="dxa"/>
              <w:bottom w:w="70" w:type="dxa"/>
              <w:right w:w="75" w:type="dxa"/>
            </w:tcMar>
          </w:tcPr>
          <w:p w14:paraId="36158591" w14:textId="77777777" w:rsidR="008867B5" w:rsidRDefault="00000000">
            <w:pPr>
              <w:spacing w:line="240" w:lineRule="auto"/>
              <w:jc w:val="center"/>
            </w:pPr>
            <w:r>
              <w:rPr>
                <w:rFonts w:eastAsia="Times New Roman" w:ascii="Times New Roman" w:hAnsi="Times New Roman"/>
                <w:color w:val="000000"/>
                <w:sz w:val="16"/>
              </w:rPr>
              <w:t>8 updates x 50 episodes x 3 PPO epochs</w:t>
            </w:r>
          </w:p>
        </w:tc>
      </w:tr>
      <w:tr w:rsidR="008867B5" w14:paraId="47AFF5E1" w14:textId="77777777">
        <w:trPr>
          <w:cantSplit/>
        </w:trPr>
        <w:tc>
          <w:tcPr>
            <w:tcW w:w="3538" w:type="dxa"/>
            <w:tcMar>
              <w:top w:w="70" w:type="dxa"/>
              <w:left w:w="75" w:type="dxa"/>
              <w:bottom w:w="70" w:type="dxa"/>
              <w:right w:w="75" w:type="dxa"/>
            </w:tcMar>
          </w:tcPr>
          <w:p w14:paraId="2C1B3483" w14:textId="77777777" w:rsidR="008867B5" w:rsidRDefault="00000000">
            <w:pPr>
              <w:spacing w:line="240" w:lineRule="auto"/>
            </w:pPr>
            <w:r>
              <w:rPr>
                <w:rFonts w:eastAsia="Times New Roman" w:ascii="Times New Roman" w:hAnsi="Times New Roman"/>
                <w:color w:val="000000"/>
                <w:sz w:val="16"/>
              </w:rPr>
              <w:t>Evaluation per seed</w:t>
            </w:r>
          </w:p>
        </w:tc>
        <w:tc>
          <w:tcPr>
            <w:tcW w:w="5533" w:type="dxa"/>
            <w:tcMar>
              <w:top w:w="70" w:type="dxa"/>
              <w:left w:w="75" w:type="dxa"/>
              <w:bottom w:w="70" w:type="dxa"/>
              <w:right w:w="75" w:type="dxa"/>
            </w:tcMar>
          </w:tcPr>
          <w:p w14:paraId="2ABA49DA" w14:textId="77777777" w:rsidR="008867B5" w:rsidRDefault="00000000">
            <w:pPr>
              <w:spacing w:line="240" w:lineRule="auto"/>
              <w:jc w:val="center"/>
            </w:pPr>
            <w:r>
              <w:rPr>
                <w:rFonts w:eastAsia="Times New Roman" w:ascii="Times New Roman" w:hAnsi="Times New Roman"/>
                <w:color w:val="000000"/>
                <w:sz w:val="16"/>
              </w:rPr>
              <w:t>240 episodes; deterministic policy</w:t>
            </w:r>
          </w:p>
        </w:tc>
      </w:tr>
      <w:tr w:rsidR="008867B5" w14:paraId="7EAF2F3A" w14:textId="77777777">
        <w:trPr>
          <w:cantSplit/>
        </w:trPr>
        <w:tc>
          <w:tcPr>
            <w:tcW w:w="3538" w:type="dxa"/>
            <w:tcMar>
              <w:top w:w="70" w:type="dxa"/>
              <w:left w:w="75" w:type="dxa"/>
              <w:bottom w:w="70" w:type="dxa"/>
              <w:right w:w="75" w:type="dxa"/>
            </w:tcMar>
          </w:tcPr>
          <w:p w14:paraId="44788FBB" w14:textId="77777777" w:rsidR="008867B5" w:rsidRDefault="00000000">
            <w:pPr>
              <w:spacing w:line="240" w:lineRule="auto"/>
            </w:pPr>
            <w:r>
              <w:rPr>
                <w:rFonts w:eastAsia="Times New Roman" w:ascii="Times New Roman" w:hAnsi="Times New Roman"/>
                <w:color w:val="000000"/>
                <w:sz w:val="16"/>
              </w:rPr>
              <w:t>Clustering / hierarchy / shield</w:t>
            </w:r>
          </w:p>
        </w:tc>
        <w:tc>
          <w:tcPr>
            <w:tcW w:w="5533" w:type="dxa"/>
            <w:tcMar>
              <w:top w:w="70" w:type="dxa"/>
              <w:left w:w="75" w:type="dxa"/>
              <w:bottom w:w="70" w:type="dxa"/>
              <w:right w:w="75" w:type="dxa"/>
            </w:tcMar>
          </w:tcPr>
          <w:p w14:paraId="602ECE5A" w14:textId="77777777" w:rsidR="008867B5" w:rsidRDefault="00000000">
            <w:pPr>
              <w:spacing w:line="240" w:lineRule="auto"/>
              <w:jc w:val="center"/>
            </w:pPr>
            <w:r>
              <w:rPr>
                <w:rFonts w:eastAsia="Times New Roman" w:ascii="Times New Roman" w:hAnsi="Times New Roman"/>
                <w:color w:val="000000"/>
                <w:sz w:val="16"/>
              </w:rPr>
              <w:t>disabled / disabled / disabled</w:t>
            </w:r>
          </w:p>
        </w:tc>
      </w:tr>
    </w:tbl>
    <w:p>
      <w:pPr>
        <w:pageBreakBefore/>
      </w:pPr>
    </w:p>
    <w:p w14:paraId="0A5D8D82"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III. Threat-model behavior and controller visibility.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995"/>
        <w:gridCol w:w="3175"/>
        <w:gridCol w:w="3901"/>
      </w:tblGrid>
      <w:tr w:rsidR="008867B5" w14:paraId="7D35B72E" w14:textId="77777777">
        <w:trPr>
          <w:tblHeader/>
          <w:cantSplit/>
        </w:trPr>
        <w:tc>
          <w:tcPr>
            <w:tcW w:w="1995" w:type="dxa"/>
            <w:tcMar>
              <w:top w:w="70" w:type="dxa"/>
              <w:left w:w="75" w:type="dxa"/>
              <w:bottom w:w="70" w:type="dxa"/>
              <w:right w:w="75" w:type="dxa"/>
            </w:tcMar>
          </w:tcPr>
          <w:p w14:paraId="420A6993" w14:textId="77777777" w:rsidR="008867B5" w:rsidRDefault="00000000">
            <w:pPr>
              <w:spacing w:line="240" w:lineRule="auto"/>
              <w:jc w:val="center"/>
            </w:pPr>
            <w:r>
              <w:rPr>
                <w:rFonts w:eastAsia="Times New Roman" w:ascii="Times New Roman" w:hAnsi="Times New Roman"/>
                <w:b/>
                <w:color w:val="000000"/>
                <w:sz w:val="16"/>
              </w:rPr>
              <w:t>Component</w:t>
            </w:r>
          </w:p>
        </w:tc>
        <w:tc>
          <w:tcPr>
            <w:tcW w:w="3175" w:type="dxa"/>
            <w:tcMar>
              <w:top w:w="70" w:type="dxa"/>
              <w:left w:w="75" w:type="dxa"/>
              <w:bottom w:w="70" w:type="dxa"/>
              <w:right w:w="75" w:type="dxa"/>
            </w:tcMar>
          </w:tcPr>
          <w:p w14:paraId="248112D5" w14:textId="77777777" w:rsidR="008867B5" w:rsidRDefault="00000000">
            <w:pPr>
              <w:spacing w:line="240" w:lineRule="auto"/>
              <w:jc w:val="center"/>
            </w:pPr>
            <w:r>
              <w:rPr>
                <w:rFonts w:eastAsia="Times New Roman" w:ascii="Times New Roman" w:hAnsi="Times New Roman"/>
                <w:b/>
                <w:color w:val="000000"/>
                <w:sz w:val="16"/>
              </w:rPr>
              <w:t>Simulator behavior</w:t>
            </w:r>
          </w:p>
        </w:tc>
        <w:tc>
          <w:tcPr>
            <w:tcW w:w="3901" w:type="dxa"/>
            <w:tcMar>
              <w:top w:w="70" w:type="dxa"/>
              <w:left w:w="75" w:type="dxa"/>
              <w:bottom w:w="70" w:type="dxa"/>
              <w:right w:w="75" w:type="dxa"/>
            </w:tcMar>
          </w:tcPr>
          <w:p w14:paraId="06BC3479" w14:textId="77777777" w:rsidR="008867B5" w:rsidRDefault="00000000">
            <w:pPr>
              <w:spacing w:line="240" w:lineRule="auto"/>
              <w:jc w:val="center"/>
            </w:pPr>
            <w:r>
              <w:rPr>
                <w:rFonts w:eastAsia="Times New Roman" w:ascii="Times New Roman" w:hAnsi="Times New Roman"/>
                <w:b/>
                <w:color w:val="000000"/>
                <w:sz w:val="16"/>
              </w:rPr>
              <w:t>Controller-visible information</w:t>
            </w:r>
          </w:p>
        </w:tc>
      </w:tr>
      <w:tr w:rsidR="008867B5" w14:paraId="7D531E3F" w14:textId="77777777">
        <w:trPr>
          <w:cantSplit/>
        </w:trPr>
        <w:tc>
          <w:tcPr>
            <w:tcW w:w="1995" w:type="dxa"/>
            <w:tcMar>
              <w:top w:w="70" w:type="dxa"/>
              <w:left w:w="75" w:type="dxa"/>
              <w:bottom w:w="70" w:type="dxa"/>
              <w:right w:w="75" w:type="dxa"/>
            </w:tcMar>
          </w:tcPr>
          <w:p w14:paraId="10C16CE1" w14:textId="77777777" w:rsidR="008867B5" w:rsidRDefault="00000000">
            <w:pPr>
              <w:spacing w:line="240" w:lineRule="auto"/>
            </w:pPr>
            <w:r>
              <w:rPr>
                <w:rFonts w:eastAsia="Times New Roman" w:ascii="Times New Roman" w:hAnsi="Times New Roman"/>
                <w:color w:val="000000"/>
                <w:sz w:val="16"/>
              </w:rPr>
              <w:t>Blackhole</w:t>
            </w:r>
          </w:p>
        </w:tc>
        <w:tc>
          <w:tcPr>
            <w:tcW w:w="3175" w:type="dxa"/>
            <w:tcMar>
              <w:top w:w="70" w:type="dxa"/>
              <w:left w:w="75" w:type="dxa"/>
              <w:bottom w:w="70" w:type="dxa"/>
              <w:right w:w="75" w:type="dxa"/>
            </w:tcMar>
          </w:tcPr>
          <w:p w14:paraId="677AAF4E" w14:textId="77777777" w:rsidR="008867B5" w:rsidRDefault="00000000">
            <w:pPr>
              <w:spacing w:line="240" w:lineRule="auto"/>
              <w:jc w:val="center"/>
            </w:pPr>
            <w:r>
              <w:rPr>
                <w:rFonts w:eastAsia="Times New Roman" w:ascii="Times New Roman" w:hAnsi="Times New Roman"/>
                <w:color w:val="000000"/>
                <w:sz w:val="16"/>
              </w:rPr>
              <w:t>Malicious forwarder drops forwarding attempts</w:t>
            </w:r>
          </w:p>
        </w:tc>
        <w:tc>
          <w:tcPr>
            <w:tcW w:w="3901" w:type="dxa"/>
            <w:tcMar>
              <w:top w:w="70" w:type="dxa"/>
              <w:left w:w="75" w:type="dxa"/>
              <w:bottom w:w="70" w:type="dxa"/>
              <w:right w:w="75" w:type="dxa"/>
            </w:tcMar>
          </w:tcPr>
          <w:p w14:paraId="68A42CAF" w14:textId="77777777" w:rsidR="008867B5" w:rsidRDefault="00000000">
            <w:pPr>
              <w:spacing w:line="240" w:lineRule="auto"/>
              <w:jc w:val="center"/>
            </w:pPr>
            <w:r>
              <w:rPr>
                <w:rFonts w:eastAsia="Times New Roman" w:ascii="Times New Roman" w:hAnsi="Times New Roman"/>
                <w:color w:val="000000"/>
                <w:sz w:val="16"/>
              </w:rPr>
              <w:t>No attack label; only posterior forwarding evidence</w:t>
            </w:r>
          </w:p>
        </w:tc>
      </w:tr>
      <w:tr w:rsidR="008867B5" w14:paraId="0F00FD3F" w14:textId="77777777">
        <w:trPr>
          <w:cantSplit/>
        </w:trPr>
        <w:tc>
          <w:tcPr>
            <w:tcW w:w="1995" w:type="dxa"/>
            <w:tcMar>
              <w:top w:w="70" w:type="dxa"/>
              <w:left w:w="75" w:type="dxa"/>
              <w:bottom w:w="70" w:type="dxa"/>
              <w:right w:w="75" w:type="dxa"/>
            </w:tcMar>
          </w:tcPr>
          <w:p w14:paraId="78BC4D92" w14:textId="77777777" w:rsidR="008867B5" w:rsidRDefault="00000000">
            <w:pPr>
              <w:spacing w:line="240" w:lineRule="auto"/>
            </w:pPr>
            <w:r>
              <w:rPr>
                <w:rFonts w:eastAsia="Times New Roman" w:ascii="Times New Roman" w:hAnsi="Times New Roman"/>
                <w:color w:val="000000"/>
                <w:sz w:val="16"/>
              </w:rPr>
              <w:t>Selective drop</w:t>
            </w:r>
          </w:p>
        </w:tc>
        <w:tc>
          <w:tcPr>
            <w:tcW w:w="3175" w:type="dxa"/>
            <w:tcMar>
              <w:top w:w="70" w:type="dxa"/>
              <w:left w:w="75" w:type="dxa"/>
              <w:bottom w:w="70" w:type="dxa"/>
              <w:right w:w="75" w:type="dxa"/>
            </w:tcMar>
          </w:tcPr>
          <w:p w14:paraId="6AF8CF73" w14:textId="77777777" w:rsidR="008867B5" w:rsidRDefault="00000000">
            <w:pPr>
              <w:spacing w:line="240" w:lineRule="auto"/>
              <w:jc w:val="center"/>
            </w:pPr>
            <w:r>
              <w:rPr>
                <w:rFonts w:eastAsia="Times New Roman" w:ascii="Times New Roman" w:hAnsi="Times New Roman"/>
                <w:color w:val="000000"/>
                <w:sz w:val="16"/>
              </w:rPr>
              <w:t>Drops with frozen probability 0.65</w:t>
            </w:r>
          </w:p>
        </w:tc>
        <w:tc>
          <w:tcPr>
            <w:tcW w:w="3901" w:type="dxa"/>
            <w:tcMar>
              <w:top w:w="70" w:type="dxa"/>
              <w:left w:w="75" w:type="dxa"/>
              <w:bottom w:w="70" w:type="dxa"/>
              <w:right w:w="75" w:type="dxa"/>
            </w:tcMar>
          </w:tcPr>
          <w:p w14:paraId="663B60E4" w14:textId="77777777" w:rsidR="008867B5" w:rsidRDefault="00000000">
            <w:pPr>
              <w:spacing w:line="240" w:lineRule="auto"/>
              <w:jc w:val="center"/>
            </w:pPr>
            <w:r>
              <w:rPr>
                <w:rFonts w:eastAsia="Times New Roman" w:ascii="Times New Roman" w:hAnsi="Times New Roman"/>
                <w:color w:val="000000"/>
                <w:sz w:val="16"/>
              </w:rPr>
              <w:t>No attack label; posterior evidence only</w:t>
            </w:r>
          </w:p>
        </w:tc>
      </w:tr>
      <w:tr w:rsidR="008867B5" w14:paraId="2D03BC56" w14:textId="77777777">
        <w:trPr>
          <w:cantSplit/>
        </w:trPr>
        <w:tc>
          <w:tcPr>
            <w:tcW w:w="1995" w:type="dxa"/>
            <w:tcMar>
              <w:top w:w="70" w:type="dxa"/>
              <w:left w:w="75" w:type="dxa"/>
              <w:bottom w:w="70" w:type="dxa"/>
              <w:right w:w="75" w:type="dxa"/>
            </w:tcMar>
          </w:tcPr>
          <w:p w14:paraId="34001B60" w14:textId="77777777" w:rsidR="008867B5" w:rsidRDefault="00000000">
            <w:pPr>
              <w:spacing w:line="240" w:lineRule="auto"/>
            </w:pPr>
            <w:r>
              <w:rPr>
                <w:rFonts w:eastAsia="Times New Roman" w:ascii="Times New Roman" w:hAnsi="Times New Roman"/>
                <w:color w:val="000000"/>
                <w:sz w:val="16"/>
              </w:rPr>
              <w:t>Flooding</w:t>
            </w:r>
          </w:p>
        </w:tc>
        <w:tc>
          <w:tcPr>
            <w:tcW w:w="3175" w:type="dxa"/>
            <w:tcMar>
              <w:top w:w="70" w:type="dxa"/>
              <w:left w:w="75" w:type="dxa"/>
              <w:bottom w:w="70" w:type="dxa"/>
              <w:right w:w="75" w:type="dxa"/>
            </w:tcMar>
          </w:tcPr>
          <w:p w14:paraId="03270247" w14:textId="77777777" w:rsidR="008867B5" w:rsidRDefault="00000000">
            <w:pPr>
              <w:spacing w:line="240" w:lineRule="auto"/>
              <w:jc w:val="center"/>
            </w:pPr>
            <w:r>
              <w:rPr>
                <w:rFonts w:eastAsia="Times New Roman" w:ascii="Times New Roman" w:hAnsi="Times New Roman"/>
                <w:color w:val="000000"/>
                <w:sz w:val="16"/>
              </w:rPr>
              <w:t>Adds queue pressure / congestion</w:t>
            </w:r>
          </w:p>
        </w:tc>
        <w:tc>
          <w:tcPr>
            <w:tcW w:w="3901" w:type="dxa"/>
            <w:tcMar>
              <w:top w:w="70" w:type="dxa"/>
              <w:left w:w="75" w:type="dxa"/>
              <w:bottom w:w="70" w:type="dxa"/>
              <w:right w:w="75" w:type="dxa"/>
            </w:tcMar>
          </w:tcPr>
          <w:p w14:paraId="0A8F0D73" w14:textId="77777777" w:rsidR="008867B5" w:rsidRDefault="00000000">
            <w:pPr>
              <w:spacing w:line="240" w:lineRule="auto"/>
              <w:jc w:val="center"/>
            </w:pPr>
            <w:r>
              <w:rPr>
                <w:rFonts w:eastAsia="Times New Roman" w:ascii="Times New Roman" w:hAnsi="Times New Roman"/>
                <w:color w:val="000000"/>
                <w:sz w:val="16"/>
              </w:rPr>
              <w:t>Queue and link effects are observable; attack type is not</w:t>
            </w:r>
          </w:p>
        </w:tc>
      </w:tr>
      <w:tr w:rsidR="008867B5" w14:paraId="3BE7BB1E" w14:textId="77777777">
        <w:trPr>
          <w:cantSplit/>
        </w:trPr>
        <w:tc>
          <w:tcPr>
            <w:tcW w:w="1995" w:type="dxa"/>
            <w:tcMar>
              <w:top w:w="70" w:type="dxa"/>
              <w:left w:w="75" w:type="dxa"/>
              <w:bottom w:w="70" w:type="dxa"/>
              <w:right w:w="75" w:type="dxa"/>
            </w:tcMar>
          </w:tcPr>
          <w:p w14:paraId="035D0BA0" w14:textId="77777777" w:rsidR="008867B5" w:rsidRDefault="00000000">
            <w:pPr>
              <w:spacing w:line="240" w:lineRule="auto"/>
            </w:pPr>
            <w:r>
              <w:rPr>
                <w:rFonts w:eastAsia="Times New Roman" w:ascii="Times New Roman" w:hAnsi="Times New Roman"/>
                <w:color w:val="000000"/>
                <w:sz w:val="16"/>
              </w:rPr>
              <w:t>Attack truth</w:t>
            </w:r>
          </w:p>
        </w:tc>
        <w:tc>
          <w:tcPr>
            <w:tcW w:w="3175" w:type="dxa"/>
            <w:tcMar>
              <w:top w:w="70" w:type="dxa"/>
              <w:left w:w="75" w:type="dxa"/>
              <w:bottom w:w="70" w:type="dxa"/>
              <w:right w:w="75" w:type="dxa"/>
            </w:tcMar>
          </w:tcPr>
          <w:p w14:paraId="23939BEE" w14:textId="77777777" w:rsidR="008867B5" w:rsidRDefault="00000000">
            <w:pPr>
              <w:spacing w:line="240" w:lineRule="auto"/>
              <w:jc w:val="center"/>
            </w:pPr>
            <w:r>
              <w:rPr>
                <w:rFonts w:eastAsia="Times New Roman" w:ascii="Times New Roman" w:hAnsi="Times New Roman"/>
                <w:color w:val="000000"/>
                <w:sz w:val="16"/>
              </w:rPr>
              <w:t>Evaluator-only malicious-node metadata</w:t>
            </w:r>
          </w:p>
        </w:tc>
        <w:tc>
          <w:tcPr>
            <w:tcW w:w="3901" w:type="dxa"/>
            <w:tcMar>
              <w:top w:w="70" w:type="dxa"/>
              <w:left w:w="75" w:type="dxa"/>
              <w:bottom w:w="70" w:type="dxa"/>
              <w:right w:w="75" w:type="dxa"/>
            </w:tcMar>
          </w:tcPr>
          <w:p w14:paraId="70D1CE64" w14:textId="77777777" w:rsidR="008867B5" w:rsidRDefault="00000000">
            <w:pPr>
              <w:spacing w:line="240" w:lineRule="auto"/>
              <w:jc w:val="center"/>
            </w:pPr>
            <w:r>
              <w:rPr>
                <w:rFonts w:eastAsia="Times New Roman" w:ascii="Times New Roman" w:hAnsi="Times New Roman"/>
                <w:color w:val="000000"/>
                <w:sz w:val="16"/>
              </w:rPr>
              <w:t>Never exposed to policy or risk estimator</w:t>
            </w:r>
          </w:p>
        </w:tc>
      </w:tr>
    </w:tbl>
    <w:p>
      <w:pPr>
        <w:pageBreakBefore/>
      </w:pPr>
    </w:p>
    <w:p w14:paraId="0DA3F44E"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3AF5732B" wp14:editId="754FFC0E">
            <wp:extent cx="5760000" cy="31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_CPPO_architecture_corrected.png"/>
                    <pic:cNvPicPr/>
                  </pic:nvPicPr>
                  <pic:blipFill>
                    <a:blip r:embed="rId8"/>
                    <a:stretch>
                      <a:fillRect/>
                    </a:stretch>
                  </pic:blipFill>
                  <pic:spPr>
                    <a:xfrm>
                      <a:off x="0" y="0"/>
                      <a:ext cx="5760000" cy="3120000"/>
                    </a:xfrm>
                    <a:prstGeom prst="rect">
                      <a:avLst/>
                    </a:prstGeom>
                  </pic:spPr>
                </pic:pic>
              </a:graphicData>
            </a:graphic>
          </wp:inline>
        </w:drawing>
      </w:r>
    </w:p>
    <w:p w14:paraId="65E0002B" w14:textId="77777777" w:rsidR="008867B5" w:rsidRDefault="00000000">
      <w:pPr>
        <w:pStyle w:val="Caption"/>
        <w:pageBreakBefore w:val="0"/>
        <w:spacing w:after="80"/>
        <w:jc w:val="center"/>
      </w:pPr>
      <w:r>
        <w:rPr>
          <w:rFonts w:eastAsia="Times New Roman" w:ascii="Times New Roman" w:hAnsi="Times New Roman"/>
          <w:b w:val="0"/>
          <w:i/>
          <w:color w:val="000000"/>
          <w:sz w:val="19"/>
        </w:rPr>
        <w:t>Fig. 1. Routing architecture and constrained training procedure for LA-CPPO.</w:t>
      </w:r>
    </w:p>
    <w:p>
      <w:pPr>
        <w:pageBreakBefore/>
      </w:pPr>
    </w:p>
    <w:p w14:paraId="394877BC"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18859136" wp14:editId="57207C4A">
            <wp:extent cx="5760000" cy="25678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ining_reward_profile_journal.png"/>
                    <pic:cNvPicPr/>
                  </pic:nvPicPr>
                  <pic:blipFill>
                    <a:blip r:embed="rId9"/>
                    <a:stretch>
                      <a:fillRect/>
                    </a:stretch>
                  </pic:blipFill>
                  <pic:spPr>
                    <a:xfrm>
                      <a:off x="0" y="0"/>
                      <a:ext cx="5760000" cy="2567881"/>
                    </a:xfrm>
                    <a:prstGeom prst="rect">
                      <a:avLst/>
                    </a:prstGeom>
                  </pic:spPr>
                </pic:pic>
              </a:graphicData>
            </a:graphic>
          </wp:inline>
        </w:drawing>
      </w:r>
    </w:p>
    <w:p w14:paraId="2C264A0E" w14:textId="77777777" w:rsidR="008867B5" w:rsidRDefault="00000000">
      <w:pPr>
        <w:pageBreakBefore w:val="0"/>
        <w:spacing w:after="80" w:line="240" w:lineRule="auto"/>
        <w:jc w:val="center"/>
      </w:pPr>
      <w:r>
        <w:rPr>
          <w:rFonts w:ascii="Times New Roman" w:hAnsi="Times New Roman"/>
          <w:color w:val="000000"/>
          <w:sz w:val="19"/>
        </w:rPr>
        <w:t>Fig. 2. Training reward across 30 historical seeds. Shading shows pointwise 95% t intervals.</w:t>
      </w:r>
    </w:p>
    <w:p>
      <w:pPr>
        <w:pageBreakBefore/>
      </w:pPr>
    </w:p>
    <w:p w14:paraId="72222169"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IV. AF-v3 E1 co-primary confirmatory results (n=30 matched seeds).</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267"/>
        <w:gridCol w:w="1067"/>
        <w:gridCol w:w="1601"/>
        <w:gridCol w:w="867"/>
        <w:gridCol w:w="1067"/>
        <w:gridCol w:w="867"/>
        <w:gridCol w:w="1334"/>
      </w:tblGrid>
      <w:tr w:rsidR="008867B5" w14:paraId="798B2F98" w14:textId="77777777">
        <w:trPr>
          <w:tblHeader/>
          <w:cantSplit/>
        </w:trPr>
        <w:tc>
          <w:tcPr>
            <w:tcW w:w="2267" w:type="dxa"/>
            <w:tcMar>
              <w:top w:w="70" w:type="dxa"/>
              <w:left w:w="75" w:type="dxa"/>
              <w:bottom w:w="70" w:type="dxa"/>
              <w:right w:w="75" w:type="dxa"/>
            </w:tcMar>
          </w:tcPr>
          <w:p w14:paraId="2268AE2F" w14:textId="77777777" w:rsidR="008867B5" w:rsidRDefault="00000000">
            <w:pPr>
              <w:spacing w:line="240" w:lineRule="auto"/>
              <w:jc w:val="center"/>
            </w:pPr>
            <w:r>
              <w:rPr>
                <w:rFonts w:eastAsia="Times New Roman" w:ascii="Times New Roman" w:hAnsi="Times New Roman"/>
                <w:b/>
                <w:color w:val="000000"/>
                <w:sz w:val="16"/>
              </w:rPr>
              <w:t>Endpoint</w:t>
            </w:r>
          </w:p>
        </w:tc>
        <w:tc>
          <w:tcPr>
            <w:tcW w:w="1067" w:type="dxa"/>
            <w:tcMar>
              <w:top w:w="70" w:type="dxa"/>
              <w:left w:w="75" w:type="dxa"/>
              <w:bottom w:w="70" w:type="dxa"/>
              <w:right w:w="75" w:type="dxa"/>
            </w:tcMar>
          </w:tcPr>
          <w:p w14:paraId="24EF1047" w14:textId="77777777" w:rsidR="008867B5" w:rsidRDefault="00000000">
            <w:pPr>
              <w:spacing w:line="240" w:lineRule="auto"/>
              <w:jc w:val="center"/>
            </w:pPr>
            <w:r>
              <w:rPr>
                <w:rFonts w:eastAsia="Times New Roman" w:ascii="Times New Roman" w:hAnsi="Times New Roman"/>
                <w:b/>
                <w:color w:val="000000"/>
                <w:sz w:val="16"/>
              </w:rPr>
              <w:t>Mean diff.</w:t>
            </w:r>
          </w:p>
        </w:tc>
        <w:tc>
          <w:tcPr>
            <w:tcW w:w="1601" w:type="dxa"/>
            <w:tcMar>
              <w:top w:w="70" w:type="dxa"/>
              <w:left w:w="75" w:type="dxa"/>
              <w:bottom w:w="70" w:type="dxa"/>
              <w:right w:w="75" w:type="dxa"/>
            </w:tcMar>
          </w:tcPr>
          <w:p w14:paraId="0250270C" w14:textId="77777777" w:rsidR="008867B5" w:rsidRDefault="00000000">
            <w:pPr>
              <w:spacing w:line="240" w:lineRule="auto"/>
              <w:jc w:val="center"/>
            </w:pPr>
            <w:r>
              <w:rPr>
                <w:rFonts w:eastAsia="Times New Roman" w:ascii="Times New Roman" w:hAnsi="Times New Roman"/>
                <w:b/>
                <w:color w:val="000000"/>
                <w:sz w:val="16"/>
              </w:rPr>
              <w:t>95% CI</w:t>
            </w:r>
          </w:p>
        </w:tc>
        <w:tc>
          <w:tcPr>
            <w:tcW w:w="867" w:type="dxa"/>
            <w:tcMar>
              <w:top w:w="70" w:type="dxa"/>
              <w:left w:w="75" w:type="dxa"/>
              <w:bottom w:w="70" w:type="dxa"/>
              <w:right w:w="75" w:type="dxa"/>
            </w:tcMar>
          </w:tcPr>
          <w:p w14:paraId="57F6B420" w14:textId="77777777" w:rsidR="008867B5" w:rsidRDefault="00000000">
            <w:pPr>
              <w:spacing w:line="240" w:lineRule="auto"/>
              <w:jc w:val="center"/>
            </w:pPr>
            <w:r>
              <w:rPr>
                <w:rFonts w:eastAsia="Times New Roman" w:ascii="Times New Roman" w:hAnsi="Times New Roman"/>
                <w:b/>
                <w:color w:val="000000"/>
                <w:sz w:val="16"/>
              </w:rPr>
              <w:t>Holm p</w:t>
            </w:r>
          </w:p>
        </w:tc>
        <w:tc>
          <w:tcPr>
            <w:tcW w:w="1067" w:type="dxa"/>
            <w:tcMar>
              <w:top w:w="70" w:type="dxa"/>
              <w:left w:w="75" w:type="dxa"/>
              <w:bottom w:w="70" w:type="dxa"/>
              <w:right w:w="75" w:type="dxa"/>
            </w:tcMar>
          </w:tcPr>
          <w:p w14:paraId="2E691562" w14:textId="77777777" w:rsidR="008867B5" w:rsidRDefault="00000000">
            <w:pPr>
              <w:spacing w:line="240" w:lineRule="auto"/>
              <w:jc w:val="center"/>
            </w:pPr>
            <w:r>
              <w:rPr>
                <w:rFonts w:eastAsia="Times New Roman" w:ascii="Times New Roman" w:hAnsi="Times New Roman"/>
                <w:b/>
                <w:color w:val="000000"/>
                <w:sz w:val="16"/>
              </w:rPr>
              <w:t>Wilcoxon p</w:t>
            </w:r>
          </w:p>
        </w:tc>
        <w:tc>
          <w:tcPr>
            <w:tcW w:w="867" w:type="dxa"/>
            <w:tcMar>
              <w:top w:w="70" w:type="dxa"/>
              <w:left w:w="75" w:type="dxa"/>
              <w:bottom w:w="70" w:type="dxa"/>
              <w:right w:w="75" w:type="dxa"/>
            </w:tcMar>
          </w:tcPr>
          <w:p w14:paraId="10660E59" w14:textId="77777777" w:rsidR="008867B5" w:rsidRDefault="00000000">
            <w:pPr>
              <w:spacing w:line="240" w:lineRule="auto"/>
              <w:jc w:val="center"/>
            </w:pPr>
            <w:r>
              <w:rPr>
                <w:rFonts w:eastAsia="Times New Roman" w:ascii="Times New Roman" w:hAnsi="Times New Roman"/>
                <w:b/>
                <w:color w:val="000000"/>
                <w:sz w:val="16"/>
              </w:rPr>
              <w:t>Cohen d</w:t>
            </w:r>
            <w:r>
              <w:rPr>
                <w:rFonts w:eastAsia="Times New Roman" w:ascii="Times New Roman" w:hAnsi="Times New Roman"/>
                <w:b/>
                <w:color w:val="000000"/>
                <w:sz w:val="16"/>
                <w:vertAlign w:val="subscript"/>
              </w:rPr>
              <w:t>z</w:t>
            </w:r>
          </w:p>
        </w:tc>
        <w:tc>
          <w:tcPr>
            <w:tcW w:w="1334" w:type="dxa"/>
            <w:tcMar>
              <w:top w:w="70" w:type="dxa"/>
              <w:left w:w="75" w:type="dxa"/>
              <w:bottom w:w="70" w:type="dxa"/>
              <w:right w:w="75" w:type="dxa"/>
            </w:tcMar>
          </w:tcPr>
          <w:p w14:paraId="36411339" w14:textId="77777777" w:rsidR="008867B5" w:rsidRDefault="00000000">
            <w:pPr>
              <w:spacing w:line="240" w:lineRule="auto"/>
              <w:jc w:val="center"/>
            </w:pPr>
            <w:r>
              <w:rPr>
                <w:rFonts w:eastAsia="Times New Roman" w:ascii="Times New Roman" w:hAnsi="Times New Roman"/>
                <w:b/>
                <w:color w:val="000000"/>
                <w:sz w:val="16"/>
              </w:rPr>
              <w:t>Direction</w:t>
            </w:r>
          </w:p>
        </w:tc>
      </w:tr>
      <w:tr w:rsidR="008867B5" w14:paraId="622F97F1" w14:textId="77777777">
        <w:trPr>
          <w:cantSplit/>
        </w:trPr>
        <w:tc>
          <w:tcPr>
            <w:tcW w:w="2267" w:type="dxa"/>
            <w:tcMar>
              <w:top w:w="70" w:type="dxa"/>
              <w:left w:w="75" w:type="dxa"/>
              <w:bottom w:w="70" w:type="dxa"/>
              <w:right w:w="75" w:type="dxa"/>
            </w:tcMar>
          </w:tcPr>
          <w:p w14:paraId="6BADDBC4" w14:textId="77777777" w:rsidR="008867B5" w:rsidRDefault="00000000">
            <w:pPr>
              <w:spacing w:line="240" w:lineRule="auto"/>
            </w:pPr>
            <w:r>
              <w:rPr>
                <w:rFonts w:eastAsia="Times New Roman" w:ascii="Times New Roman" w:hAnsi="Times New Roman"/>
                <w:color w:val="000000"/>
                <w:sz w:val="16"/>
              </w:rPr>
              <w:t>Class-0 mean delivered delay</w:t>
            </w:r>
          </w:p>
        </w:tc>
        <w:tc>
          <w:tcPr>
            <w:tcW w:w="1067" w:type="dxa"/>
            <w:tcMar>
              <w:top w:w="70" w:type="dxa"/>
              <w:left w:w="75" w:type="dxa"/>
              <w:bottom w:w="70" w:type="dxa"/>
              <w:right w:w="75" w:type="dxa"/>
            </w:tcMar>
          </w:tcPr>
          <w:p w14:paraId="07D4F0A8" w14:textId="77777777" w:rsidR="008867B5" w:rsidRDefault="00000000">
            <w:pPr>
              <w:spacing w:line="240" w:lineRule="auto"/>
              <w:jc w:val="center"/>
            </w:pPr>
            <w:r>
              <w:rPr>
                <w:rFonts w:eastAsia="Times New Roman" w:ascii="Times New Roman" w:hAnsi="Times New Roman"/>
                <w:color w:val="000000"/>
                <w:sz w:val="16"/>
              </w:rPr>
              <w:t>+1.0158 ms</w:t>
            </w:r>
          </w:p>
        </w:tc>
        <w:tc>
          <w:tcPr>
            <w:tcW w:w="1601" w:type="dxa"/>
            <w:tcMar>
              <w:top w:w="70" w:type="dxa"/>
              <w:left w:w="75" w:type="dxa"/>
              <w:bottom w:w="70" w:type="dxa"/>
              <w:right w:w="75" w:type="dxa"/>
            </w:tcMar>
          </w:tcPr>
          <w:p w14:paraId="0F2119A7" w14:textId="77777777" w:rsidR="008867B5" w:rsidRDefault="00000000">
            <w:pPr>
              <w:spacing w:line="240" w:lineRule="auto"/>
              <w:jc w:val="center"/>
            </w:pPr>
            <w:r>
              <w:rPr>
                <w:rFonts w:eastAsia="Times New Roman" w:ascii="Times New Roman" w:hAnsi="Times New Roman"/>
                <w:color w:val="000000"/>
                <w:sz w:val="16"/>
              </w:rPr>
              <w:t>[-0.5039, +2.5354]</w:t>
            </w:r>
          </w:p>
        </w:tc>
        <w:tc>
          <w:tcPr>
            <w:tcW w:w="867" w:type="dxa"/>
            <w:tcMar>
              <w:top w:w="70" w:type="dxa"/>
              <w:left w:w="75" w:type="dxa"/>
              <w:bottom w:w="70" w:type="dxa"/>
              <w:right w:w="75" w:type="dxa"/>
            </w:tcMar>
          </w:tcPr>
          <w:p w14:paraId="03E1CD20" w14:textId="77777777" w:rsidR="008867B5" w:rsidRDefault="00000000">
            <w:pPr>
              <w:spacing w:line="240" w:lineRule="auto"/>
              <w:jc w:val="center"/>
            </w:pPr>
            <w:r>
              <w:rPr>
                <w:rFonts w:eastAsia="Times New Roman" w:ascii="Times New Roman" w:hAnsi="Times New Roman"/>
                <w:color w:val="000000"/>
                <w:sz w:val="16"/>
              </w:rPr>
              <w:t>0.1821</w:t>
            </w:r>
          </w:p>
        </w:tc>
        <w:tc>
          <w:tcPr>
            <w:tcW w:w="1067" w:type="dxa"/>
            <w:tcMar>
              <w:top w:w="70" w:type="dxa"/>
              <w:left w:w="75" w:type="dxa"/>
              <w:bottom w:w="70" w:type="dxa"/>
              <w:right w:w="75" w:type="dxa"/>
            </w:tcMar>
          </w:tcPr>
          <w:p w14:paraId="0886F39C" w14:textId="77777777" w:rsidR="008867B5" w:rsidRDefault="00000000">
            <w:pPr>
              <w:spacing w:line="240" w:lineRule="auto"/>
              <w:jc w:val="center"/>
            </w:pPr>
            <w:r>
              <w:rPr>
                <w:rFonts w:eastAsia="Times New Roman" w:ascii="Times New Roman" w:hAnsi="Times New Roman"/>
                <w:color w:val="000000"/>
                <w:sz w:val="16"/>
              </w:rPr>
              <w:t>0.1981</w:t>
            </w:r>
          </w:p>
        </w:tc>
        <w:tc>
          <w:tcPr>
            <w:tcW w:w="867" w:type="dxa"/>
            <w:tcMar>
              <w:top w:w="70" w:type="dxa"/>
              <w:left w:w="75" w:type="dxa"/>
              <w:bottom w:w="70" w:type="dxa"/>
              <w:right w:w="75" w:type="dxa"/>
            </w:tcMar>
          </w:tcPr>
          <w:p w14:paraId="3C3C56E1" w14:textId="77777777" w:rsidR="008867B5" w:rsidRDefault="00000000">
            <w:pPr>
              <w:spacing w:line="240" w:lineRule="auto"/>
              <w:jc w:val="center"/>
            </w:pPr>
            <w:r>
              <w:rPr>
                <w:rFonts w:eastAsia="Times New Roman" w:ascii="Times New Roman" w:hAnsi="Times New Roman"/>
                <w:color w:val="000000"/>
                <w:sz w:val="16"/>
              </w:rPr>
              <w:t>+0.2496</w:t>
            </w:r>
          </w:p>
        </w:tc>
        <w:tc>
          <w:tcPr>
            <w:tcW w:w="1334" w:type="dxa"/>
            <w:tcMar>
              <w:top w:w="70" w:type="dxa"/>
              <w:left w:w="75" w:type="dxa"/>
              <w:bottom w:w="70" w:type="dxa"/>
              <w:right w:w="75" w:type="dxa"/>
            </w:tcMar>
          </w:tcPr>
          <w:p w14:paraId="71DDB9D8" w14:textId="77777777" w:rsidR="008867B5" w:rsidRDefault="00000000">
            <w:pPr>
              <w:spacing w:line="240" w:lineRule="auto"/>
              <w:jc w:val="center"/>
            </w:pPr>
            <w:r>
              <w:rPr>
                <w:rFonts w:eastAsia="Times New Roman" w:ascii="Times New Roman" w:hAnsi="Times New Roman"/>
                <w:color w:val="000000"/>
                <w:sz w:val="16"/>
              </w:rPr>
              <w:t>Not favorable</w:t>
            </w:r>
          </w:p>
        </w:tc>
      </w:tr>
      <w:tr w:rsidR="008867B5" w14:paraId="6A0AEE12" w14:textId="77777777">
        <w:trPr>
          <w:cantSplit/>
        </w:trPr>
        <w:tc>
          <w:tcPr>
            <w:tcW w:w="2267" w:type="dxa"/>
            <w:tcMar>
              <w:top w:w="70" w:type="dxa"/>
              <w:left w:w="75" w:type="dxa"/>
              <w:bottom w:w="70" w:type="dxa"/>
              <w:right w:w="75" w:type="dxa"/>
            </w:tcMar>
          </w:tcPr>
          <w:p w14:paraId="56E4D7C9" w14:textId="77777777" w:rsidR="008867B5" w:rsidRDefault="00000000">
            <w:pPr>
              <w:spacing w:line="240" w:lineRule="auto"/>
            </w:pPr>
            <w:r>
              <w:rPr>
                <w:rFonts w:eastAsia="Times New Roman" w:ascii="Times New Roman" w:hAnsi="Times New Roman"/>
                <w:color w:val="000000"/>
                <w:sz w:val="16"/>
              </w:rPr>
              <w:t>Class-0 total delay-violation rate</w:t>
            </w:r>
          </w:p>
        </w:tc>
        <w:tc>
          <w:tcPr>
            <w:tcW w:w="1067" w:type="dxa"/>
            <w:tcMar>
              <w:top w:w="70" w:type="dxa"/>
              <w:left w:w="75" w:type="dxa"/>
              <w:bottom w:w="70" w:type="dxa"/>
              <w:right w:w="75" w:type="dxa"/>
            </w:tcMar>
          </w:tcPr>
          <w:p w14:paraId="24370EB1" w14:textId="77777777" w:rsidR="008867B5" w:rsidRDefault="00000000">
            <w:pPr>
              <w:spacing w:line="240" w:lineRule="auto"/>
              <w:jc w:val="center"/>
            </w:pPr>
            <w:r>
              <w:rPr>
                <w:rFonts w:eastAsia="Times New Roman" w:ascii="Times New Roman" w:hAnsi="Times New Roman"/>
                <w:color w:val="000000"/>
                <w:sz w:val="16"/>
              </w:rPr>
              <w:t>-0.03125</w:t>
            </w:r>
          </w:p>
        </w:tc>
        <w:tc>
          <w:tcPr>
            <w:tcW w:w="1601" w:type="dxa"/>
            <w:tcMar>
              <w:top w:w="70" w:type="dxa"/>
              <w:left w:w="75" w:type="dxa"/>
              <w:bottom w:w="70" w:type="dxa"/>
              <w:right w:w="75" w:type="dxa"/>
            </w:tcMar>
          </w:tcPr>
          <w:p w14:paraId="6F3B5984" w14:textId="77777777" w:rsidR="008867B5" w:rsidRDefault="00000000">
            <w:pPr>
              <w:spacing w:line="240" w:lineRule="auto"/>
              <w:jc w:val="center"/>
            </w:pPr>
            <w:r>
              <w:rPr>
                <w:rFonts w:eastAsia="Times New Roman" w:ascii="Times New Roman" w:hAnsi="Times New Roman"/>
                <w:color w:val="000000"/>
                <w:sz w:val="16"/>
              </w:rPr>
              <w:t>[-0.05160, -0.01091]</w:t>
            </w:r>
          </w:p>
        </w:tc>
        <w:tc>
          <w:tcPr>
            <w:tcW w:w="867" w:type="dxa"/>
            <w:tcMar>
              <w:top w:w="70" w:type="dxa"/>
              <w:left w:w="75" w:type="dxa"/>
              <w:bottom w:w="70" w:type="dxa"/>
              <w:right w:w="75" w:type="dxa"/>
            </w:tcMar>
          </w:tcPr>
          <w:p w14:paraId="52E60627" w14:textId="77777777" w:rsidR="008867B5" w:rsidRDefault="00000000">
            <w:pPr>
              <w:spacing w:line="240" w:lineRule="auto"/>
              <w:jc w:val="center"/>
            </w:pPr>
            <w:r>
              <w:rPr>
                <w:rFonts w:eastAsia="Times New Roman" w:ascii="Times New Roman" w:hAnsi="Times New Roman"/>
                <w:color w:val="000000"/>
                <w:sz w:val="16"/>
              </w:rPr>
              <w:t>0.007703</w:t>
            </w:r>
          </w:p>
        </w:tc>
        <w:tc>
          <w:tcPr>
            <w:tcW w:w="1067" w:type="dxa"/>
            <w:tcMar>
              <w:top w:w="70" w:type="dxa"/>
              <w:left w:w="75" w:type="dxa"/>
              <w:bottom w:w="70" w:type="dxa"/>
              <w:right w:w="75" w:type="dxa"/>
            </w:tcMar>
          </w:tcPr>
          <w:p w14:paraId="5D86E0E8" w14:textId="77777777" w:rsidR="008867B5" w:rsidRDefault="00000000">
            <w:pPr>
              <w:spacing w:line="240" w:lineRule="auto"/>
              <w:jc w:val="center"/>
            </w:pPr>
            <w:r>
              <w:rPr>
                <w:rFonts w:eastAsia="Times New Roman" w:ascii="Times New Roman" w:hAnsi="Times New Roman"/>
                <w:color w:val="000000"/>
                <w:sz w:val="16"/>
              </w:rPr>
              <w:t>0.003475</w:t>
            </w:r>
          </w:p>
        </w:tc>
        <w:tc>
          <w:tcPr>
            <w:tcW w:w="867" w:type="dxa"/>
            <w:tcMar>
              <w:top w:w="70" w:type="dxa"/>
              <w:left w:w="75" w:type="dxa"/>
              <w:bottom w:w="70" w:type="dxa"/>
              <w:right w:w="75" w:type="dxa"/>
            </w:tcMar>
          </w:tcPr>
          <w:p w14:paraId="1A6EFCD9" w14:textId="77777777" w:rsidR="008867B5" w:rsidRDefault="00000000">
            <w:pPr>
              <w:spacing w:line="240" w:lineRule="auto"/>
              <w:jc w:val="center"/>
            </w:pPr>
            <w:r>
              <w:rPr>
                <w:rFonts w:eastAsia="Times New Roman" w:ascii="Times New Roman" w:hAnsi="Times New Roman"/>
                <w:color w:val="000000"/>
                <w:sz w:val="16"/>
              </w:rPr>
              <w:t>-0.5736</w:t>
            </w:r>
          </w:p>
        </w:tc>
        <w:tc>
          <w:tcPr>
            <w:tcW w:w="1334" w:type="dxa"/>
            <w:tcMar>
              <w:top w:w="70" w:type="dxa"/>
              <w:left w:w="75" w:type="dxa"/>
              <w:bottom w:w="70" w:type="dxa"/>
              <w:right w:w="75" w:type="dxa"/>
            </w:tcMar>
          </w:tcPr>
          <w:p w14:paraId="2EE6DF22" w14:textId="77777777" w:rsidR="008867B5" w:rsidRDefault="00000000">
            <w:pPr>
              <w:spacing w:line="240" w:lineRule="auto"/>
              <w:jc w:val="center"/>
            </w:pPr>
            <w:r>
              <w:rPr>
                <w:rFonts w:eastAsia="Times New Roman" w:ascii="Times New Roman" w:hAnsi="Times New Roman"/>
                <w:color w:val="000000"/>
                <w:sz w:val="16"/>
              </w:rPr>
              <w:t>Favorable</w:t>
            </w:r>
          </w:p>
        </w:tc>
      </w:tr>
    </w:tbl>
    <w:p>
      <w:pPr>
        <w:pageBreakBefore/>
      </w:pPr>
    </w:p>
    <w:p w14:paraId="22038A4C"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144CFB27" wp14:editId="684BB998">
            <wp:extent cx="5760000" cy="2567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ass0_delay_paired_journal.png"/>
                    <pic:cNvPicPr/>
                  </pic:nvPicPr>
                  <pic:blipFill>
                    <a:blip r:embed="rId10"/>
                    <a:stretch>
                      <a:fillRect/>
                    </a:stretch>
                  </pic:blipFill>
                  <pic:spPr>
                    <a:xfrm>
                      <a:off x="0" y="0"/>
                      <a:ext cx="5760000" cy="2567881"/>
                    </a:xfrm>
                    <a:prstGeom prst="rect">
                      <a:avLst/>
                    </a:prstGeom>
                  </pic:spPr>
                </pic:pic>
              </a:graphicData>
            </a:graphic>
          </wp:inline>
        </w:drawing>
      </w:r>
    </w:p>
    <w:p w14:paraId="7CDD46A5" w14:textId="77777777" w:rsidR="008867B5" w:rsidRDefault="00000000">
      <w:pPr>
        <w:pageBreakBefore w:val="0"/>
        <w:spacing w:before="40" w:after="80"/>
        <w:jc w:val="center"/>
      </w:pPr>
      <w:r>
        <w:rPr>
          <w:rFonts w:eastAsia="Times New Roman" w:ascii="Times New Roman" w:hAnsi="Times New Roman"/>
          <w:i/>
          <w:color w:val="000000"/>
          <w:sz w:val="19"/>
        </w:rPr>
        <w:t>Fig. 3. Class-0 mean delivered delay for each paired seed.</w:t>
      </w:r>
    </w:p>
    <w:p>
      <w:pPr>
        <w:pageBreakBefore/>
      </w:pPr>
    </w:p>
    <w:p w14:paraId="4FEC1B41" w14:textId="77777777" w:rsidR="008867B5" w:rsidRDefault="00000000">
      <w:pPr>
        <w:keepNext/>
        <w:pageBreakBefore w:val="0"/>
        <w:spacing w:after="80" w:line="480" w:lineRule="auto"/>
        <w:jc w:val="center"/>
      </w:pPr>
      <w:r>
        <w:rPr>
          <w:rFonts w:ascii="Times New Roman" w:hAnsi="Times New Roman"/>
          <w:noProof/>
          <w:color w:val="000000"/>
          <w:sz w:val="19"/>
        </w:rPr>
        <w:lastRenderedPageBreak/>
        <w:drawing>
          <wp:inline distT="0" distB="0" distL="0" distR="0" wp14:anchorId="3C1BDF6D" wp14:editId="14571EF5">
            <wp:extent cx="5760000" cy="25678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0_violation_paired_journal.png"/>
                    <pic:cNvPicPr/>
                  </pic:nvPicPr>
                  <pic:blipFill>
                    <a:blip r:embed="rId11"/>
                    <a:stretch>
                      <a:fillRect/>
                    </a:stretch>
                  </pic:blipFill>
                  <pic:spPr>
                    <a:xfrm>
                      <a:off x="0" y="0"/>
                      <a:ext cx="5760000" cy="2567881"/>
                    </a:xfrm>
                    <a:prstGeom prst="rect">
                      <a:avLst/>
                    </a:prstGeom>
                  </pic:spPr>
                </pic:pic>
              </a:graphicData>
            </a:graphic>
          </wp:inline>
        </w:drawing>
      </w:r>
    </w:p>
    <w:p w14:paraId="2FDE7B6F" w14:textId="77777777" w:rsidR="008867B5" w:rsidRDefault="00000000">
      <w:pPr>
        <w:pageBreakBefore w:val="0"/>
        <w:spacing w:before="40" w:after="80"/>
        <w:jc w:val="center"/>
      </w:pPr>
      <w:r>
        <w:rPr>
          <w:rFonts w:eastAsia="Times New Roman" w:ascii="Times New Roman" w:hAnsi="Times New Roman"/>
          <w:i/>
          <w:color w:val="000000"/>
          <w:sz w:val="19"/>
        </w:rPr>
        <w:t>Fig. 4. Paired-seed Class-0 total delay-violation rate.</w:t>
      </w:r>
    </w:p>
    <w:p>
      <w:pPr>
        <w:pageBreakBefore/>
      </w:pPr>
    </w:p>
    <w:p w14:paraId="6EA67356"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 Prespecified guardrails for delivery and energy.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083"/>
        <w:gridCol w:w="1881"/>
        <w:gridCol w:w="2687"/>
        <w:gridCol w:w="1411"/>
        <w:gridCol w:w="1008"/>
      </w:tblGrid>
      <w:tr w:rsidR="008867B5" w14:paraId="3DBB6734" w14:textId="77777777">
        <w:trPr>
          <w:tblHeader/>
          <w:cantSplit/>
        </w:trPr>
        <w:tc>
          <w:tcPr>
            <w:tcW w:w="2083" w:type="dxa"/>
            <w:tcMar>
              <w:top w:w="70" w:type="dxa"/>
              <w:left w:w="75" w:type="dxa"/>
              <w:bottom w:w="70" w:type="dxa"/>
              <w:right w:w="75" w:type="dxa"/>
            </w:tcMar>
          </w:tcPr>
          <w:p w14:paraId="02A394A5" w14:textId="77777777" w:rsidR="008867B5" w:rsidRDefault="00000000">
            <w:pPr>
              <w:spacing w:line="240" w:lineRule="auto"/>
              <w:jc w:val="center"/>
            </w:pPr>
            <w:r>
              <w:rPr>
                <w:rFonts w:eastAsia="Times New Roman" w:ascii="Times New Roman" w:hAnsi="Times New Roman"/>
                <w:b/>
                <w:color w:val="000000"/>
                <w:sz w:val="16"/>
              </w:rPr>
              <w:t>Guardrail</w:t>
            </w:r>
          </w:p>
        </w:tc>
        <w:tc>
          <w:tcPr>
            <w:tcW w:w="1881" w:type="dxa"/>
            <w:tcMar>
              <w:top w:w="70" w:type="dxa"/>
              <w:left w:w="75" w:type="dxa"/>
              <w:bottom w:w="70" w:type="dxa"/>
              <w:right w:w="75" w:type="dxa"/>
            </w:tcMar>
          </w:tcPr>
          <w:p w14:paraId="588A2EB8" w14:textId="77777777" w:rsidR="008867B5" w:rsidRDefault="00000000">
            <w:pPr>
              <w:spacing w:line="240" w:lineRule="auto"/>
              <w:jc w:val="center"/>
            </w:pPr>
            <w:r>
              <w:rPr>
                <w:rFonts w:eastAsia="Times New Roman" w:ascii="Times New Roman" w:hAnsi="Times New Roman"/>
                <w:b/>
                <w:color w:val="000000"/>
                <w:sz w:val="16"/>
              </w:rPr>
              <w:t>Estimate</w:t>
            </w:r>
          </w:p>
        </w:tc>
        <w:tc>
          <w:tcPr>
            <w:tcW w:w="2687" w:type="dxa"/>
            <w:tcMar>
              <w:top w:w="70" w:type="dxa"/>
              <w:left w:w="75" w:type="dxa"/>
              <w:bottom w:w="70" w:type="dxa"/>
              <w:right w:w="75" w:type="dxa"/>
            </w:tcMar>
          </w:tcPr>
          <w:p w14:paraId="482F2C33" w14:textId="77777777" w:rsidR="008867B5" w:rsidRDefault="00000000">
            <w:pPr>
              <w:spacing w:line="240" w:lineRule="auto"/>
              <w:jc w:val="center"/>
            </w:pPr>
            <w:r>
              <w:rPr>
                <w:rFonts w:eastAsia="Times New Roman" w:ascii="Times New Roman" w:hAnsi="Times New Roman"/>
                <w:b/>
                <w:color w:val="000000"/>
                <w:sz w:val="16"/>
              </w:rPr>
              <w:t>Confidence bound</w:t>
            </w:r>
          </w:p>
        </w:tc>
        <w:tc>
          <w:tcPr>
            <w:tcW w:w="1411" w:type="dxa"/>
            <w:tcMar>
              <w:top w:w="70" w:type="dxa"/>
              <w:left w:w="75" w:type="dxa"/>
              <w:bottom w:w="70" w:type="dxa"/>
              <w:right w:w="75" w:type="dxa"/>
            </w:tcMar>
          </w:tcPr>
          <w:p w14:paraId="54BF8BD3" w14:textId="77777777" w:rsidR="008867B5" w:rsidRDefault="00000000">
            <w:pPr>
              <w:spacing w:line="240" w:lineRule="auto"/>
              <w:jc w:val="center"/>
            </w:pPr>
            <w:r>
              <w:rPr>
                <w:rFonts w:eastAsia="Times New Roman" w:ascii="Times New Roman" w:hAnsi="Times New Roman"/>
                <w:b/>
                <w:color w:val="000000"/>
                <w:sz w:val="16"/>
              </w:rPr>
              <w:t>Frozen margin</w:t>
            </w:r>
          </w:p>
        </w:tc>
        <w:tc>
          <w:tcPr>
            <w:tcW w:w="1008" w:type="dxa"/>
            <w:tcMar>
              <w:top w:w="70" w:type="dxa"/>
              <w:left w:w="75" w:type="dxa"/>
              <w:bottom w:w="70" w:type="dxa"/>
              <w:right w:w="75" w:type="dxa"/>
            </w:tcMar>
          </w:tcPr>
          <w:p w14:paraId="5363FBB0" w14:textId="77777777" w:rsidR="008867B5" w:rsidRDefault="00000000">
            <w:pPr>
              <w:spacing w:line="240" w:lineRule="auto"/>
              <w:jc w:val="center"/>
            </w:pPr>
            <w:r>
              <w:rPr>
                <w:rFonts w:eastAsia="Times New Roman" w:ascii="Times New Roman" w:hAnsi="Times New Roman"/>
                <w:b/>
                <w:color w:val="000000"/>
                <w:sz w:val="16"/>
              </w:rPr>
              <w:t>Result</w:t>
            </w:r>
          </w:p>
        </w:tc>
      </w:tr>
      <w:tr w:rsidR="008867B5" w14:paraId="62F1306F" w14:textId="77777777">
        <w:trPr>
          <w:cantSplit/>
        </w:trPr>
        <w:tc>
          <w:tcPr>
            <w:tcW w:w="2083" w:type="dxa"/>
            <w:tcMar>
              <w:top w:w="70" w:type="dxa"/>
              <w:left w:w="75" w:type="dxa"/>
              <w:bottom w:w="70" w:type="dxa"/>
              <w:right w:w="75" w:type="dxa"/>
            </w:tcMar>
          </w:tcPr>
          <w:p w14:paraId="59730EAE" w14:textId="77777777" w:rsidR="008867B5" w:rsidRDefault="00000000">
            <w:pPr>
              <w:spacing w:line="240" w:lineRule="auto"/>
            </w:pPr>
            <w:r>
              <w:rPr>
                <w:rFonts w:eastAsia="Times New Roman" w:ascii="Times New Roman" w:hAnsi="Times New Roman"/>
                <w:color w:val="000000"/>
                <w:sz w:val="16"/>
              </w:rPr>
              <w:t>Overall delivery rate</w:t>
            </w:r>
          </w:p>
        </w:tc>
        <w:tc>
          <w:tcPr>
            <w:tcW w:w="1881" w:type="dxa"/>
            <w:tcMar>
              <w:top w:w="70" w:type="dxa"/>
              <w:left w:w="75" w:type="dxa"/>
              <w:bottom w:w="70" w:type="dxa"/>
              <w:right w:w="75" w:type="dxa"/>
            </w:tcMar>
          </w:tcPr>
          <w:p w14:paraId="2E070C6B" w14:textId="77777777" w:rsidR="008867B5" w:rsidRDefault="00000000">
            <w:pPr>
              <w:spacing w:line="240" w:lineRule="auto"/>
              <w:jc w:val="center"/>
            </w:pPr>
            <w:r>
              <w:rPr>
                <w:rFonts w:eastAsia="Times New Roman" w:ascii="Times New Roman" w:hAnsi="Times New Roman"/>
                <w:color w:val="000000"/>
                <w:sz w:val="16"/>
              </w:rPr>
              <w:t>+0.03153 absolute</w:t>
            </w:r>
          </w:p>
        </w:tc>
        <w:tc>
          <w:tcPr>
            <w:tcW w:w="2687" w:type="dxa"/>
            <w:tcMar>
              <w:top w:w="70" w:type="dxa"/>
              <w:left w:w="75" w:type="dxa"/>
              <w:bottom w:w="70" w:type="dxa"/>
              <w:right w:w="75" w:type="dxa"/>
            </w:tcMar>
          </w:tcPr>
          <w:p w14:paraId="5F742B3A" w14:textId="77777777" w:rsidR="008867B5" w:rsidRDefault="00000000">
            <w:pPr>
              <w:spacing w:line="240" w:lineRule="auto"/>
              <w:jc w:val="center"/>
            </w:pPr>
            <w:r>
              <w:rPr>
                <w:rFonts w:eastAsia="Times New Roman" w:ascii="Times New Roman" w:hAnsi="Times New Roman"/>
                <w:color w:val="000000"/>
                <w:sz w:val="16"/>
              </w:rPr>
              <w:t>one-sided 95% LB = +0.02158</w:t>
            </w:r>
          </w:p>
        </w:tc>
        <w:tc>
          <w:tcPr>
            <w:tcW w:w="1411" w:type="dxa"/>
            <w:tcMar>
              <w:top w:w="70" w:type="dxa"/>
              <w:left w:w="75" w:type="dxa"/>
              <w:bottom w:w="70" w:type="dxa"/>
              <w:right w:w="75" w:type="dxa"/>
            </w:tcMar>
          </w:tcPr>
          <w:p w14:paraId="06AB3F6B" w14:textId="77777777" w:rsidR="008867B5" w:rsidRDefault="00000000">
            <w:pPr>
              <w:spacing w:line="240" w:lineRule="auto"/>
              <w:jc w:val="center"/>
            </w:pPr>
            <w:r>
              <w:rPr>
                <w:rFonts w:eastAsia="Times New Roman" w:ascii="Times New Roman" w:hAnsi="Times New Roman"/>
                <w:color w:val="000000"/>
                <w:sz w:val="16"/>
              </w:rPr>
              <w:t>&gt;-0.01</w:t>
            </w:r>
          </w:p>
        </w:tc>
        <w:tc>
          <w:tcPr>
            <w:tcW w:w="1008" w:type="dxa"/>
            <w:tcMar>
              <w:top w:w="70" w:type="dxa"/>
              <w:left w:w="75" w:type="dxa"/>
              <w:bottom w:w="70" w:type="dxa"/>
              <w:right w:w="75" w:type="dxa"/>
            </w:tcMar>
          </w:tcPr>
          <w:p w14:paraId="72AC9C32" w14:textId="77777777" w:rsidR="008867B5" w:rsidRDefault="00000000">
            <w:pPr>
              <w:spacing w:line="240" w:lineRule="auto"/>
              <w:jc w:val="center"/>
            </w:pPr>
            <w:r>
              <w:rPr>
                <w:rFonts w:eastAsia="Times New Roman" w:ascii="Times New Roman" w:hAnsi="Times New Roman"/>
                <w:color w:val="000000"/>
                <w:sz w:val="16"/>
              </w:rPr>
              <w:t>PASS</w:t>
            </w:r>
          </w:p>
        </w:tc>
      </w:tr>
      <w:tr w:rsidR="008867B5" w14:paraId="243357F0" w14:textId="77777777">
        <w:trPr>
          <w:cantSplit/>
        </w:trPr>
        <w:tc>
          <w:tcPr>
            <w:tcW w:w="2083" w:type="dxa"/>
            <w:tcMar>
              <w:top w:w="70" w:type="dxa"/>
              <w:left w:w="75" w:type="dxa"/>
              <w:bottom w:w="70" w:type="dxa"/>
              <w:right w:w="75" w:type="dxa"/>
            </w:tcMar>
          </w:tcPr>
          <w:p w14:paraId="59DBFF58" w14:textId="77777777" w:rsidR="008867B5" w:rsidRDefault="00000000">
            <w:pPr>
              <w:spacing w:line="240" w:lineRule="auto"/>
            </w:pPr>
            <w:r>
              <w:rPr>
                <w:rFonts w:eastAsia="Times New Roman" w:ascii="Times New Roman" w:hAnsi="Times New Roman"/>
                <w:color w:val="000000"/>
                <w:sz w:val="16"/>
              </w:rPr>
              <w:t>Energy per delivered packet</w:t>
            </w:r>
          </w:p>
        </w:tc>
        <w:tc>
          <w:tcPr>
            <w:tcW w:w="1881" w:type="dxa"/>
            <w:tcMar>
              <w:top w:w="70" w:type="dxa"/>
              <w:left w:w="75" w:type="dxa"/>
              <w:bottom w:w="70" w:type="dxa"/>
              <w:right w:w="75" w:type="dxa"/>
            </w:tcMar>
          </w:tcPr>
          <w:p w14:paraId="67DFB7D2" w14:textId="77777777" w:rsidR="008867B5" w:rsidRDefault="00000000">
            <w:pPr>
              <w:spacing w:line="240" w:lineRule="auto"/>
              <w:jc w:val="center"/>
            </w:pPr>
            <w:r>
              <w:rPr>
                <w:rFonts w:eastAsia="Times New Roman" w:ascii="Times New Roman" w:hAnsi="Times New Roman"/>
                <w:color w:val="000000"/>
                <w:sz w:val="16"/>
              </w:rPr>
              <w:t>GMR = 0.97180</w:t>
            </w:r>
          </w:p>
        </w:tc>
        <w:tc>
          <w:tcPr>
            <w:tcW w:w="2687" w:type="dxa"/>
            <w:tcMar>
              <w:top w:w="70" w:type="dxa"/>
              <w:left w:w="75" w:type="dxa"/>
              <w:bottom w:w="70" w:type="dxa"/>
              <w:right w:w="75" w:type="dxa"/>
            </w:tcMar>
          </w:tcPr>
          <w:p w14:paraId="0C9BDFDD" w14:textId="77777777" w:rsidR="008867B5" w:rsidRDefault="00000000">
            <w:pPr>
              <w:spacing w:line="240" w:lineRule="auto"/>
              <w:jc w:val="center"/>
            </w:pPr>
            <w:r>
              <w:rPr>
                <w:rFonts w:eastAsia="Times New Roman" w:ascii="Times New Roman" w:hAnsi="Times New Roman"/>
                <w:color w:val="000000"/>
                <w:sz w:val="16"/>
              </w:rPr>
              <w:t>one-sided 95% upper = 1.00040</w:t>
            </w:r>
          </w:p>
        </w:tc>
        <w:tc>
          <w:tcPr>
            <w:tcW w:w="1411" w:type="dxa"/>
            <w:tcMar>
              <w:top w:w="70" w:type="dxa"/>
              <w:left w:w="75" w:type="dxa"/>
              <w:bottom w:w="70" w:type="dxa"/>
              <w:right w:w="75" w:type="dxa"/>
            </w:tcMar>
          </w:tcPr>
          <w:p w14:paraId="52E7DC54" w14:textId="77777777" w:rsidR="008867B5" w:rsidRDefault="00000000">
            <w:pPr>
              <w:spacing w:line="240" w:lineRule="auto"/>
              <w:jc w:val="center"/>
            </w:pPr>
            <w:r>
              <w:rPr>
                <w:rFonts w:eastAsia="Times New Roman" w:ascii="Times New Roman" w:hAnsi="Times New Roman"/>
                <w:color w:val="000000"/>
                <w:sz w:val="16"/>
              </w:rPr>
              <w:t>≤1.05</w:t>
            </w:r>
          </w:p>
        </w:tc>
        <w:tc>
          <w:tcPr>
            <w:tcW w:w="1008" w:type="dxa"/>
            <w:tcMar>
              <w:top w:w="70" w:type="dxa"/>
              <w:left w:w="75" w:type="dxa"/>
              <w:bottom w:w="70" w:type="dxa"/>
              <w:right w:w="75" w:type="dxa"/>
            </w:tcMar>
          </w:tcPr>
          <w:p w14:paraId="23FC6174" w14:textId="77777777" w:rsidR="008867B5" w:rsidRDefault="00000000">
            <w:pPr>
              <w:spacing w:line="240" w:lineRule="auto"/>
              <w:jc w:val="center"/>
            </w:pPr>
            <w:r>
              <w:rPr>
                <w:rFonts w:eastAsia="Times New Roman" w:ascii="Times New Roman" w:hAnsi="Times New Roman"/>
                <w:color w:val="000000"/>
                <w:sz w:val="16"/>
              </w:rPr>
              <w:t>PASS</w:t>
            </w:r>
          </w:p>
        </w:tc>
      </w:tr>
    </w:tbl>
    <w:p>
      <w:pPr>
        <w:pageBreakBefore/>
      </w:pPr>
    </w:p>
    <w:p w14:paraId="6B4EE781"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VI. Mean evaluation metrics across 30 seeds; baseline rows are descriptive only.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414"/>
        <w:gridCol w:w="1044"/>
        <w:gridCol w:w="1305"/>
        <w:gridCol w:w="1305"/>
        <w:gridCol w:w="1501"/>
        <w:gridCol w:w="1502"/>
      </w:tblGrid>
      <w:tr w:rsidR="008867B5" w14:paraId="431EB8AB" w14:textId="77777777">
        <w:trPr>
          <w:tblHeader/>
          <w:cantSplit/>
        </w:trPr>
        <w:tc>
          <w:tcPr>
            <w:tcW w:w="2414" w:type="dxa"/>
            <w:tcMar>
              <w:top w:w="70" w:type="dxa"/>
              <w:left w:w="75" w:type="dxa"/>
              <w:bottom w:w="70" w:type="dxa"/>
              <w:right w:w="75" w:type="dxa"/>
            </w:tcMar>
          </w:tcPr>
          <w:p w14:paraId="4D142E88" w14:textId="77777777" w:rsidR="008867B5" w:rsidRDefault="00000000">
            <w:pPr>
              <w:spacing w:line="240" w:lineRule="auto"/>
              <w:jc w:val="center"/>
            </w:pPr>
            <w:r>
              <w:rPr>
                <w:rFonts w:eastAsia="Times New Roman" w:ascii="Times New Roman" w:hAnsi="Times New Roman"/>
                <w:b/>
                <w:color w:val="000000"/>
                <w:sz w:val="16"/>
              </w:rPr>
              <w:t>Policy</w:t>
            </w:r>
          </w:p>
        </w:tc>
        <w:tc>
          <w:tcPr>
            <w:tcW w:w="1044" w:type="dxa"/>
            <w:tcMar>
              <w:top w:w="70" w:type="dxa"/>
              <w:left w:w="75" w:type="dxa"/>
              <w:bottom w:w="70" w:type="dxa"/>
              <w:right w:w="75" w:type="dxa"/>
            </w:tcMar>
          </w:tcPr>
          <w:p w14:paraId="1A49FC30" w14:textId="77777777" w:rsidR="008867B5" w:rsidRDefault="00000000">
            <w:pPr>
              <w:spacing w:line="240" w:lineRule="auto"/>
              <w:jc w:val="center"/>
            </w:pPr>
            <w:r>
              <w:rPr>
                <w:rFonts w:eastAsia="Times New Roman" w:ascii="Times New Roman" w:hAnsi="Times New Roman"/>
                <w:b/>
                <w:color w:val="000000"/>
                <w:sz w:val="16"/>
              </w:rPr>
              <w:t>Delivery</w:t>
            </w:r>
          </w:p>
        </w:tc>
        <w:tc>
          <w:tcPr>
            <w:tcW w:w="1305" w:type="dxa"/>
            <w:tcMar>
              <w:top w:w="70" w:type="dxa"/>
              <w:left w:w="75" w:type="dxa"/>
              <w:bottom w:w="70" w:type="dxa"/>
              <w:right w:w="75" w:type="dxa"/>
            </w:tcMar>
          </w:tcPr>
          <w:p w14:paraId="235C7CAE" w14:textId="77777777" w:rsidR="008867B5" w:rsidRDefault="00000000">
            <w:pPr>
              <w:spacing w:line="240" w:lineRule="auto"/>
              <w:jc w:val="center"/>
            </w:pPr>
            <w:r>
              <w:rPr>
                <w:rFonts w:eastAsia="Times New Roman" w:ascii="Times New Roman" w:hAnsi="Times New Roman"/>
                <w:b/>
                <w:color w:val="000000"/>
                <w:sz w:val="16"/>
              </w:rPr>
              <w:t>C0 delay (ms)</w:t>
            </w:r>
          </w:p>
        </w:tc>
        <w:tc>
          <w:tcPr>
            <w:tcW w:w="1305" w:type="dxa"/>
            <w:tcMar>
              <w:top w:w="70" w:type="dxa"/>
              <w:left w:w="75" w:type="dxa"/>
              <w:bottom w:w="70" w:type="dxa"/>
              <w:right w:w="75" w:type="dxa"/>
            </w:tcMar>
          </w:tcPr>
          <w:p w14:paraId="2E27DE60" w14:textId="77777777" w:rsidR="008867B5" w:rsidRDefault="00000000">
            <w:pPr>
              <w:spacing w:line="240" w:lineRule="auto"/>
              <w:jc w:val="center"/>
            </w:pPr>
            <w:r>
              <w:rPr>
                <w:rFonts w:eastAsia="Times New Roman" w:ascii="Times New Roman" w:hAnsi="Times New Roman"/>
                <w:b/>
                <w:color w:val="000000"/>
                <w:sz w:val="16"/>
              </w:rPr>
              <w:t>C0 violation</w:t>
            </w:r>
          </w:p>
        </w:tc>
        <w:tc>
          <w:tcPr>
            <w:tcW w:w="1501" w:type="dxa"/>
            <w:tcMar>
              <w:top w:w="70" w:type="dxa"/>
              <w:left w:w="75" w:type="dxa"/>
              <w:bottom w:w="70" w:type="dxa"/>
              <w:right w:w="75" w:type="dxa"/>
            </w:tcMar>
          </w:tcPr>
          <w:p w14:paraId="4A8AE76F" w14:textId="77777777" w:rsidR="008867B5" w:rsidRDefault="00000000">
            <w:pPr>
              <w:spacing w:line="240" w:lineRule="auto"/>
              <w:jc w:val="center"/>
            </w:pPr>
            <w:r>
              <w:rPr>
                <w:rFonts w:eastAsia="Times New Roman" w:ascii="Times New Roman" w:hAnsi="Times New Roman"/>
                <w:b/>
                <w:color w:val="000000"/>
                <w:sz w:val="16"/>
              </w:rPr>
              <w:t>Energy/deliv. (mJ)</w:t>
            </w:r>
          </w:p>
        </w:tc>
        <w:tc>
          <w:tcPr>
            <w:tcW w:w="1502" w:type="dxa"/>
            <w:tcMar>
              <w:top w:w="70" w:type="dxa"/>
              <w:left w:w="75" w:type="dxa"/>
              <w:bottom w:w="70" w:type="dxa"/>
              <w:right w:w="75" w:type="dxa"/>
            </w:tcMar>
          </w:tcPr>
          <w:p w14:paraId="4DDD7001" w14:textId="77777777" w:rsidR="008867B5" w:rsidRDefault="00000000">
            <w:pPr>
              <w:spacing w:line="240" w:lineRule="auto"/>
              <w:jc w:val="center"/>
            </w:pPr>
            <w:r>
              <w:rPr>
                <w:rFonts w:eastAsia="Times New Roman" w:ascii="Times New Roman" w:hAnsi="Times New Roman"/>
                <w:b/>
                <w:color w:val="000000"/>
                <w:sz w:val="16"/>
              </w:rPr>
              <w:t>Security-drop rate</w:t>
            </w:r>
          </w:p>
        </w:tc>
      </w:tr>
      <w:tr w:rsidR="008867B5" w14:paraId="63C001FB" w14:textId="77777777">
        <w:trPr>
          <w:cantSplit/>
        </w:trPr>
        <w:tc>
          <w:tcPr>
            <w:tcW w:w="2414" w:type="dxa"/>
            <w:tcMar>
              <w:top w:w="70" w:type="dxa"/>
              <w:left w:w="75" w:type="dxa"/>
              <w:bottom w:w="70" w:type="dxa"/>
              <w:right w:w="75" w:type="dxa"/>
            </w:tcMar>
          </w:tcPr>
          <w:p w14:paraId="0C9F5DF4" w14:textId="77777777" w:rsidR="008867B5" w:rsidRDefault="00000000">
            <w:pPr>
              <w:spacing w:line="240" w:lineRule="auto"/>
            </w:pPr>
            <w:r>
              <w:rPr>
                <w:rFonts w:eastAsia="Times New Roman" w:ascii="Times New Roman" w:hAnsi="Times New Roman"/>
                <w:color w:val="000000"/>
                <w:sz w:val="16"/>
              </w:rPr>
              <w:t>LA-CPPO attention</w:t>
            </w:r>
          </w:p>
        </w:tc>
        <w:tc>
          <w:tcPr>
            <w:tcW w:w="1044" w:type="dxa"/>
            <w:tcMar>
              <w:top w:w="70" w:type="dxa"/>
              <w:left w:w="75" w:type="dxa"/>
              <w:bottom w:w="70" w:type="dxa"/>
              <w:right w:w="75" w:type="dxa"/>
            </w:tcMar>
          </w:tcPr>
          <w:p w14:paraId="58E40758" w14:textId="77777777" w:rsidR="008867B5" w:rsidRDefault="00000000">
            <w:pPr>
              <w:spacing w:line="240" w:lineRule="auto"/>
              <w:jc w:val="center"/>
            </w:pPr>
            <w:r>
              <w:rPr>
                <w:rFonts w:eastAsia="Times New Roman" w:ascii="Times New Roman" w:hAnsi="Times New Roman"/>
                <w:color w:val="000000"/>
                <w:sz w:val="16"/>
              </w:rPr>
              <w:t>0.9543</w:t>
            </w:r>
          </w:p>
        </w:tc>
        <w:tc>
          <w:tcPr>
            <w:tcW w:w="1305" w:type="dxa"/>
            <w:tcMar>
              <w:top w:w="70" w:type="dxa"/>
              <w:left w:w="75" w:type="dxa"/>
              <w:bottom w:w="70" w:type="dxa"/>
              <w:right w:w="75" w:type="dxa"/>
            </w:tcMar>
          </w:tcPr>
          <w:p w14:paraId="3EFAB387" w14:textId="77777777" w:rsidR="008867B5" w:rsidRDefault="00000000">
            <w:pPr>
              <w:spacing w:line="240" w:lineRule="auto"/>
              <w:jc w:val="center"/>
            </w:pPr>
            <w:r>
              <w:rPr>
                <w:rFonts w:eastAsia="Times New Roman" w:ascii="Times New Roman" w:hAnsi="Times New Roman"/>
                <w:color w:val="000000"/>
                <w:sz w:val="16"/>
              </w:rPr>
              <w:t>52.27</w:t>
            </w:r>
          </w:p>
        </w:tc>
        <w:tc>
          <w:tcPr>
            <w:tcW w:w="1305" w:type="dxa"/>
            <w:tcMar>
              <w:top w:w="70" w:type="dxa"/>
              <w:left w:w="75" w:type="dxa"/>
              <w:bottom w:w="70" w:type="dxa"/>
              <w:right w:w="75" w:type="dxa"/>
            </w:tcMar>
          </w:tcPr>
          <w:p w14:paraId="32C625D9" w14:textId="77777777" w:rsidR="008867B5" w:rsidRDefault="00000000">
            <w:pPr>
              <w:spacing w:line="240" w:lineRule="auto"/>
              <w:jc w:val="center"/>
            </w:pPr>
            <w:r>
              <w:rPr>
                <w:rFonts w:eastAsia="Times New Roman" w:ascii="Times New Roman" w:hAnsi="Times New Roman"/>
                <w:color w:val="000000"/>
                <w:sz w:val="16"/>
              </w:rPr>
              <w:t>0.1242</w:t>
            </w:r>
          </w:p>
        </w:tc>
        <w:tc>
          <w:tcPr>
            <w:tcW w:w="1501" w:type="dxa"/>
            <w:tcMar>
              <w:top w:w="70" w:type="dxa"/>
              <w:left w:w="75" w:type="dxa"/>
              <w:bottom w:w="70" w:type="dxa"/>
              <w:right w:w="75" w:type="dxa"/>
            </w:tcMar>
          </w:tcPr>
          <w:p w14:paraId="76A6CD92" w14:textId="77777777" w:rsidR="008867B5" w:rsidRDefault="00000000">
            <w:pPr>
              <w:spacing w:line="240" w:lineRule="auto"/>
              <w:jc w:val="center"/>
            </w:pPr>
            <w:r>
              <w:rPr>
                <w:rFonts w:eastAsia="Times New Roman" w:ascii="Times New Roman" w:hAnsi="Times New Roman"/>
                <w:color w:val="000000"/>
                <w:sz w:val="16"/>
              </w:rPr>
              <w:t>0.7372</w:t>
            </w:r>
          </w:p>
        </w:tc>
        <w:tc>
          <w:tcPr>
            <w:tcW w:w="1502" w:type="dxa"/>
            <w:tcMar>
              <w:top w:w="70" w:type="dxa"/>
              <w:left w:w="75" w:type="dxa"/>
              <w:bottom w:w="70" w:type="dxa"/>
              <w:right w:w="75" w:type="dxa"/>
            </w:tcMar>
          </w:tcPr>
          <w:p w14:paraId="78294EC6" w14:textId="77777777" w:rsidR="008867B5" w:rsidRDefault="00000000">
            <w:pPr>
              <w:spacing w:line="240" w:lineRule="auto"/>
              <w:jc w:val="center"/>
            </w:pPr>
            <w:r>
              <w:rPr>
                <w:rFonts w:eastAsia="Times New Roman" w:ascii="Times New Roman" w:hAnsi="Times New Roman"/>
                <w:color w:val="000000"/>
                <w:sz w:val="16"/>
              </w:rPr>
              <w:t>0.0308</w:t>
            </w:r>
          </w:p>
        </w:tc>
      </w:tr>
      <w:tr w:rsidR="008867B5" w14:paraId="314E3E81" w14:textId="77777777">
        <w:trPr>
          <w:cantSplit/>
        </w:trPr>
        <w:tc>
          <w:tcPr>
            <w:tcW w:w="2414" w:type="dxa"/>
            <w:tcMar>
              <w:top w:w="70" w:type="dxa"/>
              <w:left w:w="75" w:type="dxa"/>
              <w:bottom w:w="70" w:type="dxa"/>
              <w:right w:w="75" w:type="dxa"/>
            </w:tcMar>
          </w:tcPr>
          <w:p w14:paraId="5818E45B" w14:textId="77777777" w:rsidR="008867B5" w:rsidRDefault="00000000">
            <w:pPr>
              <w:spacing w:line="240" w:lineRule="auto"/>
            </w:pPr>
            <w:r>
              <w:rPr>
                <w:rFonts w:eastAsia="Times New Roman" w:ascii="Times New Roman" w:hAnsi="Times New Roman"/>
                <w:color w:val="000000"/>
                <w:sz w:val="16"/>
              </w:rPr>
              <w:t>Matched MLP CPPO</w:t>
            </w:r>
          </w:p>
        </w:tc>
        <w:tc>
          <w:tcPr>
            <w:tcW w:w="1044" w:type="dxa"/>
            <w:tcMar>
              <w:top w:w="70" w:type="dxa"/>
              <w:left w:w="75" w:type="dxa"/>
              <w:bottom w:w="70" w:type="dxa"/>
              <w:right w:w="75" w:type="dxa"/>
            </w:tcMar>
          </w:tcPr>
          <w:p w14:paraId="4DFD5FA8" w14:textId="77777777" w:rsidR="008867B5" w:rsidRDefault="00000000">
            <w:pPr>
              <w:spacing w:line="240" w:lineRule="auto"/>
              <w:jc w:val="center"/>
            </w:pPr>
            <w:r>
              <w:rPr>
                <w:rFonts w:eastAsia="Times New Roman" w:ascii="Times New Roman" w:hAnsi="Times New Roman"/>
                <w:color w:val="000000"/>
                <w:sz w:val="16"/>
              </w:rPr>
              <w:t>0.9228</w:t>
            </w:r>
          </w:p>
        </w:tc>
        <w:tc>
          <w:tcPr>
            <w:tcW w:w="1305" w:type="dxa"/>
            <w:tcMar>
              <w:top w:w="70" w:type="dxa"/>
              <w:left w:w="75" w:type="dxa"/>
              <w:bottom w:w="70" w:type="dxa"/>
              <w:right w:w="75" w:type="dxa"/>
            </w:tcMar>
          </w:tcPr>
          <w:p w14:paraId="0C4B9FC1" w14:textId="77777777" w:rsidR="008867B5" w:rsidRDefault="00000000">
            <w:pPr>
              <w:spacing w:line="240" w:lineRule="auto"/>
              <w:jc w:val="center"/>
            </w:pPr>
            <w:r>
              <w:rPr>
                <w:rFonts w:eastAsia="Times New Roman" w:ascii="Times New Roman" w:hAnsi="Times New Roman"/>
                <w:color w:val="000000"/>
                <w:sz w:val="16"/>
              </w:rPr>
              <w:t>51.25</w:t>
            </w:r>
          </w:p>
        </w:tc>
        <w:tc>
          <w:tcPr>
            <w:tcW w:w="1305" w:type="dxa"/>
            <w:tcMar>
              <w:top w:w="70" w:type="dxa"/>
              <w:left w:w="75" w:type="dxa"/>
              <w:bottom w:w="70" w:type="dxa"/>
              <w:right w:w="75" w:type="dxa"/>
            </w:tcMar>
          </w:tcPr>
          <w:p w14:paraId="4C3C5BEC" w14:textId="77777777" w:rsidR="008867B5" w:rsidRDefault="00000000">
            <w:pPr>
              <w:spacing w:line="240" w:lineRule="auto"/>
              <w:jc w:val="center"/>
            </w:pPr>
            <w:r>
              <w:rPr>
                <w:rFonts w:eastAsia="Times New Roman" w:ascii="Times New Roman" w:hAnsi="Times New Roman"/>
                <w:color w:val="000000"/>
                <w:sz w:val="16"/>
              </w:rPr>
              <w:t>0.1554</w:t>
            </w:r>
          </w:p>
        </w:tc>
        <w:tc>
          <w:tcPr>
            <w:tcW w:w="1501" w:type="dxa"/>
            <w:tcMar>
              <w:top w:w="70" w:type="dxa"/>
              <w:left w:w="75" w:type="dxa"/>
              <w:bottom w:w="70" w:type="dxa"/>
              <w:right w:w="75" w:type="dxa"/>
            </w:tcMar>
          </w:tcPr>
          <w:p w14:paraId="429F380A" w14:textId="77777777" w:rsidR="008867B5" w:rsidRDefault="00000000">
            <w:pPr>
              <w:spacing w:line="240" w:lineRule="auto"/>
              <w:jc w:val="center"/>
            </w:pPr>
            <w:r>
              <w:rPr>
                <w:rFonts w:eastAsia="Times New Roman" w:ascii="Times New Roman" w:hAnsi="Times New Roman"/>
                <w:color w:val="000000"/>
                <w:sz w:val="16"/>
              </w:rPr>
              <w:t>0.7597</w:t>
            </w:r>
          </w:p>
        </w:tc>
        <w:tc>
          <w:tcPr>
            <w:tcW w:w="1502" w:type="dxa"/>
            <w:tcMar>
              <w:top w:w="70" w:type="dxa"/>
              <w:left w:w="75" w:type="dxa"/>
              <w:bottom w:w="70" w:type="dxa"/>
              <w:right w:w="75" w:type="dxa"/>
            </w:tcMar>
          </w:tcPr>
          <w:p w14:paraId="7135A029" w14:textId="77777777" w:rsidR="008867B5" w:rsidRDefault="00000000">
            <w:pPr>
              <w:spacing w:line="240" w:lineRule="auto"/>
              <w:jc w:val="center"/>
            </w:pPr>
            <w:r>
              <w:rPr>
                <w:rFonts w:eastAsia="Times New Roman" w:ascii="Times New Roman" w:hAnsi="Times New Roman"/>
                <w:color w:val="000000"/>
                <w:sz w:val="16"/>
              </w:rPr>
              <w:t>0.0649</w:t>
            </w:r>
          </w:p>
        </w:tc>
      </w:tr>
      <w:tr w:rsidR="008867B5" w14:paraId="4B2C2EA8" w14:textId="77777777">
        <w:trPr>
          <w:cantSplit/>
        </w:trPr>
        <w:tc>
          <w:tcPr>
            <w:tcW w:w="2414" w:type="dxa"/>
            <w:tcMar>
              <w:top w:w="70" w:type="dxa"/>
              <w:left w:w="75" w:type="dxa"/>
              <w:bottom w:w="70" w:type="dxa"/>
              <w:right w:w="75" w:type="dxa"/>
            </w:tcMar>
          </w:tcPr>
          <w:p w14:paraId="21C0AD36" w14:textId="77777777" w:rsidR="008867B5" w:rsidRDefault="00000000">
            <w:pPr>
              <w:spacing w:line="240" w:lineRule="auto"/>
            </w:pPr>
            <w:r>
              <w:rPr>
                <w:rFonts w:eastAsia="Times New Roman" w:ascii="Times New Roman" w:hAnsi="Times New Roman"/>
                <w:color w:val="000000"/>
                <w:sz w:val="16"/>
              </w:rPr>
              <w:t>Static energy-risk-ETX</w:t>
            </w:r>
          </w:p>
        </w:tc>
        <w:tc>
          <w:tcPr>
            <w:tcW w:w="1044" w:type="dxa"/>
            <w:tcMar>
              <w:top w:w="70" w:type="dxa"/>
              <w:left w:w="75" w:type="dxa"/>
              <w:bottom w:w="70" w:type="dxa"/>
              <w:right w:w="75" w:type="dxa"/>
            </w:tcMar>
          </w:tcPr>
          <w:p w14:paraId="77C1BBFE" w14:textId="77777777" w:rsidR="008867B5" w:rsidRDefault="00000000">
            <w:pPr>
              <w:spacing w:line="240" w:lineRule="auto"/>
              <w:jc w:val="center"/>
            </w:pPr>
            <w:r>
              <w:rPr>
                <w:rFonts w:eastAsia="Times New Roman" w:ascii="Times New Roman" w:hAnsi="Times New Roman"/>
                <w:color w:val="000000"/>
                <w:sz w:val="16"/>
              </w:rPr>
              <w:t>0.8807</w:t>
            </w:r>
          </w:p>
        </w:tc>
        <w:tc>
          <w:tcPr>
            <w:tcW w:w="1305" w:type="dxa"/>
            <w:tcMar>
              <w:top w:w="70" w:type="dxa"/>
              <w:left w:w="75" w:type="dxa"/>
              <w:bottom w:w="70" w:type="dxa"/>
              <w:right w:w="75" w:type="dxa"/>
            </w:tcMar>
          </w:tcPr>
          <w:p w14:paraId="5E55F522" w14:textId="77777777" w:rsidR="008867B5" w:rsidRDefault="00000000">
            <w:pPr>
              <w:spacing w:line="240" w:lineRule="auto"/>
              <w:jc w:val="center"/>
            </w:pPr>
            <w:r>
              <w:rPr>
                <w:rFonts w:eastAsia="Times New Roman" w:ascii="Times New Roman" w:hAnsi="Times New Roman"/>
                <w:color w:val="000000"/>
                <w:sz w:val="16"/>
              </w:rPr>
              <w:t>56.86</w:t>
            </w:r>
          </w:p>
        </w:tc>
        <w:tc>
          <w:tcPr>
            <w:tcW w:w="1305" w:type="dxa"/>
            <w:tcMar>
              <w:top w:w="70" w:type="dxa"/>
              <w:left w:w="75" w:type="dxa"/>
              <w:bottom w:w="70" w:type="dxa"/>
              <w:right w:w="75" w:type="dxa"/>
            </w:tcMar>
          </w:tcPr>
          <w:p w14:paraId="22AA0EEB" w14:textId="77777777" w:rsidR="008867B5" w:rsidRDefault="00000000">
            <w:pPr>
              <w:spacing w:line="240" w:lineRule="auto"/>
              <w:jc w:val="center"/>
            </w:pPr>
            <w:r>
              <w:rPr>
                <w:rFonts w:eastAsia="Times New Roman" w:ascii="Times New Roman" w:hAnsi="Times New Roman"/>
                <w:color w:val="000000"/>
                <w:sz w:val="16"/>
              </w:rPr>
              <w:t>0.2392</w:t>
            </w:r>
          </w:p>
        </w:tc>
        <w:tc>
          <w:tcPr>
            <w:tcW w:w="1501" w:type="dxa"/>
            <w:tcMar>
              <w:top w:w="70" w:type="dxa"/>
              <w:left w:w="75" w:type="dxa"/>
              <w:bottom w:w="70" w:type="dxa"/>
              <w:right w:w="75" w:type="dxa"/>
            </w:tcMar>
          </w:tcPr>
          <w:p w14:paraId="710B009F" w14:textId="77777777" w:rsidR="008867B5" w:rsidRDefault="00000000">
            <w:pPr>
              <w:spacing w:line="240" w:lineRule="auto"/>
              <w:jc w:val="center"/>
            </w:pPr>
            <w:r>
              <w:rPr>
                <w:rFonts w:eastAsia="Times New Roman" w:ascii="Times New Roman" w:hAnsi="Times New Roman"/>
                <w:color w:val="000000"/>
                <w:sz w:val="16"/>
              </w:rPr>
              <w:t>1.0383</w:t>
            </w:r>
          </w:p>
        </w:tc>
        <w:tc>
          <w:tcPr>
            <w:tcW w:w="1502" w:type="dxa"/>
            <w:tcMar>
              <w:top w:w="70" w:type="dxa"/>
              <w:left w:w="75" w:type="dxa"/>
              <w:bottom w:w="70" w:type="dxa"/>
              <w:right w:w="75" w:type="dxa"/>
            </w:tcMar>
          </w:tcPr>
          <w:p w14:paraId="4E23B6E4" w14:textId="77777777" w:rsidR="008867B5" w:rsidRDefault="00000000">
            <w:pPr>
              <w:spacing w:line="240" w:lineRule="auto"/>
              <w:jc w:val="center"/>
            </w:pPr>
            <w:r>
              <w:rPr>
                <w:rFonts w:eastAsia="Times New Roman" w:ascii="Times New Roman" w:hAnsi="Times New Roman"/>
                <w:color w:val="000000"/>
                <w:sz w:val="16"/>
              </w:rPr>
              <w:t>0.1128</w:t>
            </w:r>
          </w:p>
        </w:tc>
      </w:tr>
      <w:tr w:rsidR="008867B5" w14:paraId="4C2EB580" w14:textId="77777777">
        <w:trPr>
          <w:cantSplit/>
        </w:trPr>
        <w:tc>
          <w:tcPr>
            <w:tcW w:w="2414" w:type="dxa"/>
            <w:tcMar>
              <w:top w:w="70" w:type="dxa"/>
              <w:left w:w="75" w:type="dxa"/>
              <w:bottom w:w="70" w:type="dxa"/>
              <w:right w:w="75" w:type="dxa"/>
            </w:tcMar>
          </w:tcPr>
          <w:p w14:paraId="7906B719" w14:textId="77777777" w:rsidR="008867B5" w:rsidRDefault="00000000">
            <w:pPr>
              <w:spacing w:line="240" w:lineRule="auto"/>
            </w:pPr>
            <w:r>
              <w:rPr>
                <w:rFonts w:eastAsia="Times New Roman" w:ascii="Times New Roman" w:hAnsi="Times New Roman"/>
                <w:color w:val="000000"/>
                <w:sz w:val="16"/>
              </w:rPr>
              <w:t>Periodic ROA + energy-risk-ETX</w:t>
            </w:r>
          </w:p>
        </w:tc>
        <w:tc>
          <w:tcPr>
            <w:tcW w:w="1044" w:type="dxa"/>
            <w:tcMar>
              <w:top w:w="70" w:type="dxa"/>
              <w:left w:w="75" w:type="dxa"/>
              <w:bottom w:w="70" w:type="dxa"/>
              <w:right w:w="75" w:type="dxa"/>
            </w:tcMar>
          </w:tcPr>
          <w:p w14:paraId="11AB32A5" w14:textId="77777777" w:rsidR="008867B5" w:rsidRDefault="00000000">
            <w:pPr>
              <w:spacing w:line="240" w:lineRule="auto"/>
              <w:jc w:val="center"/>
            </w:pPr>
            <w:r>
              <w:rPr>
                <w:rFonts w:eastAsia="Times New Roman" w:ascii="Times New Roman" w:hAnsi="Times New Roman"/>
                <w:color w:val="000000"/>
                <w:sz w:val="16"/>
              </w:rPr>
              <w:t>0.8814</w:t>
            </w:r>
          </w:p>
        </w:tc>
        <w:tc>
          <w:tcPr>
            <w:tcW w:w="1305" w:type="dxa"/>
            <w:tcMar>
              <w:top w:w="70" w:type="dxa"/>
              <w:left w:w="75" w:type="dxa"/>
              <w:bottom w:w="70" w:type="dxa"/>
              <w:right w:w="75" w:type="dxa"/>
            </w:tcMar>
          </w:tcPr>
          <w:p w14:paraId="6FC2A174" w14:textId="77777777" w:rsidR="008867B5" w:rsidRDefault="00000000">
            <w:pPr>
              <w:spacing w:line="240" w:lineRule="auto"/>
              <w:jc w:val="center"/>
            </w:pPr>
            <w:r>
              <w:rPr>
                <w:rFonts w:eastAsia="Times New Roman" w:ascii="Times New Roman" w:hAnsi="Times New Roman"/>
                <w:color w:val="000000"/>
                <w:sz w:val="16"/>
              </w:rPr>
              <w:t>57.58</w:t>
            </w:r>
          </w:p>
        </w:tc>
        <w:tc>
          <w:tcPr>
            <w:tcW w:w="1305" w:type="dxa"/>
            <w:tcMar>
              <w:top w:w="70" w:type="dxa"/>
              <w:left w:w="75" w:type="dxa"/>
              <w:bottom w:w="70" w:type="dxa"/>
              <w:right w:w="75" w:type="dxa"/>
            </w:tcMar>
          </w:tcPr>
          <w:p w14:paraId="18B8E437" w14:textId="77777777" w:rsidR="008867B5" w:rsidRDefault="00000000">
            <w:pPr>
              <w:spacing w:line="240" w:lineRule="auto"/>
              <w:jc w:val="center"/>
            </w:pPr>
            <w:r>
              <w:rPr>
                <w:rFonts w:eastAsia="Times New Roman" w:ascii="Times New Roman" w:hAnsi="Times New Roman"/>
                <w:color w:val="000000"/>
                <w:sz w:val="16"/>
              </w:rPr>
              <w:t>0.2332</w:t>
            </w:r>
          </w:p>
        </w:tc>
        <w:tc>
          <w:tcPr>
            <w:tcW w:w="1501" w:type="dxa"/>
            <w:tcMar>
              <w:top w:w="70" w:type="dxa"/>
              <w:left w:w="75" w:type="dxa"/>
              <w:bottom w:w="70" w:type="dxa"/>
              <w:right w:w="75" w:type="dxa"/>
            </w:tcMar>
          </w:tcPr>
          <w:p w14:paraId="0817DC3D" w14:textId="77777777" w:rsidR="008867B5" w:rsidRDefault="00000000">
            <w:pPr>
              <w:spacing w:line="240" w:lineRule="auto"/>
              <w:jc w:val="center"/>
            </w:pPr>
            <w:r>
              <w:rPr>
                <w:rFonts w:eastAsia="Times New Roman" w:ascii="Times New Roman" w:hAnsi="Times New Roman"/>
                <w:color w:val="000000"/>
                <w:sz w:val="16"/>
              </w:rPr>
              <w:t>1.0056</w:t>
            </w:r>
          </w:p>
        </w:tc>
        <w:tc>
          <w:tcPr>
            <w:tcW w:w="1502" w:type="dxa"/>
            <w:tcMar>
              <w:top w:w="70" w:type="dxa"/>
              <w:left w:w="75" w:type="dxa"/>
              <w:bottom w:w="70" w:type="dxa"/>
              <w:right w:w="75" w:type="dxa"/>
            </w:tcMar>
          </w:tcPr>
          <w:p w14:paraId="1668C3DD" w14:textId="77777777" w:rsidR="008867B5" w:rsidRDefault="00000000">
            <w:pPr>
              <w:spacing w:line="240" w:lineRule="auto"/>
              <w:jc w:val="center"/>
            </w:pPr>
            <w:r>
              <w:rPr>
                <w:rFonts w:eastAsia="Times New Roman" w:ascii="Times New Roman" w:hAnsi="Times New Roman"/>
                <w:color w:val="000000"/>
                <w:sz w:val="16"/>
              </w:rPr>
              <w:t>0.1093</w:t>
            </w:r>
          </w:p>
        </w:tc>
      </w:tr>
    </w:tbl>
    <w:p>
      <w:pPr>
        <w:pageBreakBefore/>
      </w:pPr>
    </w:p>
    <w:p w14:paraId="52968D8C"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VII. Exploratory decomposition of the Class-0 total violation difference.</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995"/>
        <w:gridCol w:w="3175"/>
        <w:gridCol w:w="3901"/>
      </w:tblGrid>
      <w:tr w:rsidR="008867B5" w14:paraId="0A250711" w14:textId="77777777">
        <w:trPr>
          <w:tblHeader/>
          <w:cantSplit/>
        </w:trPr>
        <w:tc>
          <w:tcPr>
            <w:tcW w:w="1995" w:type="dxa"/>
            <w:tcMar>
              <w:top w:w="70" w:type="dxa"/>
              <w:left w:w="75" w:type="dxa"/>
              <w:bottom w:w="70" w:type="dxa"/>
              <w:right w:w="75" w:type="dxa"/>
            </w:tcMar>
          </w:tcPr>
          <w:p w14:paraId="74C10767" w14:textId="77777777" w:rsidR="008867B5" w:rsidRDefault="00000000">
            <w:pPr>
              <w:spacing w:line="240" w:lineRule="auto"/>
              <w:jc w:val="center"/>
            </w:pPr>
            <w:r>
              <w:rPr>
                <w:rFonts w:eastAsia="Times New Roman" w:ascii="Times New Roman" w:hAnsi="Times New Roman"/>
                <w:b/>
                <w:color w:val="000000"/>
                <w:sz w:val="16"/>
              </w:rPr>
              <w:t>Component</w:t>
            </w:r>
          </w:p>
        </w:tc>
        <w:tc>
          <w:tcPr>
            <w:tcW w:w="3175" w:type="dxa"/>
            <w:tcMar>
              <w:top w:w="70" w:type="dxa"/>
              <w:left w:w="75" w:type="dxa"/>
              <w:bottom w:w="70" w:type="dxa"/>
              <w:right w:w="75" w:type="dxa"/>
            </w:tcMar>
          </w:tcPr>
          <w:p w14:paraId="2C45E890" w14:textId="77777777" w:rsidR="008867B5" w:rsidRDefault="00000000">
            <w:pPr>
              <w:spacing w:line="240" w:lineRule="auto"/>
              <w:jc w:val="center"/>
            </w:pPr>
            <w:r>
              <w:rPr>
                <w:rFonts w:eastAsia="Times New Roman" w:ascii="Times New Roman" w:hAnsi="Times New Roman"/>
                <w:b/>
                <w:color w:val="000000"/>
                <w:sz w:val="16"/>
              </w:rPr>
              <w:t>Attention - MLP</w:t>
            </w:r>
          </w:p>
        </w:tc>
        <w:tc>
          <w:tcPr>
            <w:tcW w:w="3901" w:type="dxa"/>
            <w:tcMar>
              <w:top w:w="70" w:type="dxa"/>
              <w:left w:w="75" w:type="dxa"/>
              <w:bottom w:w="70" w:type="dxa"/>
              <w:right w:w="75" w:type="dxa"/>
            </w:tcMar>
          </w:tcPr>
          <w:p w14:paraId="10F7B69B" w14:textId="77777777" w:rsidR="008867B5" w:rsidRDefault="00000000">
            <w:pPr>
              <w:spacing w:line="240" w:lineRule="auto"/>
              <w:jc w:val="center"/>
            </w:pPr>
            <w:r>
              <w:rPr>
                <w:rFonts w:eastAsia="Times New Roman" w:ascii="Times New Roman" w:hAnsi="Times New Roman"/>
                <w:b/>
                <w:color w:val="000000"/>
                <w:sz w:val="16"/>
              </w:rPr>
              <w:t>Interpretation</w:t>
            </w:r>
          </w:p>
        </w:tc>
      </w:tr>
      <w:tr w:rsidR="008867B5" w14:paraId="645BCC8C" w14:textId="77777777">
        <w:trPr>
          <w:cantSplit/>
        </w:trPr>
        <w:tc>
          <w:tcPr>
            <w:tcW w:w="1995" w:type="dxa"/>
            <w:tcMar>
              <w:top w:w="70" w:type="dxa"/>
              <w:left w:w="75" w:type="dxa"/>
              <w:bottom w:w="70" w:type="dxa"/>
              <w:right w:w="75" w:type="dxa"/>
            </w:tcMar>
          </w:tcPr>
          <w:p w14:paraId="498CD7D7" w14:textId="77777777" w:rsidR="008867B5" w:rsidRDefault="00000000">
            <w:pPr>
              <w:spacing w:line="240" w:lineRule="auto"/>
            </w:pPr>
            <w:r>
              <w:rPr>
                <w:rFonts w:eastAsia="Times New Roman" w:ascii="Times New Roman" w:hAnsi="Times New Roman"/>
                <w:color w:val="000000"/>
                <w:sz w:val="16"/>
              </w:rPr>
              <w:t>Class-0 loss rate</w:t>
            </w:r>
          </w:p>
        </w:tc>
        <w:tc>
          <w:tcPr>
            <w:tcW w:w="3175" w:type="dxa"/>
            <w:tcMar>
              <w:top w:w="70" w:type="dxa"/>
              <w:left w:w="75" w:type="dxa"/>
              <w:bottom w:w="70" w:type="dxa"/>
              <w:right w:w="75" w:type="dxa"/>
            </w:tcMar>
          </w:tcPr>
          <w:p w14:paraId="3B412394" w14:textId="77777777" w:rsidR="008867B5" w:rsidRDefault="00000000">
            <w:pPr>
              <w:spacing w:line="240" w:lineRule="auto"/>
              <w:jc w:val="center"/>
            </w:pPr>
            <w:r>
              <w:rPr>
                <w:rFonts w:eastAsia="Times New Roman" w:ascii="Times New Roman" w:hAnsi="Times New Roman"/>
                <w:color w:val="000000"/>
                <w:sz w:val="16"/>
              </w:rPr>
              <w:t>-0.02748</w:t>
            </w:r>
          </w:p>
        </w:tc>
        <w:tc>
          <w:tcPr>
            <w:tcW w:w="3901" w:type="dxa"/>
            <w:tcMar>
              <w:top w:w="70" w:type="dxa"/>
              <w:left w:w="75" w:type="dxa"/>
              <w:bottom w:w="70" w:type="dxa"/>
              <w:right w:w="75" w:type="dxa"/>
            </w:tcMar>
          </w:tcPr>
          <w:p w14:paraId="4CFEC1C0" w14:textId="77777777" w:rsidR="008867B5" w:rsidRDefault="00000000">
            <w:pPr>
              <w:spacing w:line="240" w:lineRule="auto"/>
              <w:jc w:val="center"/>
            </w:pPr>
            <w:r>
              <w:rPr>
                <w:rFonts w:eastAsia="Times New Roman" w:ascii="Times New Roman" w:hAnsi="Times New Roman"/>
                <w:color w:val="000000"/>
                <w:sz w:val="16"/>
              </w:rPr>
              <w:t>Dominant contributor to lower total violation</w:t>
            </w:r>
          </w:p>
        </w:tc>
      </w:tr>
      <w:tr w:rsidR="008867B5" w14:paraId="024D3893" w14:textId="77777777">
        <w:trPr>
          <w:cantSplit/>
        </w:trPr>
        <w:tc>
          <w:tcPr>
            <w:tcW w:w="1995" w:type="dxa"/>
            <w:tcMar>
              <w:top w:w="70" w:type="dxa"/>
              <w:left w:w="75" w:type="dxa"/>
              <w:bottom w:w="70" w:type="dxa"/>
              <w:right w:w="75" w:type="dxa"/>
            </w:tcMar>
          </w:tcPr>
          <w:p w14:paraId="30C302FB" w14:textId="77777777" w:rsidR="008867B5" w:rsidRDefault="00000000">
            <w:pPr>
              <w:spacing w:line="240" w:lineRule="auto"/>
            </w:pPr>
            <w:r>
              <w:rPr>
                <w:rFonts w:eastAsia="Times New Roman" w:ascii="Times New Roman" w:hAnsi="Times New Roman"/>
                <w:color w:val="000000"/>
                <w:sz w:val="16"/>
              </w:rPr>
              <w:t>Delivered-late Class-0 fraction</w:t>
            </w:r>
          </w:p>
        </w:tc>
        <w:tc>
          <w:tcPr>
            <w:tcW w:w="3175" w:type="dxa"/>
            <w:tcMar>
              <w:top w:w="70" w:type="dxa"/>
              <w:left w:w="75" w:type="dxa"/>
              <w:bottom w:w="70" w:type="dxa"/>
              <w:right w:w="75" w:type="dxa"/>
            </w:tcMar>
          </w:tcPr>
          <w:p w14:paraId="44563525" w14:textId="77777777" w:rsidR="008867B5" w:rsidRDefault="00000000">
            <w:pPr>
              <w:spacing w:line="240" w:lineRule="auto"/>
              <w:jc w:val="center"/>
            </w:pPr>
            <w:r>
              <w:rPr>
                <w:rFonts w:eastAsia="Times New Roman" w:ascii="Times New Roman" w:hAnsi="Times New Roman"/>
                <w:color w:val="000000"/>
                <w:sz w:val="16"/>
              </w:rPr>
              <w:t>-0.00377</w:t>
            </w:r>
          </w:p>
        </w:tc>
        <w:tc>
          <w:tcPr>
            <w:tcW w:w="3901" w:type="dxa"/>
            <w:tcMar>
              <w:top w:w="70" w:type="dxa"/>
              <w:left w:w="75" w:type="dxa"/>
              <w:bottom w:w="70" w:type="dxa"/>
              <w:right w:w="75" w:type="dxa"/>
            </w:tcMar>
          </w:tcPr>
          <w:p w14:paraId="3A419DBD" w14:textId="77777777" w:rsidR="008867B5" w:rsidRDefault="00000000">
            <w:pPr>
              <w:spacing w:line="240" w:lineRule="auto"/>
              <w:jc w:val="center"/>
            </w:pPr>
            <w:r>
              <w:rPr>
                <w:rFonts w:eastAsia="Times New Roman" w:ascii="Times New Roman" w:hAnsi="Times New Roman"/>
                <w:color w:val="000000"/>
                <w:sz w:val="16"/>
              </w:rPr>
              <w:t>Small difference; exploratory CI includes zero</w:t>
            </w:r>
          </w:p>
        </w:tc>
      </w:tr>
      <w:tr w:rsidR="008867B5" w14:paraId="151872A0" w14:textId="77777777">
        <w:trPr>
          <w:cantSplit/>
        </w:trPr>
        <w:tc>
          <w:tcPr>
            <w:tcW w:w="1995" w:type="dxa"/>
            <w:tcMar>
              <w:top w:w="70" w:type="dxa"/>
              <w:left w:w="75" w:type="dxa"/>
              <w:bottom w:w="70" w:type="dxa"/>
              <w:right w:w="75" w:type="dxa"/>
            </w:tcMar>
          </w:tcPr>
          <w:p w14:paraId="67801BDE" w14:textId="77777777" w:rsidR="008867B5" w:rsidRDefault="00000000">
            <w:pPr>
              <w:spacing w:line="240" w:lineRule="auto"/>
            </w:pPr>
            <w:r>
              <w:rPr>
                <w:rFonts w:eastAsia="Times New Roman" w:ascii="Times New Roman" w:hAnsi="Times New Roman"/>
                <w:color w:val="000000"/>
                <w:sz w:val="16"/>
              </w:rPr>
              <w:t>Total Class-0 violation</w:t>
            </w:r>
          </w:p>
        </w:tc>
        <w:tc>
          <w:tcPr>
            <w:tcW w:w="3175" w:type="dxa"/>
            <w:tcMar>
              <w:top w:w="70" w:type="dxa"/>
              <w:left w:w="75" w:type="dxa"/>
              <w:bottom w:w="70" w:type="dxa"/>
              <w:right w:w="75" w:type="dxa"/>
            </w:tcMar>
          </w:tcPr>
          <w:p w14:paraId="38BA03E5" w14:textId="77777777" w:rsidR="008867B5" w:rsidRDefault="00000000">
            <w:pPr>
              <w:spacing w:line="240" w:lineRule="auto"/>
              <w:jc w:val="center"/>
            </w:pPr>
            <w:r>
              <w:rPr>
                <w:rFonts w:eastAsia="Times New Roman" w:ascii="Times New Roman" w:hAnsi="Times New Roman"/>
                <w:color w:val="000000"/>
                <w:sz w:val="16"/>
              </w:rPr>
              <w:t>-0.03125</w:t>
            </w:r>
          </w:p>
        </w:tc>
        <w:tc>
          <w:tcPr>
            <w:tcW w:w="3901" w:type="dxa"/>
            <w:tcMar>
              <w:top w:w="70" w:type="dxa"/>
              <w:left w:w="75" w:type="dxa"/>
              <w:bottom w:w="70" w:type="dxa"/>
              <w:right w:w="75" w:type="dxa"/>
            </w:tcMar>
          </w:tcPr>
          <w:p w14:paraId="5334366A" w14:textId="77777777" w:rsidR="008867B5" w:rsidRDefault="00000000">
            <w:pPr>
              <w:spacing w:line="240" w:lineRule="auto"/>
              <w:jc w:val="center"/>
            </w:pPr>
            <w:r>
              <w:rPr>
                <w:rFonts w:eastAsia="Times New Roman" w:ascii="Times New Roman" w:hAnsi="Times New Roman"/>
                <w:color w:val="000000"/>
                <w:sz w:val="16"/>
              </w:rPr>
              <w:t>Confirmatory co-primary effect</w:t>
            </w:r>
          </w:p>
        </w:tc>
      </w:tr>
    </w:tbl>
    <w:p>
      <w:pPr>
        <w:pageBreakBefore/>
      </w:pPr>
    </w:p>
    <w:p w14:paraId="58C073E9"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6D4B65FB" wp14:editId="00944B3E">
            <wp:extent cx="5760000" cy="25678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op_composition_profile_journal.png"/>
                    <pic:cNvPicPr/>
                  </pic:nvPicPr>
                  <pic:blipFill>
                    <a:blip r:embed="rId12"/>
                    <a:stretch>
                      <a:fillRect/>
                    </a:stretch>
                  </pic:blipFill>
                  <pic:spPr>
                    <a:xfrm>
                      <a:off x="0" y="0"/>
                      <a:ext cx="5760000" cy="2567881"/>
                    </a:xfrm>
                    <a:prstGeom prst="rect">
                      <a:avLst/>
                    </a:prstGeom>
                  </pic:spPr>
                </pic:pic>
              </a:graphicData>
            </a:graphic>
          </wp:inline>
        </w:drawing>
      </w:r>
    </w:p>
    <w:p w14:paraId="6A2BA315" w14:textId="77777777" w:rsidR="008867B5" w:rsidRDefault="00000000">
      <w:pPr>
        <w:pageBreakBefore w:val="0"/>
        <w:spacing w:before="40" w:after="80"/>
        <w:jc w:val="center"/>
      </w:pPr>
      <w:r>
        <w:rPr>
          <w:rFonts w:ascii="Times New Roman" w:hAnsi="Times New Roman"/>
          <w:color w:val="000000"/>
          <w:sz w:val="19"/>
        </w:rPr>
        <w:t>Fig. 5. Pooled hop-count composition of delivered Class 0 packets in the historical experiment.</w:t>
      </w:r>
    </w:p>
    <w:p>
      <w:pPr>
        <w:pageBreakBefore/>
      </w:pPr>
    </w:p>
    <w:p>
      <w:pPr>
        <w:keepNext/>
        <w:pageBreakBefore w:val="0"/>
        <w:spacing w:after="80" w:line="480" w:lineRule="auto"/>
      </w:pPr>
      <w:r>
        <w:rPr>
          <w:rFonts w:ascii="Times New Roman" w:hAnsi="Times New Roman"/>
          <w:color w:val="000000"/>
          <w:sz w:val="19"/>
        </w:rPr>
        <w:t>Table VIII. New nominal validation effects for attention minus each comparator.</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1814"/>
        <w:gridCol w:w="1814"/>
        <w:gridCol w:w="1814"/>
        <w:gridCol w:w="1814"/>
        <w:gridCol w:w="1814"/>
      </w:tblGrid>
      <w:tr>
        <w:trPr>
          <w:tblHeader/>
          <w:cantSplit/>
        </w:trPr>
        <w:tc>
          <w:tcPr>
            <w:tcW w:type="dxa" w:w="1814"/>
          </w:tcPr>
          <w:p>
            <w:pPr>
              <w:spacing w:line="240" w:lineRule="auto"/>
            </w:pPr>
            <w:r>
              <w:rPr>
                <w:rFonts w:ascii="Times New Roman" w:hAnsi="Times New Roman"/>
                <w:b/>
                <w:color w:val="000000"/>
                <w:sz w:val="16"/>
              </w:rPr>
              <w:t>Comparator</w:t>
            </w:r>
          </w:p>
        </w:tc>
        <w:tc>
          <w:tcPr>
            <w:tcW w:type="dxa" w:w="1814"/>
          </w:tcPr>
          <w:p>
            <w:pPr>
              <w:spacing w:line="240" w:lineRule="auto"/>
            </w:pPr>
            <w:r>
              <w:rPr>
                <w:rFonts w:ascii="Times New Roman" w:hAnsi="Times New Roman"/>
                <w:b/>
                <w:color w:val="000000"/>
                <w:sz w:val="16"/>
              </w:rPr>
              <w:t>Endpoint</w:t>
            </w:r>
          </w:p>
        </w:tc>
        <w:tc>
          <w:tcPr>
            <w:tcW w:type="dxa" w:w="1814"/>
          </w:tcPr>
          <w:p>
            <w:pPr>
              <w:spacing w:line="240" w:lineRule="auto"/>
            </w:pPr>
            <w:r>
              <w:rPr>
                <w:rFonts w:ascii="Times New Roman" w:hAnsi="Times New Roman"/>
                <w:b/>
                <w:color w:val="000000"/>
                <w:sz w:val="16"/>
              </w:rPr>
              <w:t>Difference</w:t>
            </w:r>
          </w:p>
        </w:tc>
        <w:tc>
          <w:tcPr>
            <w:tcW w:type="dxa" w:w="1814"/>
          </w:tcPr>
          <w:p>
            <w:pPr>
              <w:spacing w:line="240" w:lineRule="auto"/>
            </w:pPr>
            <w:r>
              <w:rPr>
                <w:rFonts w:ascii="Times New Roman" w:hAnsi="Times New Roman"/>
                <w:b/>
                <w:color w:val="000000"/>
                <w:sz w:val="16"/>
              </w:rPr>
              <w:t>95% CI</w:t>
            </w:r>
          </w:p>
        </w:tc>
        <w:tc>
          <w:tcPr>
            <w:tcW w:type="dxa" w:w="1814"/>
          </w:tcPr>
          <w:p>
            <w:pPr>
              <w:spacing w:line="240" w:lineRule="auto"/>
            </w:pPr>
            <w:r>
              <w:rPr>
                <w:rFonts w:ascii="Times New Roman" w:hAnsi="Times New Roman"/>
                <w:b/>
                <w:color w:val="000000"/>
                <w:sz w:val="16"/>
              </w:rPr>
              <w:t>Holm p</w:t>
            </w:r>
          </w:p>
        </w:tc>
      </w:tr>
      <w:tr>
        <w:trPr>
          <w:cantSplit/>
        </w:trPr>
        <w:tc>
          <w:tcPr>
            <w:tcW w:type="dxa" w:w="1814"/>
          </w:tcPr>
          <w:p>
            <w:pPr>
              <w:spacing w:line="240" w:lineRule="auto"/>
            </w:pPr>
            <w:r>
              <w:rPr>
                <w:rFonts w:ascii="Times New Roman" w:hAnsi="Times New Roman"/>
                <w:color w:val="000000"/>
                <w:sz w:val="16"/>
              </w:rPr>
              <w:t>Capacity-matched MLP</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+0.821</w:t>
            </w:r>
          </w:p>
        </w:tc>
        <w:tc>
          <w:tcPr>
            <w:tcW w:type="dxa" w:w="1814"/>
          </w:tcPr>
          <w:p>
            <w:pPr>
              <w:spacing w:line="240" w:lineRule="auto"/>
            </w:pPr>
            <w:r>
              <w:rPr>
                <w:rFonts w:ascii="Times New Roman" w:hAnsi="Times New Roman"/>
                <w:color w:val="000000"/>
                <w:sz w:val="16"/>
              </w:rPr>
              <w:t>[-0.121, +1.762]</w:t>
            </w:r>
          </w:p>
        </w:tc>
        <w:tc>
          <w:tcPr>
            <w:tcW w:type="dxa" w:w="1814"/>
          </w:tcPr>
          <w:p>
            <w:pPr>
              <w:spacing w:line="240" w:lineRule="auto"/>
            </w:pPr>
            <w:r>
              <w:rPr>
                <w:rFonts w:ascii="Times New Roman" w:hAnsi="Times New Roman"/>
                <w:color w:val="000000"/>
                <w:sz w:val="16"/>
              </w:rPr>
              <w:t>0.3409</w:t>
            </w:r>
          </w:p>
        </w:tc>
      </w:tr>
      <w:tr>
        <w:trPr>
          <w:cantSplit/>
        </w:trPr>
        <w:tc>
          <w:tcPr>
            <w:tcW w:type="dxa" w:w="1814"/>
          </w:tcPr>
          <w:p>
            <w:pPr>
              <w:spacing w:line="240" w:lineRule="auto"/>
            </w:pPr>
            <w:r>
              <w:rPr>
                <w:rFonts w:ascii="Times New Roman" w:hAnsi="Times New Roman"/>
                <w:color w:val="000000"/>
                <w:sz w:val="16"/>
              </w:rPr>
              <w:t>Capacity-matched MLP</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-1.522</w:t>
            </w:r>
          </w:p>
        </w:tc>
        <w:tc>
          <w:tcPr>
            <w:tcW w:type="dxa" w:w="1814"/>
          </w:tcPr>
          <w:p>
            <w:pPr>
              <w:spacing w:line="240" w:lineRule="auto"/>
            </w:pPr>
            <w:r>
              <w:rPr>
                <w:rFonts w:ascii="Times New Roman" w:hAnsi="Times New Roman"/>
                <w:color w:val="000000"/>
                <w:sz w:val="16"/>
              </w:rPr>
              <w:t>[-2.754, -0.291]</w:t>
            </w:r>
          </w:p>
        </w:tc>
        <w:tc>
          <w:tcPr>
            <w:tcW w:type="dxa" w:w="1814"/>
          </w:tcPr>
          <w:p>
            <w:pPr>
              <w:spacing w:line="240" w:lineRule="auto"/>
            </w:pPr>
            <w:r>
              <w:rPr>
                <w:rFonts w:ascii="Times New Roman" w:hAnsi="Times New Roman"/>
                <w:color w:val="000000"/>
                <w:sz w:val="16"/>
              </w:rPr>
              <w:t>0.08581</w:t>
            </w:r>
          </w:p>
        </w:tc>
      </w:tr>
      <w:tr>
        <w:trPr>
          <w:cantSplit/>
        </w:trPr>
        <w:tc>
          <w:tcPr>
            <w:tcW w:type="dxa" w:w="1814"/>
          </w:tcPr>
          <w:p>
            <w:pPr>
              <w:spacing w:line="240" w:lineRule="auto"/>
            </w:pPr>
            <w:r>
              <w:rPr>
                <w:rFonts w:ascii="Times New Roman" w:hAnsi="Times New Roman"/>
                <w:color w:val="000000"/>
                <w:sz w:val="16"/>
              </w:rPr>
              <w:t>Attention without risk</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+0.597</w:t>
            </w:r>
          </w:p>
        </w:tc>
        <w:tc>
          <w:tcPr>
            <w:tcW w:type="dxa" w:w="1814"/>
          </w:tcPr>
          <w:p>
            <w:pPr>
              <w:spacing w:line="240" w:lineRule="auto"/>
            </w:pPr>
            <w:r>
              <w:rPr>
                <w:rFonts w:ascii="Times New Roman" w:hAnsi="Times New Roman"/>
                <w:color w:val="000000"/>
                <w:sz w:val="16"/>
              </w:rPr>
              <w:t>[-0.651, +1.846]</w:t>
            </w:r>
          </w:p>
        </w:tc>
        <w:tc>
          <w:tcPr>
            <w:tcW w:type="dxa" w:w="1814"/>
          </w:tcPr>
          <w:p>
            <w:pPr>
              <w:spacing w:line="240" w:lineRule="auto"/>
            </w:pPr>
            <w:r>
              <w:rPr>
                <w:rFonts w:ascii="Times New Roman" w:hAnsi="Times New Roman"/>
                <w:color w:val="000000"/>
                <w:sz w:val="16"/>
              </w:rPr>
              <w:t>1</w:t>
            </w:r>
          </w:p>
        </w:tc>
      </w:tr>
      <w:tr>
        <w:trPr>
          <w:cantSplit/>
        </w:trPr>
        <w:tc>
          <w:tcPr>
            <w:tcW w:type="dxa" w:w="1814"/>
          </w:tcPr>
          <w:p>
            <w:pPr>
              <w:spacing w:line="240" w:lineRule="auto"/>
            </w:pPr>
            <w:r>
              <w:rPr>
                <w:rFonts w:ascii="Times New Roman" w:hAnsi="Times New Roman"/>
                <w:color w:val="000000"/>
                <w:sz w:val="16"/>
              </w:rPr>
              <w:t>Attention without risk</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-7.934</w:t>
            </w:r>
          </w:p>
        </w:tc>
        <w:tc>
          <w:tcPr>
            <w:tcW w:type="dxa" w:w="1814"/>
          </w:tcPr>
          <w:p>
            <w:pPr>
              <w:spacing w:line="240" w:lineRule="auto"/>
            </w:pPr>
            <w:r>
              <w:rPr>
                <w:rFonts w:ascii="Times New Roman" w:hAnsi="Times New Roman"/>
                <w:color w:val="000000"/>
                <w:sz w:val="16"/>
              </w:rPr>
              <w:t>[-10.143, -5.725]</w:t>
            </w:r>
          </w:p>
        </w:tc>
        <w:tc>
          <w:tcPr>
            <w:tcW w:type="dxa" w:w="1814"/>
          </w:tcPr>
          <w:p>
            <w:pPr>
              <w:spacing w:line="240" w:lineRule="auto"/>
            </w:pPr>
            <w:r>
              <w:rPr>
                <w:rFonts w:ascii="Times New Roman" w:hAnsi="Times New Roman"/>
                <w:color w:val="000000"/>
                <w:sz w:val="16"/>
              </w:rPr>
              <w:t>2.586e-07</w:t>
            </w:r>
          </w:p>
        </w:tc>
      </w:tr>
      <w:tr>
        <w:trPr>
          <w:cantSplit/>
        </w:trPr>
        <w:tc>
          <w:tcPr>
            <w:tcW w:type="dxa" w:w="1814"/>
          </w:tcPr>
          <w:p>
            <w:pPr>
              <w:spacing w:line="240" w:lineRule="auto"/>
            </w:pPr>
            <w:r>
              <w:rPr>
                <w:rFonts w:ascii="Times New Roman" w:hAnsi="Times New Roman"/>
                <w:color w:val="000000"/>
                <w:sz w:val="16"/>
              </w:rPr>
              <w:t>Attention with 80% feedback</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-0.258</w:t>
            </w:r>
          </w:p>
        </w:tc>
        <w:tc>
          <w:tcPr>
            <w:tcW w:type="dxa" w:w="1814"/>
          </w:tcPr>
          <w:p>
            <w:pPr>
              <w:spacing w:line="240" w:lineRule="auto"/>
            </w:pPr>
            <w:r>
              <w:rPr>
                <w:rFonts w:ascii="Times New Roman" w:hAnsi="Times New Roman"/>
                <w:color w:val="000000"/>
                <w:sz w:val="16"/>
              </w:rPr>
              <w:t>[-1.068, +0.552]</w:t>
            </w:r>
          </w:p>
        </w:tc>
        <w:tc>
          <w:tcPr>
            <w:tcW w:type="dxa" w:w="1814"/>
          </w:tcPr>
          <w:p>
            <w:pPr>
              <w:spacing w:line="240" w:lineRule="auto"/>
            </w:pPr>
            <w:r>
              <w:rPr>
                <w:rFonts w:ascii="Times New Roman" w:hAnsi="Times New Roman"/>
                <w:color w:val="000000"/>
                <w:sz w:val="16"/>
              </w:rPr>
              <w:t>1</w:t>
            </w:r>
          </w:p>
        </w:tc>
      </w:tr>
      <w:tr>
        <w:trPr>
          <w:cantSplit/>
        </w:trPr>
        <w:tc>
          <w:tcPr>
            <w:tcW w:type="dxa" w:w="1814"/>
          </w:tcPr>
          <w:p>
            <w:pPr>
              <w:spacing w:line="240" w:lineRule="auto"/>
            </w:pPr>
            <w:r>
              <w:rPr>
                <w:rFonts w:ascii="Times New Roman" w:hAnsi="Times New Roman"/>
                <w:color w:val="000000"/>
                <w:sz w:val="16"/>
              </w:rPr>
              <w:t>Attention with 80% feedback</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-0.518</w:t>
            </w:r>
          </w:p>
        </w:tc>
        <w:tc>
          <w:tcPr>
            <w:tcW w:type="dxa" w:w="1814"/>
          </w:tcPr>
          <w:p>
            <w:pPr>
              <w:spacing w:line="240" w:lineRule="auto"/>
            </w:pPr>
            <w:r>
              <w:rPr>
                <w:rFonts w:ascii="Times New Roman" w:hAnsi="Times New Roman"/>
                <w:color w:val="000000"/>
                <w:sz w:val="16"/>
              </w:rPr>
              <w:t>[-1.761, +0.726]</w:t>
            </w:r>
          </w:p>
        </w:tc>
        <w:tc>
          <w:tcPr>
            <w:tcW w:type="dxa" w:w="1814"/>
          </w:tcPr>
          <w:p>
            <w:pPr>
              <w:spacing w:line="240" w:lineRule="auto"/>
            </w:pPr>
            <w:r>
              <w:rPr>
                <w:rFonts w:ascii="Times New Roman" w:hAnsi="Times New Roman"/>
                <w:color w:val="000000"/>
                <w:sz w:val="16"/>
              </w:rPr>
              <w:t>1</w:t>
            </w:r>
          </w:p>
        </w:tc>
      </w:tr>
    </w:tbl>
    <w:p>
      <w:pPr>
        <w:pageBreakBefore/>
      </w:pPr>
    </w:p>
    <w:p>
      <w:pPr>
        <w:keepNext/>
        <w:pageBreakBefore w:val="0"/>
        <w:spacing w:after="80" w:line="480" w:lineRule="auto"/>
      </w:pPr>
      <w:r>
        <w:rPr>
          <w:rFonts w:ascii="Times New Roman" w:hAnsi="Times New Roman"/>
          <w:color w:val="000000"/>
          <w:sz w:val="19"/>
        </w:rPr>
        <w:drawing>
          <wp:inline xmlns:a="http://schemas.openxmlformats.org/drawingml/2006/main" xmlns:pic="http://schemas.openxmlformats.org/drawingml/2006/picture">
            <wp:extent cx="5760000" cy="2016000"/>
            <wp:docPr id="13" name="Picture 13"/>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5760000" cy="2016000"/>
                    </a:xfrm>
                    <a:prstGeom prst="rect"/>
                  </pic:spPr>
                </pic:pic>
              </a:graphicData>
            </a:graphic>
          </wp:inline>
        </w:drawing>
      </w:r>
    </w:p>
    <w:p>
      <w:pPr>
        <w:pageBreakBefore w:val="0"/>
        <w:spacing w:after="80"/>
      </w:pPr>
      <w:r>
        <w:rPr>
          <w:rFonts w:ascii="Times New Roman" w:hAnsi="Times New Roman"/>
          <w:color w:val="000000"/>
          <w:sz w:val="19"/>
        </w:rPr>
        <w:t>Fig. 6. New nominal paired effects with unadjusted 95% intervals across 30 seeds. Negative differences favor attention.</w:t>
      </w:r>
    </w:p>
    <w:p>
      <w:pPr>
        <w:pageBreakBefore/>
      </w:pPr>
    </w:p>
    <w:p>
      <w:pPr>
        <w:keepNext/>
        <w:pageBreakBefore w:val="0"/>
        <w:spacing w:after="80" w:line="480" w:lineRule="auto"/>
      </w:pPr>
      <w:r>
        <w:rPr>
          <w:rFonts w:ascii="Times New Roman" w:hAnsi="Times New Roman"/>
          <w:color w:val="000000"/>
          <w:sz w:val="19"/>
        </w:rPr>
        <w:t>Table IX. Frozen-policy transfer summaries across 30 seeds.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1814"/>
        <w:gridCol w:w="1814"/>
        <w:gridCol w:w="1814"/>
        <w:gridCol w:w="1814"/>
        <w:gridCol w:w="1814"/>
      </w:tblGrid>
      <w:tr>
        <w:trPr>
          <w:tblHeader/>
          <w:cantSplit/>
        </w:trPr>
        <w:tc>
          <w:tcPr>
            <w:tcW w:type="dxa" w:w="1814"/>
          </w:tcPr>
          <w:p>
            <w:pPr>
              <w:spacing w:line="240" w:lineRule="auto"/>
            </w:pPr>
            <w:r>
              <w:rPr>
                <w:rFonts w:ascii="Times New Roman" w:hAnsi="Times New Roman"/>
                <w:b/>
                <w:color w:val="000000"/>
                <w:sz w:val="16"/>
              </w:rPr>
              <w:t>Setting</w:t>
            </w:r>
          </w:p>
        </w:tc>
        <w:tc>
          <w:tcPr>
            <w:tcW w:type="dxa" w:w="1814"/>
          </w:tcPr>
          <w:p>
            <w:pPr>
              <w:spacing w:line="240" w:lineRule="auto"/>
            </w:pPr>
            <w:r>
              <w:rPr>
                <w:rFonts w:ascii="Times New Roman" w:hAnsi="Times New Roman"/>
                <w:b/>
                <w:color w:val="000000"/>
                <w:sz w:val="16"/>
              </w:rPr>
              <w:t>Policy</w:t>
            </w:r>
          </w:p>
        </w:tc>
        <w:tc>
          <w:tcPr>
            <w:tcW w:type="dxa" w:w="1814"/>
          </w:tcPr>
          <w:p>
            <w:pPr>
              <w:spacing w:line="240" w:lineRule="auto"/>
            </w:pPr>
            <w:r>
              <w:rPr>
                <w:rFonts w:ascii="Times New Roman" w:hAnsi="Times New Roman"/>
                <w:b/>
                <w:color w:val="000000"/>
                <w:sz w:val="16"/>
              </w:rPr>
              <w:t>Delivery %</w:t>
            </w:r>
          </w:p>
        </w:tc>
        <w:tc>
          <w:tcPr>
            <w:tcW w:type="dxa" w:w="1814"/>
          </w:tcPr>
          <w:p>
            <w:pPr>
              <w:spacing w:line="240" w:lineRule="auto"/>
            </w:pPr>
            <w:r>
              <w:rPr>
                <w:rFonts w:ascii="Times New Roman" w:hAnsi="Times New Roman"/>
                <w:b/>
                <w:color w:val="000000"/>
                <w:sz w:val="16"/>
              </w:rPr>
              <w:t>C0 delay ms</w:t>
            </w:r>
          </w:p>
        </w:tc>
        <w:tc>
          <w:tcPr>
            <w:tcW w:type="dxa" w:w="1814"/>
          </w:tcPr>
          <w:p>
            <w:pPr>
              <w:spacing w:line="240" w:lineRule="auto"/>
            </w:pPr>
            <w:r>
              <w:rPr>
                <w:rFonts w:ascii="Times New Roman" w:hAnsi="Times New Roman"/>
                <w:b/>
                <w:color w:val="000000"/>
                <w:sz w:val="16"/>
              </w:rPr>
              <w:t>C0 violation %</w:t>
            </w:r>
          </w:p>
        </w:tc>
      </w:tr>
      <w:tr>
        <w:trPr>
          <w:cantSplit/>
        </w:trPr>
        <w:tc>
          <w:tcPr>
            <w:tcW w:type="dxa" w:w="1814"/>
          </w:tcPr>
          <w:p>
            <w:pPr>
              <w:spacing w:line="240" w:lineRule="auto"/>
            </w:pPr>
            <w:r>
              <w:rPr>
                <w:rFonts w:ascii="Times New Roman" w:hAnsi="Times New Roman"/>
                <w:color w:val="000000"/>
                <w:sz w:val="16"/>
              </w:rPr>
              <w:t>attack10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98.01</w:t>
            </w:r>
          </w:p>
        </w:tc>
        <w:tc>
          <w:tcPr>
            <w:tcW w:type="dxa" w:w="1814"/>
          </w:tcPr>
          <w:p>
            <w:pPr>
              <w:spacing w:line="240" w:lineRule="auto"/>
            </w:pPr>
            <w:r>
              <w:rPr>
                <w:rFonts w:ascii="Times New Roman" w:hAnsi="Times New Roman"/>
                <w:color w:val="000000"/>
                <w:sz w:val="16"/>
              </w:rPr>
              <w:t>49.66</w:t>
            </w:r>
          </w:p>
        </w:tc>
        <w:tc>
          <w:tcPr>
            <w:tcW w:type="dxa" w:w="1814"/>
          </w:tcPr>
          <w:p>
            <w:pPr>
              <w:spacing w:line="240" w:lineRule="auto"/>
            </w:pPr>
            <w:r>
              <w:rPr>
                <w:rFonts w:ascii="Times New Roman" w:hAnsi="Times New Roman"/>
                <w:color w:val="000000"/>
                <w:sz w:val="16"/>
              </w:rPr>
              <w:t>7.36</w:t>
            </w:r>
          </w:p>
        </w:tc>
      </w:tr>
      <w:tr>
        <w:trPr>
          <w:cantSplit/>
        </w:trPr>
        <w:tc>
          <w:tcPr>
            <w:tcW w:type="dxa" w:w="1814"/>
          </w:tcPr>
          <w:p>
            <w:pPr>
              <w:spacing w:line="240" w:lineRule="auto"/>
            </w:pPr>
            <w:r>
              <w:rPr>
                <w:rFonts w:ascii="Times New Roman" w:hAnsi="Times New Roman"/>
                <w:color w:val="000000"/>
                <w:sz w:val="16"/>
              </w:rPr>
              <w:t>attack10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97.15</w:t>
            </w:r>
          </w:p>
        </w:tc>
        <w:tc>
          <w:tcPr>
            <w:tcW w:type="dxa" w:w="1814"/>
          </w:tcPr>
          <w:p>
            <w:pPr>
              <w:spacing w:line="240" w:lineRule="auto"/>
            </w:pPr>
            <w:r>
              <w:rPr>
                <w:rFonts w:ascii="Times New Roman" w:hAnsi="Times New Roman"/>
                <w:color w:val="000000"/>
                <w:sz w:val="16"/>
              </w:rPr>
              <w:t>48.95</w:t>
            </w:r>
          </w:p>
        </w:tc>
        <w:tc>
          <w:tcPr>
            <w:tcW w:type="dxa" w:w="1814"/>
          </w:tcPr>
          <w:p>
            <w:pPr>
              <w:spacing w:line="240" w:lineRule="auto"/>
            </w:pPr>
            <w:r>
              <w:rPr>
                <w:rFonts w:ascii="Times New Roman" w:hAnsi="Times New Roman"/>
                <w:color w:val="000000"/>
                <w:sz w:val="16"/>
              </w:rPr>
              <w:t>8.13</w:t>
            </w:r>
          </w:p>
        </w:tc>
      </w:tr>
      <w:tr>
        <w:trPr>
          <w:cantSplit/>
        </w:trPr>
        <w:tc>
          <w:tcPr>
            <w:tcW w:type="dxa" w:w="1814"/>
          </w:tcPr>
          <w:p>
            <w:pPr>
              <w:spacing w:line="240" w:lineRule="auto"/>
            </w:pPr>
            <w:r>
              <w:rPr>
                <w:rFonts w:ascii="Times New Roman" w:hAnsi="Times New Roman"/>
                <w:color w:val="000000"/>
                <w:sz w:val="16"/>
              </w:rPr>
              <w:t>attack40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93.83</w:t>
            </w:r>
          </w:p>
        </w:tc>
        <w:tc>
          <w:tcPr>
            <w:tcW w:type="dxa" w:w="1814"/>
          </w:tcPr>
          <w:p>
            <w:pPr>
              <w:spacing w:line="240" w:lineRule="auto"/>
            </w:pPr>
            <w:r>
              <w:rPr>
                <w:rFonts w:ascii="Times New Roman" w:hAnsi="Times New Roman"/>
                <w:color w:val="000000"/>
                <w:sz w:val="16"/>
              </w:rPr>
              <w:t>53.46</w:t>
            </w:r>
          </w:p>
        </w:tc>
        <w:tc>
          <w:tcPr>
            <w:tcW w:type="dxa" w:w="1814"/>
          </w:tcPr>
          <w:p>
            <w:pPr>
              <w:spacing w:line="240" w:lineRule="auto"/>
            </w:pPr>
            <w:r>
              <w:rPr>
                <w:rFonts w:ascii="Times New Roman" w:hAnsi="Times New Roman"/>
                <w:color w:val="000000"/>
                <w:sz w:val="16"/>
              </w:rPr>
              <w:t>15.74</w:t>
            </w:r>
          </w:p>
        </w:tc>
      </w:tr>
      <w:tr>
        <w:trPr>
          <w:cantSplit/>
        </w:trPr>
        <w:tc>
          <w:tcPr>
            <w:tcW w:type="dxa" w:w="1814"/>
          </w:tcPr>
          <w:p>
            <w:pPr>
              <w:spacing w:line="240" w:lineRule="auto"/>
            </w:pPr>
            <w:r>
              <w:rPr>
                <w:rFonts w:ascii="Times New Roman" w:hAnsi="Times New Roman"/>
                <w:color w:val="000000"/>
                <w:sz w:val="16"/>
              </w:rPr>
              <w:t>attack40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89.94</w:t>
            </w:r>
          </w:p>
        </w:tc>
        <w:tc>
          <w:tcPr>
            <w:tcW w:type="dxa" w:w="1814"/>
          </w:tcPr>
          <w:p>
            <w:pPr>
              <w:spacing w:line="240" w:lineRule="auto"/>
            </w:pPr>
            <w:r>
              <w:rPr>
                <w:rFonts w:ascii="Times New Roman" w:hAnsi="Times New Roman"/>
                <w:color w:val="000000"/>
                <w:sz w:val="16"/>
              </w:rPr>
              <w:t>51.67</w:t>
            </w:r>
          </w:p>
        </w:tc>
        <w:tc>
          <w:tcPr>
            <w:tcW w:type="dxa" w:w="1814"/>
          </w:tcPr>
          <w:p>
            <w:pPr>
              <w:spacing w:line="240" w:lineRule="auto"/>
            </w:pPr>
            <w:r>
              <w:rPr>
                <w:rFonts w:ascii="Times New Roman" w:hAnsi="Times New Roman"/>
                <w:color w:val="000000"/>
                <w:sz w:val="16"/>
              </w:rPr>
              <w:t>18.43</w:t>
            </w:r>
          </w:p>
        </w:tc>
      </w:tr>
      <w:tr>
        <w:trPr>
          <w:cantSplit/>
        </w:trPr>
        <w:tc>
          <w:tcPr>
            <w:tcW w:type="dxa" w:w="1814"/>
          </w:tcPr>
          <w:p>
            <w:pPr>
              <w:spacing w:line="240" w:lineRule="auto"/>
            </w:pPr>
            <w:r>
              <w:rPr>
                <w:rFonts w:ascii="Times New Roman" w:hAnsi="Times New Roman"/>
                <w:color w:val="000000"/>
                <w:sz w:val="16"/>
              </w:rPr>
              <w:t>nominal</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96.92</w:t>
            </w:r>
          </w:p>
        </w:tc>
        <w:tc>
          <w:tcPr>
            <w:tcW w:type="dxa" w:w="1814"/>
          </w:tcPr>
          <w:p>
            <w:pPr>
              <w:spacing w:line="240" w:lineRule="auto"/>
            </w:pPr>
            <w:r>
              <w:rPr>
                <w:rFonts w:ascii="Times New Roman" w:hAnsi="Times New Roman"/>
                <w:color w:val="000000"/>
                <w:sz w:val="16"/>
              </w:rPr>
              <w:t>51.11</w:t>
            </w:r>
          </w:p>
        </w:tc>
        <w:tc>
          <w:tcPr>
            <w:tcW w:type="dxa" w:w="1814"/>
          </w:tcPr>
          <w:p>
            <w:pPr>
              <w:spacing w:line="240" w:lineRule="auto"/>
            </w:pPr>
            <w:r>
              <w:rPr>
                <w:rFonts w:ascii="Times New Roman" w:hAnsi="Times New Roman"/>
                <w:color w:val="000000"/>
                <w:sz w:val="16"/>
              </w:rPr>
              <w:t>9.68</w:t>
            </w:r>
          </w:p>
        </w:tc>
      </w:tr>
      <w:tr>
        <w:trPr>
          <w:cantSplit/>
        </w:trPr>
        <w:tc>
          <w:tcPr>
            <w:tcW w:type="dxa" w:w="1814"/>
          </w:tcPr>
          <w:p>
            <w:pPr>
              <w:spacing w:line="240" w:lineRule="auto"/>
            </w:pPr>
            <w:r>
              <w:rPr>
                <w:rFonts w:ascii="Times New Roman" w:hAnsi="Times New Roman"/>
                <w:color w:val="000000"/>
                <w:sz w:val="16"/>
              </w:rPr>
              <w:t>nominal</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94.96</w:t>
            </w:r>
          </w:p>
        </w:tc>
        <w:tc>
          <w:tcPr>
            <w:tcW w:type="dxa" w:w="1814"/>
          </w:tcPr>
          <w:p>
            <w:pPr>
              <w:spacing w:line="240" w:lineRule="auto"/>
            </w:pPr>
            <w:r>
              <w:rPr>
                <w:rFonts w:ascii="Times New Roman" w:hAnsi="Times New Roman"/>
                <w:color w:val="000000"/>
                <w:sz w:val="16"/>
              </w:rPr>
              <w:t>50.29</w:t>
            </w:r>
          </w:p>
        </w:tc>
        <w:tc>
          <w:tcPr>
            <w:tcW w:type="dxa" w:w="1814"/>
          </w:tcPr>
          <w:p>
            <w:pPr>
              <w:spacing w:line="240" w:lineRule="auto"/>
            </w:pPr>
            <w:r>
              <w:rPr>
                <w:rFonts w:ascii="Times New Roman" w:hAnsi="Times New Roman"/>
                <w:color w:val="000000"/>
                <w:sz w:val="16"/>
              </w:rPr>
              <w:t>11.20</w:t>
            </w:r>
          </w:p>
        </w:tc>
      </w:tr>
      <w:tr>
        <w:trPr>
          <w:cantSplit/>
        </w:trPr>
        <w:tc>
          <w:tcPr>
            <w:tcW w:type="dxa" w:w="1814"/>
          </w:tcPr>
          <w:p>
            <w:pPr>
              <w:spacing w:line="240" w:lineRule="auto"/>
            </w:pPr>
            <w:r>
              <w:rPr>
                <w:rFonts w:ascii="Times New Roman" w:hAnsi="Times New Roman"/>
                <w:color w:val="000000"/>
                <w:sz w:val="16"/>
              </w:rPr>
              <w:t>size200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95.92</w:t>
            </w:r>
          </w:p>
        </w:tc>
        <w:tc>
          <w:tcPr>
            <w:tcW w:type="dxa" w:w="1814"/>
          </w:tcPr>
          <w:p>
            <w:pPr>
              <w:spacing w:line="240" w:lineRule="auto"/>
            </w:pPr>
            <w:r>
              <w:rPr>
                <w:rFonts w:ascii="Times New Roman" w:hAnsi="Times New Roman"/>
                <w:color w:val="000000"/>
                <w:sz w:val="16"/>
              </w:rPr>
              <w:t>51.82</w:t>
            </w:r>
          </w:p>
        </w:tc>
        <w:tc>
          <w:tcPr>
            <w:tcW w:type="dxa" w:w="1814"/>
          </w:tcPr>
          <w:p>
            <w:pPr>
              <w:spacing w:line="240" w:lineRule="auto"/>
            </w:pPr>
            <w:r>
              <w:rPr>
                <w:rFonts w:ascii="Times New Roman" w:hAnsi="Times New Roman"/>
                <w:color w:val="000000"/>
                <w:sz w:val="16"/>
              </w:rPr>
              <w:t>11.52</w:t>
            </w:r>
          </w:p>
        </w:tc>
      </w:tr>
      <w:tr>
        <w:trPr>
          <w:cantSplit/>
        </w:trPr>
        <w:tc>
          <w:tcPr>
            <w:tcW w:type="dxa" w:w="1814"/>
          </w:tcPr>
          <w:p>
            <w:pPr>
              <w:spacing w:line="240" w:lineRule="auto"/>
            </w:pPr>
            <w:r>
              <w:rPr>
                <w:rFonts w:ascii="Times New Roman" w:hAnsi="Times New Roman"/>
                <w:color w:val="000000"/>
                <w:sz w:val="16"/>
              </w:rPr>
              <w:t>size200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94.15</w:t>
            </w:r>
          </w:p>
        </w:tc>
        <w:tc>
          <w:tcPr>
            <w:tcW w:type="dxa" w:w="1814"/>
          </w:tcPr>
          <w:p>
            <w:pPr>
              <w:spacing w:line="240" w:lineRule="auto"/>
            </w:pPr>
            <w:r>
              <w:rPr>
                <w:rFonts w:ascii="Times New Roman" w:hAnsi="Times New Roman"/>
                <w:color w:val="000000"/>
                <w:sz w:val="16"/>
              </w:rPr>
              <w:t>51.26</w:t>
            </w:r>
          </w:p>
        </w:tc>
        <w:tc>
          <w:tcPr>
            <w:tcW w:type="dxa" w:w="1814"/>
          </w:tcPr>
          <w:p>
            <w:pPr>
              <w:spacing w:line="240" w:lineRule="auto"/>
            </w:pPr>
            <w:r>
              <w:rPr>
                <w:rFonts w:ascii="Times New Roman" w:hAnsi="Times New Roman"/>
                <w:color w:val="000000"/>
                <w:sz w:val="16"/>
              </w:rPr>
              <w:t>13.33</w:t>
            </w:r>
          </w:p>
        </w:tc>
      </w:tr>
    </w:tbl>
    <w:p>
      <w:pPr>
        <w:pageBreakBefore/>
      </w:pPr>
    </w:p>
    <w:p>
      <w:pPr>
        <w:keepNext/>
        <w:pageBreakBefore w:val="0"/>
      </w:pPr>
      <w:r>
        <w:rPr>
          <w:rFonts w:ascii="Times New Roman" w:hAnsi="Times New Roman"/>
          <w:color w:val="000000"/>
          <w:sz w:val="19"/>
        </w:rPr>
        <w:t>Table X. Shared-target UDP diagnostic across 30 paired fixtures.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rPr>
          <w:cantSplit/>
        </w:trPr>
        <w:tc>
          <w:tcPr>
            <w:tcW w:type="dxa" w:w="2268"/>
          </w:tcPr>
          <w:p>
            <w:pPr>
              <w:spacing w:line="240" w:lineRule="auto"/>
            </w:pPr>
            <w:r>
              <w:rPr>
                <w:rFonts w:ascii="Times New Roman" w:hAnsi="Times New Roman"/>
                <w:b/>
                <w:color w:val="000000"/>
                <w:sz w:val="16"/>
              </w:rPr>
              <w:t>Policy</w:t>
            </w:r>
          </w:p>
        </w:tc>
        <w:tc>
          <w:tcPr>
            <w:tcW w:type="dxa" w:w="2268"/>
          </w:tcPr>
          <w:p>
            <w:pPr>
              <w:spacing w:line="240" w:lineRule="auto"/>
            </w:pPr>
            <w:r>
              <w:rPr>
                <w:rFonts w:ascii="Times New Roman" w:hAnsi="Times New Roman"/>
                <w:b/>
                <w:color w:val="000000"/>
                <w:sz w:val="16"/>
              </w:rPr>
              <w:t>Parameters</w:t>
            </w:r>
          </w:p>
        </w:tc>
        <w:tc>
          <w:tcPr>
            <w:tcW w:type="dxa" w:w="2268"/>
          </w:tcPr>
          <w:p>
            <w:pPr>
              <w:spacing w:line="240" w:lineRule="auto"/>
            </w:pPr>
            <w:r>
              <w:rPr>
                <w:rFonts w:ascii="Times New Roman" w:hAnsi="Times New Roman"/>
                <w:b/>
                <w:color w:val="000000"/>
                <w:sz w:val="16"/>
              </w:rPr>
              <w:t>Executed runs</w:t>
            </w:r>
          </w:p>
        </w:tc>
        <w:tc>
          <w:tcPr>
            <w:tcW w:type="dxa" w:w="2268"/>
          </w:tcPr>
          <w:p>
            <w:pPr>
              <w:spacing w:line="240" w:lineRule="auto"/>
            </w:pPr>
            <w:r>
              <w:rPr>
                <w:rFonts w:ascii="Times New Roman" w:hAnsi="Times New Roman"/>
                <w:b/>
                <w:color w:val="000000"/>
                <w:sz w:val="16"/>
              </w:rPr>
              <w:t>Mean delivery %</w:t>
            </w:r>
          </w:p>
        </w:tc>
      </w:tr>
      <w:tr>
        <w:trPr>
          <w:cantSplit/>
        </w:trPr>
        <w:tc>
          <w:tcPr>
            <w:tcW w:type="dxa" w:w="2268"/>
          </w:tcPr>
          <w:p>
            <w:pPr>
              <w:spacing w:line="240" w:lineRule="auto"/>
            </w:pPr>
            <w:r>
              <w:rPr>
                <w:rFonts w:ascii="Times New Roman" w:hAnsi="Times New Roman"/>
                <w:color w:val="000000"/>
                <w:sz w:val="16"/>
              </w:rPr>
              <w:t>Capacity MLP</w:t>
            </w:r>
          </w:p>
        </w:tc>
        <w:tc>
          <w:tcPr>
            <w:tcW w:type="dxa" w:w="2268"/>
          </w:tcPr>
          <w:p>
            <w:pPr>
              <w:spacing w:line="240" w:lineRule="auto"/>
            </w:pPr>
            <w:r>
              <w:rPr>
                <w:rFonts w:ascii="Times New Roman" w:hAnsi="Times New Roman"/>
                <w:color w:val="000000"/>
                <w:sz w:val="16"/>
              </w:rPr>
              <w:t>63,554</w:t>
            </w:r>
          </w:p>
        </w:tc>
        <w:tc>
          <w:tcPr>
            <w:tcW w:type="dxa" w:w="2268"/>
          </w:tcPr>
          <w:p>
            <w:pPr>
              <w:spacing w:line="240" w:lineRule="auto"/>
            </w:pPr>
            <w:r>
              <w:rPr>
                <w:rFonts w:ascii="Times New Roman" w:hAnsi="Times New Roman"/>
                <w:color w:val="000000"/>
                <w:sz w:val="16"/>
              </w:rPr>
              <w:t>60</w:t>
            </w:r>
          </w:p>
        </w:tc>
        <w:tc>
          <w:tcPr>
            <w:tcW w:type="dxa" w:w="2268"/>
          </w:tcPr>
          <w:p>
            <w:pPr>
              <w:spacing w:line="240" w:lineRule="auto"/>
            </w:pPr>
            <w:r>
              <w:rPr>
                <w:rFonts w:ascii="Times New Roman" w:hAnsi="Times New Roman"/>
                <w:color w:val="000000"/>
                <w:sz w:val="16"/>
              </w:rPr>
              <w:t>32.22</w:t>
            </w:r>
          </w:p>
        </w:tc>
      </w:tr>
      <w:tr>
        <w:trPr>
          <w:cantSplit/>
        </w:trPr>
        <w:tc>
          <w:tcPr>
            <w:tcW w:type="dxa" w:w="2268"/>
          </w:tcPr>
          <w:p>
            <w:pPr>
              <w:spacing w:line="240" w:lineRule="auto"/>
            </w:pPr>
            <w:r>
              <w:rPr>
                <w:rFonts w:ascii="Times New Roman" w:hAnsi="Times New Roman"/>
                <w:color w:val="000000"/>
                <w:sz w:val="16"/>
              </w:rPr>
              <w:t>Attention</w:t>
            </w:r>
          </w:p>
        </w:tc>
        <w:tc>
          <w:tcPr>
            <w:tcW w:type="dxa" w:w="2268"/>
          </w:tcPr>
          <w:p>
            <w:pPr>
              <w:spacing w:line="240" w:lineRule="auto"/>
            </w:pPr>
            <w:r>
              <w:rPr>
                <w:rFonts w:ascii="Times New Roman" w:hAnsi="Times New Roman"/>
                <w:color w:val="000000"/>
                <w:sz w:val="16"/>
              </w:rPr>
              <w:t>63,368</w:t>
            </w:r>
          </w:p>
        </w:tc>
        <w:tc>
          <w:tcPr>
            <w:tcW w:type="dxa" w:w="2268"/>
          </w:tcPr>
          <w:p>
            <w:pPr>
              <w:spacing w:line="240" w:lineRule="auto"/>
            </w:pPr>
            <w:r>
              <w:rPr>
                <w:rFonts w:ascii="Times New Roman" w:hAnsi="Times New Roman"/>
                <w:color w:val="000000"/>
                <w:sz w:val="16"/>
              </w:rPr>
              <w:t>60</w:t>
            </w:r>
          </w:p>
        </w:tc>
        <w:tc>
          <w:tcPr>
            <w:tcW w:type="dxa" w:w="2268"/>
          </w:tcPr>
          <w:p>
            <w:pPr>
              <w:spacing w:line="240" w:lineRule="auto"/>
            </w:pPr>
            <w:r>
              <w:rPr>
                <w:rFonts w:ascii="Times New Roman" w:hAnsi="Times New Roman"/>
                <w:color w:val="000000"/>
                <w:sz w:val="16"/>
              </w:rPr>
              <w:t>85.39</w:t>
            </w:r>
          </w:p>
        </w:tc>
      </w:tr>
    </w:tbl>
    <w:p>
      <w:pPr>
        <w:pageBreakBefore/>
      </w:pPr>
    </w:p>
    <w:p>
      <w:pPr>
        <w:keepNext/>
        <w:pageBreakBefore w:val="0"/>
        <w:spacing w:line="480" w:lineRule="auto"/>
      </w:pPr>
      <w:r>
        <w:rPr>
          <w:rFonts w:ascii="Times New Roman" w:hAnsi="Times New Roman"/>
          <w:color w:val="000000"/>
          <w:sz w:val="19"/>
        </w:rPr>
        <w:drawing>
          <wp:inline xmlns:a="http://schemas.openxmlformats.org/drawingml/2006/main" xmlns:pic="http://schemas.openxmlformats.org/drawingml/2006/picture">
            <wp:extent cx="5760000" cy="2428380"/>
            <wp:docPr id="14" name="Picture 14"/>
            <wp:cNvGraphicFramePr>
              <a:graphicFrameLocks noChangeAspect="1"/>
            </wp:cNvGraphicFramePr>
            <a:graphic>
              <a:graphicData uri="http://schemas.openxmlformats.org/drawingml/2006/picture">
                <pic:pic>
                  <pic:nvPicPr>
                    <pic:cNvPr id="0" name="paired_delivery.png"/>
                    <pic:cNvPicPr/>
                  </pic:nvPicPr>
                  <pic:blipFill>
                    <a:blip r:embed="rId18"/>
                    <a:stretch>
                      <a:fillRect/>
                    </a:stretch>
                  </pic:blipFill>
                  <pic:spPr>
                    <a:xfrm>
                      <a:off x="0" y="0"/>
                      <a:ext cx="5760000" cy="2428380"/>
                    </a:xfrm>
                    <a:prstGeom prst="rect"/>
                  </pic:spPr>
                </pic:pic>
              </a:graphicData>
            </a:graphic>
          </wp:inline>
        </w:drawing>
      </w:r>
    </w:p>
    <w:p>
      <w:pPr>
        <w:pageBreakBefore w:val="0"/>
      </w:pPr>
      <w:r>
        <w:rPr>
          <w:rFonts w:ascii="Times New Roman" w:hAnsi="Times New Roman"/>
          <w:color w:val="000000"/>
          <w:sz w:val="19"/>
        </w:rPr>
        <w:t>Fig. 7. Shared-target UDP delivery. Each fixture averages two fault-target strata; lines join paired controller outcomes.</w:t>
      </w:r>
    </w:p>
    <w:p>
      <w:pPr>
        <w:pageBreakBefore/>
      </w:pPr>
    </w:p>
    <w:p>
      <w:pPr>
        <w:keepNext/>
        <w:pageBreakBefore w:val="0"/>
        <w:spacing w:after="80" w:line="480" w:lineRule="auto"/>
      </w:pPr>
      <w:r>
        <w:rPr>
          <w:rFonts w:ascii="Times New Roman" w:hAnsi="Times New Roman"/>
          <w:color w:val="000000"/>
          <w:sz w:val="19"/>
        </w:rPr>
        <w:t>Table XI. Historical attention constraint rates across 30 seeds.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rPr>
          <w:tblHeader/>
          <w:cantSplit/>
        </w:trPr>
        <w:tc>
          <w:tcPr>
            <w:tcW w:type="dxa" w:w="2268"/>
          </w:tcPr>
          <w:p>
            <w:pPr>
              <w:spacing w:line="240" w:lineRule="auto"/>
            </w:pPr>
            <w:r>
              <w:rPr>
                <w:rFonts w:ascii="Times New Roman" w:hAnsi="Times New Roman"/>
                <w:b/>
                <w:color w:val="000000"/>
                <w:sz w:val="16"/>
              </w:rPr>
              <w:t>Class</w:t>
            </w:r>
          </w:p>
        </w:tc>
        <w:tc>
          <w:tcPr>
            <w:tcW w:type="dxa" w:w="2268"/>
          </w:tcPr>
          <w:p>
            <w:pPr>
              <w:spacing w:line="240" w:lineRule="auto"/>
            </w:pPr>
            <w:r>
              <w:rPr>
                <w:rFonts w:ascii="Times New Roman" w:hAnsi="Times New Roman"/>
                <w:b/>
                <w:color w:val="000000"/>
                <w:sz w:val="16"/>
              </w:rPr>
              <w:t>Total violation rate</w:t>
            </w:r>
          </w:p>
        </w:tc>
        <w:tc>
          <w:tcPr>
            <w:tcW w:type="dxa" w:w="2268"/>
          </w:tcPr>
          <w:p>
            <w:pPr>
              <w:spacing w:line="240" w:lineRule="auto"/>
            </w:pPr>
            <w:r>
              <w:rPr>
                <w:rFonts w:ascii="Times New Roman" w:hAnsi="Times New Roman"/>
                <w:b/>
                <w:color w:val="000000"/>
                <w:sz w:val="16"/>
              </w:rPr>
              <w:t>Loss rate</w:t>
            </w:r>
          </w:p>
        </w:tc>
        <w:tc>
          <w:tcPr>
            <w:tcW w:type="dxa" w:w="2268"/>
          </w:tcPr>
          <w:p>
            <w:pPr>
              <w:spacing w:line="240" w:lineRule="auto"/>
            </w:pPr>
            <w:r>
              <w:rPr>
                <w:rFonts w:ascii="Times New Roman" w:hAnsi="Times New Roman"/>
                <w:b/>
                <w:color w:val="000000"/>
                <w:sz w:val="16"/>
              </w:rPr>
              <w:t>Budget for each channel</w:t>
            </w:r>
          </w:p>
        </w:tc>
      </w:tr>
      <w:tr>
        <w:trPr>
          <w:cantSplit/>
        </w:trPr>
        <w:tc>
          <w:tcPr>
            <w:tcW w:type="dxa" w:w="2268"/>
          </w:tcPr>
          <w:p>
            <w:pPr>
              <w:spacing w:line="240" w:lineRule="auto"/>
            </w:pPr>
            <w:r>
              <w:rPr>
                <w:rFonts w:ascii="Times New Roman" w:hAnsi="Times New Roman"/>
                <w:color w:val="000000"/>
                <w:sz w:val="16"/>
              </w:rPr>
              <w:t>0</w:t>
            </w:r>
          </w:p>
        </w:tc>
        <w:tc>
          <w:tcPr>
            <w:tcW w:type="dxa" w:w="2268"/>
          </w:tcPr>
          <w:p>
            <w:pPr>
              <w:spacing w:line="240" w:lineRule="auto"/>
            </w:pPr>
            <w:r>
              <w:rPr>
                <w:rFonts w:ascii="Times New Roman" w:hAnsi="Times New Roman"/>
                <w:color w:val="000000"/>
                <w:sz w:val="16"/>
              </w:rPr>
              <w:t>0.1242</w:t>
            </w:r>
          </w:p>
        </w:tc>
        <w:tc>
          <w:tcPr>
            <w:tcW w:type="dxa" w:w="2268"/>
          </w:tcPr>
          <w:p>
            <w:pPr>
              <w:spacing w:line="240" w:lineRule="auto"/>
            </w:pPr>
            <w:r>
              <w:rPr>
                <w:rFonts w:ascii="Times New Roman" w:hAnsi="Times New Roman"/>
                <w:color w:val="000000"/>
                <w:sz w:val="16"/>
              </w:rPr>
              <w:t>0.0480</w:t>
            </w:r>
          </w:p>
        </w:tc>
        <w:tc>
          <w:tcPr>
            <w:tcW w:type="dxa" w:w="2268"/>
          </w:tcPr>
          <w:p>
            <w:pPr>
              <w:spacing w:line="240" w:lineRule="auto"/>
            </w:pPr>
            <w:r>
              <w:rPr>
                <w:rFonts w:ascii="Times New Roman" w:hAnsi="Times New Roman"/>
                <w:color w:val="000000"/>
                <w:sz w:val="16"/>
              </w:rPr>
              <w:t>0.015</w:t>
            </w:r>
          </w:p>
        </w:tc>
      </w:tr>
      <w:tr>
        <w:trPr>
          <w:cantSplit/>
        </w:trPr>
        <w:tc>
          <w:tcPr>
            <w:tcW w:type="dxa" w:w="2268"/>
          </w:tcPr>
          <w:p>
            <w:pPr>
              <w:spacing w:line="240" w:lineRule="auto"/>
            </w:pPr>
            <w:r>
              <w:rPr>
                <w:rFonts w:ascii="Times New Roman" w:hAnsi="Times New Roman"/>
                <w:color w:val="000000"/>
                <w:sz w:val="16"/>
              </w:rPr>
              <w:t>1</w:t>
            </w:r>
          </w:p>
        </w:tc>
        <w:tc>
          <w:tcPr>
            <w:tcW w:type="dxa" w:w="2268"/>
          </w:tcPr>
          <w:p>
            <w:pPr>
              <w:spacing w:line="240" w:lineRule="auto"/>
            </w:pPr>
            <w:r>
              <w:rPr>
                <w:rFonts w:ascii="Times New Roman" w:hAnsi="Times New Roman"/>
                <w:color w:val="000000"/>
                <w:sz w:val="16"/>
              </w:rPr>
              <w:t>0.0444</w:t>
            </w:r>
          </w:p>
        </w:tc>
        <w:tc>
          <w:tcPr>
            <w:tcW w:type="dxa" w:w="2268"/>
          </w:tcPr>
          <w:p>
            <w:pPr>
              <w:spacing w:line="240" w:lineRule="auto"/>
            </w:pPr>
            <w:r>
              <w:rPr>
                <w:rFonts w:ascii="Times New Roman" w:hAnsi="Times New Roman"/>
                <w:color w:val="000000"/>
                <w:sz w:val="16"/>
              </w:rPr>
              <w:t>0.0444</w:t>
            </w:r>
          </w:p>
        </w:tc>
        <w:tc>
          <w:tcPr>
            <w:tcW w:type="dxa" w:w="2268"/>
          </w:tcPr>
          <w:p>
            <w:pPr>
              <w:spacing w:line="240" w:lineRule="auto"/>
            </w:pPr>
            <w:r>
              <w:rPr>
                <w:rFonts w:ascii="Times New Roman" w:hAnsi="Times New Roman"/>
                <w:color w:val="000000"/>
                <w:sz w:val="16"/>
              </w:rPr>
              <w:t>0.04</w:t>
            </w:r>
          </w:p>
        </w:tc>
      </w:tr>
      <w:tr>
        <w:trPr>
          <w:cantSplit/>
        </w:trPr>
        <w:tc>
          <w:tcPr>
            <w:tcW w:type="dxa" w:w="2268"/>
          </w:tcPr>
          <w:p>
            <w:pPr>
              <w:spacing w:line="240" w:lineRule="auto"/>
            </w:pPr>
            <w:r>
              <w:rPr>
                <w:rFonts w:ascii="Times New Roman" w:hAnsi="Times New Roman"/>
                <w:color w:val="000000"/>
                <w:sz w:val="16"/>
              </w:rPr>
              <w:t>2</w:t>
            </w:r>
          </w:p>
        </w:tc>
        <w:tc>
          <w:tcPr>
            <w:tcW w:type="dxa" w:w="2268"/>
          </w:tcPr>
          <w:p>
            <w:pPr>
              <w:spacing w:line="240" w:lineRule="auto"/>
            </w:pPr>
            <w:r>
              <w:rPr>
                <w:rFonts w:ascii="Times New Roman" w:hAnsi="Times New Roman"/>
                <w:color w:val="000000"/>
                <w:sz w:val="16"/>
              </w:rPr>
              <w:t>0.0455</w:t>
            </w:r>
          </w:p>
        </w:tc>
        <w:tc>
          <w:tcPr>
            <w:tcW w:type="dxa" w:w="2268"/>
          </w:tcPr>
          <w:p>
            <w:pPr>
              <w:spacing w:line="240" w:lineRule="auto"/>
            </w:pPr>
            <w:r>
              <w:rPr>
                <w:rFonts w:ascii="Times New Roman" w:hAnsi="Times New Roman"/>
                <w:color w:val="000000"/>
                <w:sz w:val="16"/>
              </w:rPr>
              <w:t>0.0455</w:t>
            </w:r>
          </w:p>
        </w:tc>
        <w:tc>
          <w:tcPr>
            <w:tcW w:type="dxa" w:w="2268"/>
          </w:tcPr>
          <w:p>
            <w:pPr>
              <w:spacing w:line="240" w:lineRule="auto"/>
            </w:pPr>
            <w:r>
              <w:rPr>
                <w:rFonts w:ascii="Times New Roman" w:hAnsi="Times New Roman"/>
                <w:color w:val="000000"/>
                <w:sz w:val="16"/>
              </w:rPr>
              <w:t>0.1</w:t>
            </w:r>
          </w:p>
        </w:tc>
      </w:tr>
    </w:tbl>
    <w:sectPr w:rsidR="008867B5" w:rsidSect="00034616">
      <w:headerReference w:type="default" r:id="rId13"/>
      <w:footerReference w:type="default" r:id="rId14"/>
      <w:pgSz w:w="11906" w:h="16838"/>
      <w:pgMar w:top="1417" w:right="1417" w:bottom="1417" w:left="1417" w:header="720" w:footer="720" w:gutter="0"/>
      <w:cols w:space="720"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034A83" w14:textId="77777777" w:rsidR="00F43BA7" w:rsidRDefault="00F43BA7">
      <w:pPr>
        <w:spacing w:after="0" w:line="240" w:lineRule="auto"/>
      </w:pPr>
      <w:r>
        <w:separator/>
      </w:r>
    </w:p>
  </w:endnote>
  <w:endnote w:type="continuationSeparator" w:id="0">
    <w:p w14:paraId="61B0F5A7" w14:textId="77777777" w:rsidR="00F43BA7" w:rsidRDefault="00F4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44FB" w14:textId="77777777" w:rsidR="008867B5" w:rsidRDefault="00000000">
    <w:pP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94ED2" w14:textId="77777777" w:rsidR="00F43BA7" w:rsidRDefault="00F43BA7">
      <w:pPr>
        <w:spacing w:after="0" w:line="240" w:lineRule="auto"/>
      </w:pPr>
      <w:r>
        <w:separator/>
      </w:r>
    </w:p>
  </w:footnote>
  <w:footnote w:type="continuationSeparator" w:id="0">
    <w:p w14:paraId="0EA24A00" w14:textId="77777777" w:rsidR="00F43BA7" w:rsidRDefault="00F4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4F5E5" w14:textId="402FAEBF" w:rsidR="008867B5" w:rsidRDefault="008867B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53256B7"/>
    <w:multiLevelType w:val="multilevel"/>
    <w:tmpl w:val="CF7E9648"/>
    <w:lvl w:ilvl="0">
      <w:start w:val="1"/>
      <w:numFmt w:val="decimal"/>
      <w:pStyle w:val="ListBullet"/>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BA710A9"/>
    <w:multiLevelType w:val="multilevel"/>
    <w:tmpl w:val="A36E4D10"/>
    <w:lvl w:ilvl="0">
      <w:start w:val="1"/>
      <w:numFmt w:val="decimal"/>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104167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67B5"/>
    <w:rsid w:val="009E59DE"/>
    <w:rsid w:val="00A0540E"/>
    <w:rsid w:val="00AA1D8D"/>
    <w:rsid w:val="00B47730"/>
    <w:rsid w:val="00BA183F"/>
    <w:rsid w:val="00C17CD0"/>
    <w:rsid w:val="00C53618"/>
    <w:rsid w:val="00CB0664"/>
    <w:rsid w:val="00D556B0"/>
    <w:rsid w:val="00F43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74AAC"/>
  <w14:defaultImageDpi w14:val="300"/>
  <w15:docId w15:val="{731AB30D-5C54-1D4B-8233-DF75C8BE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line="240" w:lineRule="auto"/>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7394</Words>
  <Characters>42146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Attention Routing for Wireless Sensor Networks with Reliability and Latency Constraints</dc:title>
  <dc:subject>JICCE redesigned manuscript review draft</dc:subject>
  <dc:creator>Shivam Bhardwaj; Jitendra Nath Srivastava; Akash Sanghi</dc:creator>
  <cp:keywords>IoT WSN routing; constrained PPO; local attention; QoS; trust</cp:keywords>
  <dc:description>Includes exploratory localhost UDP diagnostics with explicit deployment limitations.</dc:description>
  <cp:lastModifiedBy>Shivam Bhardwaj</cp:lastModifiedBy>
  <cp:revision>5</cp:revision>
  <dcterms:created xsi:type="dcterms:W3CDTF">2013-12-23T23:15:00Z</dcterms:created>
  <dcterms:modified xsi:type="dcterms:W3CDTF">2026-09-12T06:23:00Z</dcterms:modified>
  <cp:category/>
</cp:coreProperties>
</file>