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JICCE resubmission evidence record</w:t>
      </w:r>
    </w:p>
    <w:p>
      <w:r>
        <w:t>Related decision JICCE-26-0057. The redesigned study replaces ROA and deep score replay with LA-CPPO and forwarding-risk feedback. The new results improve the evidence base but do not establish realistic wireless deployment effectiveness.</w:t>
      </w:r>
    </w:p>
    <w:p>
      <w:pPr>
        <w:pStyle w:val="Heading1"/>
        <w:spacing w:before="200" w:after="80"/>
      </w:pPr>
      <w:r>
        <w:t>Reviewer A major comment 1</w:t>
      </w:r>
    </w:p>
    <w:p>
      <w:r>
        <w:t>Actual UDP datagrams now connect selected relays, independently witnessed sink receipt, Bayesian risk updates and subsequent frozen-policy inference. All 3,600 matched-comparison records passed reconstruction. Candidate features remain synthetic and relays reach the sink directly over localhost. MAC behavior, authenticated telemetry, radio energy and live IDS accuracy remain unvalidated. This concern is partly addressed, not closed.</w:t>
      </w:r>
    </w:p>
    <w:p>
      <w:pPr>
        <w:pStyle w:val="Heading1"/>
        <w:spacing w:before="200" w:after="80"/>
      </w:pPr>
      <w:r>
        <w:t>Reviewer A major comment 2</w:t>
      </w:r>
    </w:p>
    <w:p>
      <w:r>
        <w:t>The redesigned model has no supervised node-ID-suffix partition. Training and evaluation use separate environment initialization. Nominal validation retains 30 evaluation seeds and four arms; the new diagnostic adds 30 fresh fixtures and frozen checkpoints. The 120 executed diagnostic runs are averaged to 30 fixture-level pairs. Twenty-six fixtures have duplicate target choices; the manuscript discloses this. Broad field generalization is not claimed.</w:t>
      </w:r>
    </w:p>
    <w:p>
      <w:pPr>
        <w:pStyle w:val="Heading1"/>
        <w:pageBreakBefore/>
        <w:spacing w:before="200" w:after="80"/>
      </w:pPr>
      <w:r>
        <w:t>Reviewer A major comment 3</w:t>
      </w:r>
    </w:p>
    <w:p>
      <w:r>
        <w:t>The original 0.074 percentage-point ROA gain is not used to justify the redesigned method. Nominal capacity-matched co-primary superiority remains unestablished after Holm correction. In the targeted shared-fault UDP diagnostic, attention delivery is 85.39% versus 32.22% for the matched-capacity MLP, difference 53.17 percentage points, 95% CI 35.31–71.02. This diagnostic does not replace the unfavorable nominal findings or establish a universal architecture advantage.</w:t>
      </w:r>
    </w:p>
    <w:p>
      <w:pPr>
        <w:pStyle w:val="Heading1"/>
        <w:spacing w:before="200" w:after="80"/>
      </w:pPr>
      <w:r>
        <w:t>Reviewer A minor comments</w:t>
      </w:r>
    </w:p>
    <w:p>
      <w:r>
        <w:t>The revision uses Roman main section and table numbering, alphabetic subsections, a shortened abstract, native equations, independently restarted algorithm steps and IEEE-style numbered references in order of first appearance. Tables and figures are placed on separate end pages. Historical statistical plots were regenerated from raw data as vector SVG/PDF/EPS and 900-dpi PNG. The accessible society template is older; current portal requirements remain unchecked because author pages could not be retrieved.</w:t>
      </w:r>
    </w:p>
    <w:p>
      <w:pPr>
        <w:pStyle w:val="Heading1"/>
        <w:spacing w:before="200" w:after="80"/>
      </w:pPr>
      <w:r>
        <w:t>Reviewer B</w:t>
      </w:r>
    </w:p>
    <w:p>
      <w:r>
        <w:t>The earlier favorable review applies to the earlier revision. It is not represented as endorsement of the redesigned method or subsequent experiments.</w:t>
      </w:r>
    </w:p>
    <w:p>
      <w:pPr>
        <w:pStyle w:val="Heading1"/>
        <w:spacing w:before="200" w:after="80"/>
      </w:pPr>
      <w:r>
        <w:t>Reproducibility and author checks</w:t>
      </w:r>
    </w:p>
    <w:p>
      <w:r>
        <w:t>All 47 tests pass. Code, frozen checkpoints, raw outputs, protocols, paired analyses and checksums are public. The revised manuscript is a review draft, with native mathematical notation preserved. Before submission, the authors must confirm affiliation/contact details, declarations and the target submission category. No email or journal submission has been sent.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