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rPr>
          <w:rFonts w:ascii="Times New Roman" w:hAnsi="Times New Roman"/>
          <w:color w:val="000000"/>
        </w:rPr>
        <w:t>Receipt Assisted Feedback and Authenticated Policy Transfer for Wireless Sensor Routing</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Routing feedback uses airtime, yet an absent observation may say little about whether a relay forwarded a packet. We examine receipt-assisted passive feedback and the transfer of frozen routing policies to an authenticated transport. A prespecified study comprises 750 IEEE 802.15.4 simulation runs on 30 new fixtures, with active-proof, naive-passive, frozen-prior and capacity-matched policy controls. Under blackholes, delivery rises from 71.28% with active proofs to 75.94% with censored passive feedback: a paired improvement of 4.67 percentage points (95% interval 2.36–6.97; Holm-adjusted p=0.0161). Energy per delivered byte falls, although total modeled radio energy increases slightly. A separate 180-run study evaluates attention, multilayer perceptron and greedy routing with serialized neighbor state, hop authentication, replay protection and signed sink receipts. Attention delivers 81.61% of packets in benign conditions and 61.11% under selective dropping; the paired comparisons do not establish an advantage over either control. Serial-interface tests reveal a receive-time freshness error, corrected before repeat testing. Compiled radio-interface firmware then runs on four emulated Cortex-M3 boards, with all three host-policy controls delivering ten of ten packets. The evidence supports the tested feedback replacement and verifies specific implementation paths. Physical-board operation, measured energy consumption and absolute deadline compliance remain unvalidated.</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Our earlier architecture comparisons found no joint advantage over a multilayer perceptron of similar capacity. A subsequent 600-run telemetry study reached the same conclusion after correction for multiple testing and exposed the traffic cost of active proofs. Those results, including their raw outputs, are retained. They motivated the present experiment: can receipt-assisted passive feedback replace active proofs while staying within prespecified margins against a frozen-prior control on new fixtures?</w:t>
      </w:r>
    </w:p>
    <w:p>
      <w:pPr>
        <w:pStyle w:val="Heading2"/>
        <w:keepNext/>
        <w:pageBreakBefore w:val="0"/>
        <w:widowControl/>
        <w:spacing w:line="276" w:lineRule="auto" w:after="120"/>
      </w:pPr>
      <w:r>
        <w:rPr>
          <w:rFonts w:ascii="Times New Roman" w:hAnsi="Times New Roman"/>
          <w:color w:val="000000"/>
        </w:rPr>
        <w:t>1.1 Contribution and research questions</w:t>
      </w:r>
    </w:p>
    <w:p>
      <w:pPr>
        <w:keepNext w:val="0"/>
        <w:pageBreakBefore w:val="0"/>
        <w:widowControl/>
        <w:spacing w:line="276" w:lineRule="auto" w:after="120"/>
      </w:pPr>
      <w:r>
        <w:t>We compare feedback rules that differ in how they admit and retain evidence. A first-hop acknowledgment makes an observation eligible for credit; each record retains its strongest observation, and absent observations remain censored. Packet-reception callbacks connect these rules to simulated radio events. The contribution lies in the controlled comparison and its traceable implementation, building on established watchdog, censoring and learning methods. Figure 1 locates the simulator-held state, and Fig. 2 shows the observer's event logic.</w:t>
      </w:r>
    </w:p>
    <w:p>
      <w:pPr>
        <w:keepNext w:val="0"/>
        <w:pageBreakBefore w:val="0"/>
        <w:widowControl/>
        <w:spacing w:line="276" w:lineRule="auto" w:after="120"/>
      </w:pPr>
      <w:r>
        <w:t>The evaluation addresses three questions. RQ1 tests whether the replacement improves blackhole delivery over active proofs under the prespecified multiple-testing rule. RQ2 tests delivery, critical-service and energy-efficiency margins against frozen-prior attention. RQ3 examines whether naive-passive and capacity-matched controls justify attributing the difference to censoring or policy architecture. A useful replacement need not imply a unique algorithmic advantage.</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rPr>
          <w:rFonts w:ascii="Times New Roman" w:hAnsi="Times New Roman"/>
          <w:color w:val="000000"/>
          <w:sz w:val="22"/>
        </w:rPr>
        <w:t>• g is sinkward progress divided by 50 m; q is estimated MAC success probability; both are dimensionless.</w:t>
      </w:r>
    </w:p>
    <w:p>
      <w:pPr>
        <w:keepNext w:val="0"/>
        <w:pageBreakBefore w:val="0"/>
        <w:widowControl/>
        <w:spacing w:line="276" w:lineRule="auto" w:after="120"/>
      </w:pPr>
      <w:r>
        <w:rPr>
          <w:rFonts w:ascii="Times New Roman" w:hAnsi="Times New Roman"/>
          <w:color w:val="000000"/>
          <w:sz w:val="22"/>
        </w:rPr>
        <w:t>• e is remaining modeled energy divided by 0.5 J, Q is pending-request pressure normalized by 32, and R is the evidence-risk upper proxy; all are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source-service debts.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rPr>
          <w:rFonts w:ascii="Times New Roman" w:hAnsi="Times New Roman"/>
          <w:color w:val="000000"/>
          <w:sz w:val="22"/>
        </w:rPr>
        <w:t>• ℓ is a dimensionless action logit; x and h are the context and candidate feature vectors.</w:t>
      </w:r>
    </w:p>
    <w:p>
      <w:pPr>
        <w:keepNext w:val="0"/>
        <w:pageBreakBefore w:val="0"/>
        <w:widowControl/>
        <w:spacing w:line="276" w:lineRule="auto" w:after="120"/>
      </w:pPr>
      <w:r>
        <w:rPr>
          <w:rFonts w:ascii="Times New Roman" w:hAnsi="Times New Roman"/>
          <w:color w:val="000000"/>
          <w:sz w:val="22"/>
        </w:rPr>
        <w:t>• qθ and kθ are learned query/key transforms and bθ is a learned candidate bias; θ is fixed throughout transfer.</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keeps one record for selected relay v and packet p. It stores the expected first-link success, ACK status, expiry time, strongest observation and credit already assigned. A matched overheard data frame has strength 0.5; a reverse receipt generated by sink delivery has strength 1. Repeated receptions cannot accumulate credit because the record retains only the maximum strength:</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rPr>
          <w:rFonts w:ascii="Times New Roman" w:hAnsi="Times New Roman"/>
          <w:color w:val="000000"/>
          <w:sz w:val="22"/>
        </w:rPr>
        <w:t>• s is the strongest evidence strength, dimensionless and bounded by 1.</w:t>
      </w:r>
    </w:p>
    <w:p>
      <w:pPr>
        <w:keepNext w:val="0"/>
        <w:pageBreakBefore w:val="0"/>
        <w:widowControl/>
        <w:spacing w:line="276" w:lineRule="auto" w:after="120"/>
      </w:pPr>
      <w:r>
        <w:rPr>
          <w:rFonts w:ascii="Times New Roman" w:hAnsi="Times New Roman"/>
          <w:color w:val="000000"/>
          <w:sz w:val="22"/>
        </w:rPr>
        <w:t>• I_overheard and I_receipt indicate matched received forwarding frames and reverse receipts, respectively; they are dimensionless binary observations.</w:t>
      </w:r>
    </w:p>
    <w:p>
      <w:pPr>
        <w:keepNext/>
        <w:pageBreakBefore w:val="0"/>
        <w:widowControl/>
        <w:spacing w:line="276" w:lineRule="auto" w:after="120"/>
      </w:pPr>
      <w:r>
        <w:t>An observation earns credit only after the observer receives a successful MAC acknowledgment for its own transmission, and only for strength not credited previously. Evidence that arrives before the acknowledgment is stored until the record becomes eligible. The positive update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rPr>
          <w:rFonts w:ascii="Times New Roman" w:hAnsi="Times New Roman"/>
          <w:color w:val="000000"/>
          <w:sz w:val="22"/>
        </w:rPr>
        <w:t>• α is a dimensionless effective success count, initialized to 1; c is the credited record strength, initialized to 0.</w:t>
      </w:r>
    </w:p>
    <w:p>
      <w:pPr>
        <w:keepNext w:val="0"/>
        <w:pageBreakBefore w:val="0"/>
        <w:widowControl/>
        <w:spacing w:line="276" w:lineRule="auto" w:after="120"/>
      </w:pPr>
      <w:r>
        <w:rPr>
          <w:rFonts w:ascii="Times New Roman" w:hAnsi="Times New Roman"/>
          <w:color w:val="000000"/>
          <w:sz w:val="22"/>
        </w:rPr>
        <w:t>• q is the dimensionless link-success estimate at registration. The clipping floor applies to each positive increment, not to their sum.</w:t>
      </w:r>
    </w:p>
    <w:p>
      <w:pPr>
        <w:keepNext w:val="0"/>
        <w:pageBreakBefore w:val="0"/>
        <w:widowControl/>
        <w:spacing w:line="276" w:lineRule="auto" w:after="120"/>
      </w:pPr>
      <w:r>
        <w:t>In the censored arm, the effective failure count β remains at its prior of 1. A failed first hop closes the record without positive credit. If the first hop is acknowledged but no forwarding evidence arrives within 150 ms, the record expires without a failure increment; a later receipt can still upgrade it. For q&lt;0.1, the clipping floor can make two half-credit updates exceed a single full q-weighted update. The smallest q in the audited decisions was 0.6923, so this case did not occur. The effective counts should nevertheless not be interpreted as a calibrated posterior.</w:t>
      </w:r>
    </w:p>
    <w:p>
      <w:pPr>
        <w:keepNext/>
        <w:pageBreakBefore w:val="0"/>
        <w:widowControl/>
        <w:spacing w:line="276" w:lineRule="auto" w:after="120"/>
      </w:pPr>
      <w:r>
        <w:t>The policy retains its existing evidence-risk coordinates. With the rate-anomaly term disabled, the mean and upper proxy are: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rPr>
          <w:rFonts w:ascii="Times New Roman" w:hAnsi="Times New Roman"/>
          <w:color w:val="000000"/>
          <w:sz w:val="22"/>
        </w:rPr>
        <w:t>• ρ and R are dimensionless risk coordinates.</w:t>
      </w:r>
    </w:p>
    <w:p>
      <w:pPr>
        <w:keepNext w:val="0"/>
        <w:pageBreakBefore w:val="0"/>
        <w:widowControl/>
        <w:spacing w:line="276" w:lineRule="auto" w:after="120"/>
      </w:pPr>
      <w:r>
        <w:rPr>
          <w:rFonts w:ascii="Times New Roman" w:hAnsi="Times New Roman"/>
          <w:color w:val="000000"/>
          <w:sz w:val="22"/>
        </w:rPr>
        <w:t>• σ is the beta-form standard deviation sqrt[αβ / ((α+β)²(α+β+1))], used as a dimensionless uncertainty proxy rather than a calibrated maliciousness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each class, the source updates a service debt using the virtual-queue form associated with long-run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rPr>
          <w:rFonts w:ascii="Times New Roman" w:hAnsi="Times New Roman"/>
          <w:color w:val="000000"/>
          <w:sz w:val="22"/>
        </w:rPr>
        <w:t>• Zc is a dimensionless source-service debt and bc is the allowed violation fraction for class c.</w:t>
      </w:r>
    </w:p>
    <w:p>
      <w:pPr>
        <w:keepNext w:val="0"/>
        <w:pageBreakBefore w:val="0"/>
        <w:widowControl/>
        <w:spacing w:line="276" w:lineRule="auto" w:after="120"/>
      </w:pPr>
      <w:r>
        <w:rPr>
          <w:rFonts w:ascii="Times New Roman" w:hAnsi="Times New Roman"/>
          <w:color w:val="000000"/>
          <w:sz w:val="22"/>
        </w:rPr>
        <w:t>• I_violation is 1 for a missing or late delivered packet and 0 otherwise; loss has a separate analogous channel.</w:t>
      </w:r>
    </w:p>
    <w:p>
      <w:pPr>
        <w:keepNext w:val="0"/>
        <w:pageBreakBefore w:val="0"/>
        <w:widowControl/>
        <w:spacing w:line="276" w:lineRule="auto" w:after="120"/>
      </w:pPr>
      <w:r>
        <w:t>In this benchmark, only the source updates service debts, after receipt or a 1.5 s expiry. Intermediate relays do not maintain a complete debt for transit service. A shared visited set prevents loops, and the simulator keeps the reverse-path map used for receipts. Neither mechanism serializes its state dissemination. Beacon energy and queue values also come from metadata keyed to the transmitted identifier: a radio receive callback controls access, but the values themselves are not decoded from the frame. Figure 1 separates these simulator inputs from the radio event path. The authenticated branch in Section 5 replaces this state interface.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observer procedure, with the event flow shown in Fig. 2. Radio callback controls check reception of a two-hop forwarding observation, absence of reception at an out-of-range observer and absence of proof frames in the passive arm. They verify those callback paths, rather than authentication or intrusion-classification accuracy.</w:t>
      </w:r>
    </w:p>
    <w:p>
      <w:pPr>
        <w:pStyle w:val="Heading1"/>
        <w:keepNext/>
        <w:pageBreakBefore w:val="0"/>
        <w:widowControl/>
        <w:spacing w:line="252" w:lineRule="auto" w:after="60"/>
      </w:pPr>
      <w:r>
        <w:rPr>
          <w:rFonts w:ascii="Times New Roman" w:hAnsi="Times New Roman"/>
          <w:color w:val="000000"/>
          <w:sz w:val="20"/>
        </w:rPr>
        <w:t>Algorithm 1 Observer feedback and routing</w:t>
      </w:r>
    </w:p>
    <w:p>
      <w:pPr>
        <w:keepNext/>
        <w:pageBreakBefore w:val="0"/>
        <w:widowControl/>
        <w:spacing w:line="252" w:lineRule="auto" w:after="60"/>
      </w:pPr>
      <w:r>
        <w:rPr>
          <w:rFonts w:ascii="Times New Roman" w:hAnsi="Times New Roman"/>
          <w:color w:val="000000"/>
          <w:sz w:val="20"/>
        </w:rPr>
        <w:t>Input: received MAC events, cached telemetry, fixed policy θ, ledger mode and 150 ms timeout.</w:t>
      </w:r>
    </w:p>
    <w:p>
      <w:pPr>
        <w:keepNext/>
        <w:pageBreakBefore w:val="0"/>
        <w:widowControl/>
        <w:spacing w:line="252" w:lineRule="auto" w:after="60"/>
      </w:pPr>
      <w:r>
        <w:rPr>
          <w:rFonts w:ascii="Times New Roman" w:hAnsi="Times New Roman"/>
          <w:color w:val="000000"/>
          <w:sz w:val="20"/>
        </w:rPr>
        <w:t>Output: next-hop requests and updated observer evidence coordinates.</w:t>
      </w:r>
    </w:p>
    <w:p>
      <w:pPr>
        <w:keepNext/>
        <w:pageBreakBefore w:val="0"/>
        <w:widowControl/>
        <w:spacing w:line="252" w:lineRule="auto" w:after="60"/>
      </w:pPr>
      <w:r>
        <w:rPr>
          <w:rFonts w:ascii="Times New Roman" w:hAnsi="Times New Roman"/>
          <w:color w:val="000000"/>
          <w:sz w:val="20"/>
        </w:rPr>
        <w:t>Steps:</w:t>
      </w:r>
    </w:p>
    <w:p>
      <w:pPr>
        <w:keepNext/>
        <w:pageBreakBefore w:val="0"/>
        <w:widowControl/>
        <w:spacing w:line="252" w:lineRule="auto" w:after="60"/>
      </w:pPr>
      <w:r>
        <w:rPr>
          <w:rFonts w:ascii="Times New Roman" w:hAnsi="Times New Roman"/>
          <w:color w:val="000000"/>
          <w:sz w:val="20"/>
        </w:rPr>
        <w:t>1. At a routing event, reject a visited or exhausted node and enforce the 22-hop cap.</w:t>
      </w:r>
    </w:p>
    <w:p>
      <w:pPr>
        <w:keepNext/>
        <w:pageBreakBefore w:val="0"/>
        <w:widowControl/>
        <w:spacing w:line="252" w:lineRule="auto" w:after="60"/>
      </w:pPr>
      <w:r>
        <w:rPr>
          <w:rFonts w:ascii="Times New Roman" w:hAnsi="Times New Roman"/>
          <w:color w:val="000000"/>
          <w:sz w:val="20"/>
        </w:rPr>
        <w:t>2. Construct receive-gated candidates, retain at most eight and evaluate the masked fixed policy.</w:t>
      </w:r>
    </w:p>
    <w:p>
      <w:pPr>
        <w:keepNext/>
        <w:pageBreakBefore w:val="0"/>
        <w:widowControl/>
        <w:spacing w:line="252" w:lineRule="auto" w:after="60"/>
      </w:pPr>
      <w:r>
        <w:rPr>
          <w:rFonts w:ascii="Times New Roman" w:hAnsi="Times New Roman"/>
          <w:color w:val="000000"/>
          <w:sz w:val="20"/>
        </w:rPr>
        <w:t>3. Register the observer–relay–packet record with expected link success; send the data frame.</w:t>
      </w:r>
    </w:p>
    <w:p>
      <w:pPr>
        <w:keepNext/>
        <w:pageBreakBefore w:val="0"/>
        <w:widowControl/>
        <w:spacing w:line="252" w:lineRule="auto" w:after="60"/>
      </w:pPr>
      <w:r>
        <w:rPr>
          <w:rFonts w:ascii="Times New Roman" w:hAnsi="Times New Roman"/>
          <w:color w:val="000000"/>
          <w:sz w:val="20"/>
        </w:rPr>
        <w:t>4. On own first-hop ACK success, mark the record eligible; credit any stored uncredited observation.</w:t>
      </w:r>
    </w:p>
    <w:p>
      <w:pPr>
        <w:keepNext/>
        <w:pageBreakBefore w:val="0"/>
        <w:widowControl/>
        <w:spacing w:line="252" w:lineRule="auto" w:after="60"/>
      </w:pPr>
      <w:r>
        <w:rPr>
          <w:rFonts w:ascii="Times New Roman" w:hAnsi="Times New Roman"/>
          <w:color w:val="000000"/>
          <w:sz w:val="20"/>
        </w:rPr>
        <w:t>5. On ACK failure, close the passive record without success or failure credit.</w:t>
      </w:r>
    </w:p>
    <w:p>
      <w:pPr>
        <w:keepNext/>
        <w:pageBreakBefore w:val="0"/>
        <w:widowControl/>
        <w:spacing w:line="252" w:lineRule="auto" w:after="60"/>
      </w:pPr>
      <w:r>
        <w:rPr>
          <w:rFonts w:ascii="Times New Roman" w:hAnsi="Times New Roman"/>
          <w:color w:val="000000"/>
          <w:sz w:val="20"/>
        </w:rPr>
        <w:t>6. On a matched received forward attempt, retain maximum strength 0.5.</w:t>
      </w:r>
    </w:p>
    <w:p>
      <w:pPr>
        <w:keepNext/>
        <w:pageBreakBefore w:val="0"/>
        <w:widowControl/>
        <w:spacing w:line="252" w:lineRule="auto" w:after="60"/>
      </w:pPr>
      <w:r>
        <w:rPr>
          <w:rFonts w:ascii="Times New Roman" w:hAnsi="Times New Roman"/>
          <w:color w:val="000000"/>
          <w:sz w:val="20"/>
        </w:rPr>
        <w:t>7. On a matched received reverse delivery receipt, retain maximum strength 1.0.</w:t>
      </w:r>
    </w:p>
    <w:p>
      <w:pPr>
        <w:keepNext/>
        <w:pageBreakBefore w:val="0"/>
        <w:widowControl/>
        <w:spacing w:line="252" w:lineRule="auto" w:after="60"/>
      </w:pPr>
      <w:r>
        <w:rPr>
          <w:rFonts w:ascii="Times New Roman" w:hAnsi="Times New Roman"/>
          <w:color w:val="000000"/>
          <w:sz w:val="20"/>
        </w:rPr>
        <w:t>8. Apply a positive update only if eligible and strength exceeds credited strength; deduplicate repeats.</w:t>
      </w:r>
    </w:p>
    <w:p>
      <w:pPr>
        <w:keepNext/>
        <w:pageBreakBefore w:val="0"/>
        <w:widowControl/>
        <w:spacing w:line="252" w:lineRule="auto" w:after="60"/>
      </w:pPr>
      <w:r>
        <w:rPr>
          <w:rFonts w:ascii="Times New Roman" w:hAnsi="Times New Roman"/>
          <w:color w:val="000000"/>
          <w:sz w:val="20"/>
        </w:rPr>
        <w:t>9. At each 1 ms poll, close expired records; censor missing evidence in the proposed arm.</w:t>
      </w:r>
    </w:p>
    <w:p>
      <w:pPr>
        <w:keepNext/>
        <w:pageBreakBefore w:val="0"/>
        <w:widowControl/>
        <w:spacing w:line="252" w:lineRule="auto" w:after="60"/>
      </w:pPr>
      <w:r>
        <w:rPr>
          <w:rFonts w:ascii="Times New Roman" w:hAnsi="Times New Roman"/>
          <w:color w:val="000000"/>
          <w:sz w:val="20"/>
        </w:rPr>
        <w:t>10. Allow a later receipt to upgrade an acknowledged censored record; keep failure count at its prior.</w:t>
      </w:r>
    </w:p>
    <w:p>
      <w:pPr>
        <w:keepNext w:val="0"/>
        <w:pageBreakBefore w:val="0"/>
        <w:widowControl/>
        <w:spacing w:line="252" w:lineRule="auto" w:after="60"/>
      </w:pPr>
      <w:r>
        <w:rPr>
          <w:rFonts w:ascii="Times New Roman" w:hAnsi="Times New Roman"/>
          <w:color w:val="000000"/>
          <w:sz w:val="20"/>
        </w:rPr>
        <w:t>11. Update source service debt on receipt or service expiry; retain the frozen policy for later decisions.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traces the experimental stages. Its PRISMA-inspired layout accounts for runs and design decisions; it is not a systematic-review screening diagram. Telemetry fixtures 76001–76030 informed the redesign. The protocol, source and decision rule were committed as 4027f071322cb5682f39329f656d76df3b68ff62 before evaluating fixtures 77001–77030. Technical pilot 76901 is excluded from inference. Each new fixture uses the unchanged attention and MLP checkpoints from seed 41001 plus its fixture offset.</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versus 71.28% for active proofs. The paired improvement was 4.67 percentage points (95% CI [2.36, 6.97]; Holm p=0.0161). Figure 4 compares effects across settings, and Fig. 5 shows every paired blackhole fixture alongside the control contrasts. Only the blackhole delivery comparison against active proofs survived the 60-test correction. The improvement should therefore be interpreted for that setting.</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fell by 0.0006443 J/byte relative to active proofs (95% CI [−0.0009740, −0.0003145]; Holm p=0.0239). Total modeled sensor radio energy, however, rose from 22.546943 to 22.547473 J, a descriptive increase of 0.000531 J. The gain is in delivery efficiency, not total energy saving. Across the 750 runs, receiving/listening accounts for an average 99.36% of modeled sensor radio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expanded implementation now has 83 passing tests, including the radio callback checks.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this branch awards no credit for third-party overhearing. Positive forwarding credit requires both a successful local MAC acknowledgment and a verified sink receipt; missing receipts remain censored.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rPr>
          <w:rFonts w:ascii="Times New Roman" w:hAnsi="Times New Roman"/>
          <w:color w:val="000000"/>
        </w:rPr>
        <w:t>5.2 Frozen policy transfer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keepNext w:val="0"/>
        <w:pageBreakBefore w:val="0"/>
        <w:widowControl/>
        <w:spacing w:line="276" w:lineRule="auto" w:after="120"/>
      </w:pPr>
      <w:r>
        <w:t>The transfer runs show that the frozen policies execute with serialized simulated-radio frames and multiple relay choices. They do not establish an attention advantage. Counting undelivered packets as failures, critical-deadline failure is 31.17% for benign attention runs and 47.83% under selective dropping. Total modeled radio energy is approximately 2.519 and 2.520 J per six-node run. Always-on listening and repeated authenticated telemetry dominate the radio costs, limiting differences between policies.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rPr>
          <w:rFonts w:ascii="Times New Roman" w:hAnsi="Times New Roman"/>
          <w:color w:val="000000"/>
        </w:rPr>
        <w:t>5.4 Virtual serial devices and firmware boundary</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embedded policy/crypto execution or calibrated current consumption.</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main result concerns replacement of the tested active-proof mechanism. Feedback eligibility and expiry rules change alongside radio traffic, preventing attribution solely to proof airtime. After correction, neither naive passive nor frozen prior provides evidence for a unique censoring effect. The earlier unsuccessful architecture comparisons remain relevant to that interpretation and are retained in the evidence record.</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experiments provide neither a long-horizon reclamation policy nor measured embedded inference cost. An always-listening radio also omits the wake-up cost that evidence collection would incur under duty cycling.</w:t>
      </w:r>
    </w:p>
    <w:p>
      <w:pPr>
        <w:keepNext w:val="0"/>
        <w:pageBreakBefore w:val="0"/>
        <w:widowControl/>
        <w:spacing w:line="276" w:lineRule="auto" w:after="120"/>
      </w:pPr>
      <w:r>
        <w:t>The holdout fixes passive strength at 0.5, record expiry at 150 ms, cache life at 0.75 s, the current model and all inference checkpoints. Sensitivity to those choices remains unknown. Changes to serialization, ACK authentication, service tracking or ledger retirement require a separately frozen experiment; incorporating them after observing the holdout would change the question being tested.</w:t>
      </w:r>
    </w:p>
    <w:p>
      <w:pPr>
        <w:pStyle w:val="Heading2"/>
        <w:keepNext/>
        <w:pageBreakBefore w:val="0"/>
        <w:widowControl/>
        <w:spacing w:line="276" w:lineRule="auto" w:after="120"/>
      </w:pPr>
      <w:r>
        <w:rPr>
          <w:rFonts w:ascii="Times New Roman" w:hAnsi="Times New Roman"/>
          <w:color w:val="000000"/>
        </w:rPr>
        <w:t>6.2 High novelty opportunities</w:t>
      </w:r>
    </w:p>
    <w:p>
      <w:pPr>
        <w:keepNext w:val="0"/>
        <w:pageBreakBefore w:val="0"/>
        <w:widowControl/>
        <w:spacing w:line="276" w:lineRule="auto" w:after="120"/>
      </w:pPr>
      <w:r>
        <w:t>A useful next step is to decide when forwarding evidence is worth collecting. An observation policy could choose silence, passive listening or an authenticated probe according to the expected reduction in delivery loss relative to measured radio and processing cost. A discriminating experiment would match feedback semantics and data airtime, introduce duty cycling and adversarial receipts, and reserve new topologies and physical-board settings. This would test evidence acquisition itself, which the current comparison cannot isolate.</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Receipt-assisted passive feedback passed the prespecified replacement test on 30 new simulation fixtures, improving blackhole delivery over active proofs by 4.67 percentage points. The matched controls do not support a unique censoring or attention advantage. A separate 180-run authenticated transfer evaluates frozen policies with received wire state and local service records; it likewise establishes no attention superiority. Serial-interface testing identified and corrected a receive-time error, and four emulated Cortex-M3 boards execute the compiled radio-interface firmware. These results support the tested feedback replacement and document how far the implementation has been exercised. Absolute service compliance, physical-board operation, embedded policy/crypto execution and measured energy remain open.</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