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rPr>
        <w:t>Cross-Layer Edge Intelligence for Statistically Representative and Resource-Sustainable Federated Learning in Multi-Hop IoT Sensor Networks</w:t>
      </w:r>
    </w:p>
    <w:p>
      <w:pPr>
        <w:jc w:val="center"/>
      </w:pPr>
      <w:r>
        <w:rPr>
          <w:rFonts w:ascii="Times New Roman" w:hAnsi="Times New Roman"/>
          <w:b/>
        </w:rPr>
        <w:t>Abhishek Kumar Pandey</w:t>
      </w:r>
      <w:r>
        <w:rPr>
          <w:rFonts w:ascii="Times New Roman" w:hAnsi="Times New Roman"/>
        </w:rPr>
        <w:t>*</w:t>
      </w:r>
    </w:p>
    <w:p>
      <w:pPr>
        <w:jc w:val="center"/>
      </w:pPr>
      <w:r>
        <w:rPr>
          <w:rFonts w:ascii="Times New Roman" w:hAnsi="Times New Roman"/>
        </w:rPr>
        <w:t>Assistant Professor, School of Computer Science Engineering and Technology, Bennett University</w:t>
      </w:r>
    </w:p>
    <w:p>
      <w:pPr>
        <w:jc w:val="center"/>
      </w:pPr>
      <w:r>
        <w:rPr>
          <w:rFonts w:ascii="Times New Roman" w:hAnsi="Times New Roman"/>
        </w:rPr>
        <w:t>ORCID: 0000-0003-3799-9754</w:t>
      </w:r>
    </w:p>
    <w:p>
      <w:pPr>
        <w:jc w:val="center"/>
      </w:pPr>
      <w:r>
        <w:rPr>
          <w:rFonts w:ascii="Times New Roman" w:hAnsi="Times New Roman"/>
          <w:b/>
        </w:rPr>
        <w:t>Shivam Bhardwaj</w:t>
      </w:r>
    </w:p>
    <w:p>
      <w:pPr>
        <w:jc w:val="center"/>
      </w:pPr>
      <w:r>
        <w:rPr>
          <w:rFonts w:ascii="Times New Roman" w:hAnsi="Times New Roman"/>
        </w:rPr>
        <w:t>Assistant Professor, United Institute of Management, Prayagraj, India</w:t>
      </w:r>
    </w:p>
    <w:p>
      <w:pPr>
        <w:jc w:val="center"/>
      </w:pPr>
      <w:r>
        <w:rPr>
          <w:rFonts w:ascii="Times New Roman" w:hAnsi="Times New Roman"/>
        </w:rPr>
        <w:t>ORCID: 0009-0005-4554-7397</w:t>
      </w:r>
    </w:p>
    <w:p>
      <w:pPr>
        <w:jc w:val="center"/>
      </w:pPr>
      <w:r>
        <w:rPr>
          <w:rFonts w:ascii="Times New Roman" w:hAnsi="Times New Roman"/>
        </w:rPr>
        <w:t>*Corresponding author: abhishek.pandey2@bennett.edu.in</w:t>
      </w:r>
    </w:p>
    <w:p>
      <w:pPr>
        <w:jc w:val="center"/>
      </w:pPr>
      <w:r>
        <w:rPr>
          <w:rFonts w:ascii="Times New Roman" w:hAnsi="Times New Roman"/>
        </w:rPr>
        <w:t>Shivam Bhardwaj: shivambhardwaj@gmail.com</w:t>
      </w:r>
    </w:p>
    <w:p>
      <w:pPr>
        <w:pStyle w:val="Heading1"/>
      </w:pPr>
      <w:r>
        <w:t>Highlights</w:t>
      </w:r>
    </w:p>
    <w:p>
      <w:pPr>
        <w:pStyle w:val="ListBullet"/>
      </w:pPr>
      <w:r>
        <w:rPr>
          <w:rFonts w:ascii="Times New Roman" w:hAnsi="Times New Roman"/>
        </w:rPr>
        <w:t>Cross-layer scheduling links learning value to multi-hop network cost</w:t>
      </w:r>
    </w:p>
    <w:p>
      <w:pPr>
        <w:pStyle w:val="ListBullet"/>
      </w:pPr>
      <w:r>
        <w:rPr>
          <w:rFonts w:ascii="Times New Roman" w:hAnsi="Times New Roman"/>
        </w:rPr>
        <w:t>Virtual queues reduce persistent exclusion of informative clients</w:t>
      </w:r>
    </w:p>
    <w:p>
      <w:pPr>
        <w:pStyle w:val="ListBullet"/>
      </w:pPr>
      <w:r>
        <w:rPr>
          <w:rFonts w:ascii="Times New Roman" w:hAnsi="Times New Roman"/>
        </w:rPr>
        <w:t>Adaptive update fidelity cuts communication by 56-61% on real sensing data</w:t>
      </w:r>
    </w:p>
    <w:p>
      <w:pPr>
        <w:pStyle w:val="ListBullet"/>
      </w:pPr>
      <w:r>
        <w:rPr>
          <w:rFonts w:ascii="Times New Roman" w:hAnsi="Times New Roman"/>
        </w:rPr>
        <w:t>Lower model traffic improves low-power wireless delivery and delay</w:t>
      </w:r>
    </w:p>
    <w:p>
      <w:pPr>
        <w:pStyle w:val="Heading1"/>
      </w:pPr>
      <w:r>
        <w:t>In brief</w:t>
      </w:r>
    </w:p>
    <w:p>
      <w:r>
        <w:rPr>
          <w:rFonts w:ascii="Times New Roman" w:hAnsi="Times New Roman"/>
        </w:rPr>
        <w:t>Pandey and Bhardwaj show that choosing federated-learning clients only because they are cheap to reach can distort which sensing data shape the model. Their cross-layer controller balances statistical value, update fidelity, multi-hop route burden, and relay energy across real sensing datasets and low-power wireless replay.</w:t>
      </w:r>
    </w:p>
    <w:p>
      <w:pPr>
        <w:pStyle w:val="Heading1"/>
      </w:pPr>
      <w:r>
        <w:t>Broader context</w:t>
      </w:r>
    </w:p>
    <w:p>
      <w:r>
        <w:rPr>
          <w:rFonts w:ascii="Times New Roman" w:hAnsi="Times New Roman"/>
        </w:rPr>
        <w:t>Edge intelligence is moving learning closer to the places where data are produced, including buildings, industrial sites, environmental deployments, and personal sensing devices. In these settings, the communication path is part of the learning system rather than a neutral transport layer. A model update from a remote or poorly connected device may consume several relay transmissions, yet that same device may hold observations that are rare elsewhere in the network. Scheduling only the cheapest devices can therefore save energy in the short term while narrowing the data that influence the model. This study treats that tension as a cross-layer design problem. The proposed controller considers learning value, participation history, multi-hop route burden, relay-energy pressure, update compression, and staleness together. The resulting trade-offs are tested with a real wireless-sensor deployment, a real human-activity dataset, controlled synthetic heterogeneity, and low-power wireless-network replay. The broader aim is resource-conscious edge intelligence that remains statistically inclusive when network conditions and data distributions are both uneven.</w:t>
      </w:r>
    </w:p>
    <w:p>
      <w:pPr>
        <w:pStyle w:val="Heading1"/>
      </w:pPr>
      <w:r>
        <w:t>Abstract</w:t>
      </w:r>
    </w:p>
    <w:p>
      <w:r>
        <w:rPr>
          <w:rFonts w:ascii="Times New Roman" w:hAnsi="Times New Roman"/>
        </w:rPr>
        <w:t>Hierarchical federated learning (HFL) reduces cloud-facing communication by aggregating client updates at edge servers, but resource-aware participation can create a systems-learning conflict in wireless sensor network (WSN)-based Internet of Things (IoT) deployments. Clients with reliable links, short routes, and favorable energy states are inexpensive to schedule, whereas clients carrying statistically informative non-IID observations may be located behind lossy multi-hop paths or energy-constrained relays. Repeatedly optimizing only network cost can therefore improve communication efficiency while suppressing statistically valuable clients. This work studies that coupling rather than proposing a new ETX-family routing metric. We formulate a cross-layer HFL controller that combines statistical update utility, a representation-deficit virtual queue, route-dependent communication cost, relay-energy pressure, adaptive Top-k model-update sparsification with error feedback, and utility-aware staleness weighting. The controller operates above an existing ETX/residual-energy-aware routing substrate and explicitly accounts for relay-energy externalities created by model traffic. Validation spans correlated synthetic heterogeneity, the Intel Berkeley Lab WSN deployment, UCI smartphone human-activity sensing, and ns-3.47 IEEE 802.15.4/LR-WPAN communication replay. Under strong resource-data correlation in the Intel WSN experiment, the proposed policy reduces expected communication burden by 55.7%, modeled energy by 45.1%, maximum relay energy by 29.9%, and representation divergence by 81.2% relative to resource-only scheduling, while temperature RMSE is statistically comparable and slightly lower. On UCI HAR, it improves accuracy from 87.54% to 90.61% while reducing communication by 60.7% and energy by 56.4%. ns-3 replay of the resulting traffic profile increases dense-nominal report delivery from 86.5% to 99.5% and reduces mean delivered-report delay from 37.5 ms to 12.0 ms. The results support a Pareto-oriented view of WSN-HFL orchestration in which network efficiency and statistical representation are jointly controlled rather than optimized independently.</w:t>
      </w:r>
    </w:p>
    <w:p>
      <w:r>
        <w:rPr>
          <w:rFonts w:ascii="Times New Roman" w:hAnsi="Times New Roman"/>
          <w:b/>
        </w:rPr>
        <w:t>Keywords:</w:t>
      </w:r>
      <w:r>
        <w:rPr>
          <w:rFonts w:ascii="Times New Roman" w:hAnsi="Times New Roman"/>
        </w:rPr>
        <w:t xml:space="preserve"> hierarchical federated learning; wireless sensor networks; Internet of Things; non-IID data; client selection; adaptive compression; ETX; relay energy; staleness; representation.</w:t>
      </w:r>
    </w:p>
    <w:p>
      <w:pPr>
        <w:pStyle w:val="Heading1"/>
      </w:pPr>
      <w:r>
        <w:t>1. Introduction</w:t>
      </w:r>
    </w:p>
    <w:p>
      <w:r>
        <w:rPr>
          <w:rFonts w:ascii="Times New Roman" w:hAnsi="Times New Roman"/>
        </w:rPr>
        <w:t>Federated learning (FL) enables distributed devices to train a shared model without centralizing raw observations. In WSN-IoT systems, however, the communication path between a learning-capable sensor/gateway and the cloud is rarely a cost-free abstraction. Updates may traverse lossy links and shared relays, compete for low-rate wireless capacity, and consume energy at intermediate nodes that are not themselves selected FL clients. Hierarchical federated learning reduces the need for repeated end-to-cloud exchanges by introducing edge aggregation, but it does not remove the interaction between learning decisions and network state.</w:t>
      </w:r>
    </w:p>
    <w:p>
      <w:r>
        <w:rPr>
          <w:rFonts w:ascii="Times New Roman" w:hAnsi="Times New Roman"/>
        </w:rPr>
        <w:t>A common systems strategy is to preferentially select clients with favorable bandwidth, latency, computation, or energy. This is rational from a short-term communication perspective, but under non-IID sensing data the statistically useful clients need not be the cheapest clients to reach. Environmental events may be geographically localized; activity patterns may be client-specific; and rare sensing conditions may originate in remote regions of the network. Consequently, a resource-efficient scheduler can repeatedly under-sample exactly those clients that contribute complementary statistical information.</w:t>
      </w:r>
    </w:p>
    <w:p>
      <w:r>
        <w:rPr>
          <w:rFonts w:ascii="Times New Roman" w:hAnsi="Times New Roman"/>
        </w:rPr>
        <w:t xml:space="preserve">Recent literature already addresses substantial pieces of this problem. Client-edge-cloud HFL is established; resource-aware client selection is established; adaptive staleness and heterogeneity-aware association have been studied; communication-efficient HFL can shape edge-level data distributions; and adaptive compression can be conditioned on heterogeneous device capabilities. Therefore, the research gap is not the independent existence of hierarchy, selection, compression, or asynchronous aggregation. The unresolved systems-learning coupling studied here is narrower: </w:t>
      </w:r>
      <w:r>
        <w:rPr>
          <w:rFonts w:ascii="Times New Roman" w:hAnsi="Times New Roman"/>
          <w:b/>
        </w:rPr>
        <w:t>how should an HFL controller decide whose update is worth transporting, at what fidelity, and with what aggregation influence when multi-hop route burden, relay energy, statistical utility, and participation history interact?</w:t>
      </w:r>
    </w:p>
    <w:p>
      <w:r>
        <w:rPr>
          <w:rFonts w:ascii="Times New Roman" w:hAnsi="Times New Roman"/>
        </w:rPr>
        <w:t>This paper treats the underlying ETX/residual-energy-aware routing mechanism as prior infrastructure. The new contribution is the learning-layer orchestration placed above it. The controller maintains a statistical participation deficit, prices route and relay burden, adapts update fidelity through Top-k sparsification with error feedback, and modulates staleness according to learning value. This design makes it possible to distinguish three concepts that are frequently conflated: network-efficient participation, statistically useful participation, and equal participation.</w:t>
      </w:r>
    </w:p>
    <w:p>
      <w:r>
        <w:rPr>
          <w:rFonts w:ascii="Times New Roman" w:hAnsi="Times New Roman"/>
        </w:rPr>
        <w:t>The principal contributions are:</w:t>
      </w:r>
    </w:p>
    <w:p>
      <w:r>
        <w:rPr>
          <w:rFonts w:ascii="Times New Roman" w:hAnsi="Times New Roman"/>
        </w:rPr>
        <w:t>1. A cross-layer HFL formulation for multi-hop WSN-IoT networks in which client participation explicitly accounts for expected route traffic and the relay-energy externality created by model transport.</w:t>
      </w:r>
    </w:p>
    <w:p>
      <w:r>
        <w:rPr>
          <w:rFonts w:ascii="Times New Roman" w:hAnsi="Times New Roman"/>
        </w:rPr>
        <w:t>2. A representation-deficit mechanism that targets statistical influence rather than naive equal-frequency client fairness, reducing persistent exclusion of informative but resource-poor clients.</w:t>
      </w:r>
    </w:p>
    <w:p>
      <w:r>
        <w:rPr>
          <w:rFonts w:ascii="Times New Roman" w:hAnsi="Times New Roman"/>
        </w:rPr>
        <w:t>3. A utility-conditioned model-update fidelity mechanism that balances Top-k compression distortion against route and relay cost, with error feedback to retain discarded coordinates across rounds.</w:t>
      </w:r>
    </w:p>
    <w:p>
      <w:r>
        <w:rPr>
          <w:rFonts w:ascii="Times New Roman" w:hAnsi="Times New Roman"/>
        </w:rPr>
        <w:t>4. A utility-aware staleness weighting rule that allows delayed but informative updates to retain influence instead of relying solely on hard deadlines or age decay.</w:t>
      </w:r>
    </w:p>
    <w:p>
      <w:r>
        <w:rPr>
          <w:rFonts w:ascii="Times New Roman" w:hAnsi="Times New Roman"/>
        </w:rPr>
        <w:t>5. A multi-layer validation campaign using synthetic correlated heterogeneity, a real 54-mote WSN dataset and connectivity matrix, a real 30-subject inertial-sensing dataset, 10-seed paired statistical testing, component ablations, sensitivity analysis, and ns-3.47 IEEE 802.15.4/LR-WPAN replay.</w:t>
      </w:r>
    </w:p>
    <w:p>
      <w:pPr>
        <w:pStyle w:val="Heading1"/>
      </w:pPr>
      <w:r>
        <w:t>2. Related Work and Positioning</w:t>
      </w:r>
    </w:p>
    <w:p>
      <w:r>
        <w:rPr>
          <w:rFonts w:ascii="Times New Roman" w:hAnsi="Times New Roman"/>
        </w:rPr>
        <w:t>Client-edge-cloud hierarchical FL was formalized by Liu et al. [1], establishing that intermediate aggregation can reduce cloud communication while changing the convergence/communication trade-off. Resource-aware client selection predates the present work; FedMCCS, for example, uses multiple client criteria in IoT FL [2]. Dynamic client-edge association and resource allocation have also been jointly optimized in HFL [3]. These studies mean that neither hierarchy nor a multicriteria resource score is sufficient as a new contribution.</w:t>
      </w:r>
    </w:p>
    <w:p>
      <w:r>
        <w:rPr>
          <w:rFonts w:ascii="Times New Roman" w:hAnsi="Times New Roman"/>
        </w:rPr>
        <w:t>The synchronization and heterogeneity dimensions are similarly active. HiFlash combines adaptive staleness control with heterogeneity-aware client-edge association [5], while communication-efficient HFL has also been studied by shaping data distributions at edge aggregators [7]. Wu et al. jointly consider client selection, edge-side decisions, radio resources, and time-energy cost in NOMA-enabled HFL [8]. These studies leave little room for treating hierarchy, staleness control, or a generic resource score as stand-alone novelty.</w:t>
      </w:r>
    </w:p>
    <w:p>
      <w:r>
        <w:rPr>
          <w:rFonts w:ascii="Times New Roman" w:hAnsi="Times New Roman"/>
        </w:rPr>
        <w:t>A second literature branch shows that biased client selection can affect statistical coverage under non-IID data. Huang et al. explicitly balance effective participation and fairness when clients are volatile [4], while FedCG combines representative client selection with adaptive gradient compression [6]. Recent fairness analyses likewise stress that system heterogeneity can restrict the participation or influence of clients whose data remain statistically useful [13].</w:t>
      </w:r>
    </w:p>
    <w:p>
      <w:r>
        <w:rPr>
          <w:rFonts w:ascii="Times New Roman" w:hAnsi="Times New Roman"/>
        </w:rPr>
        <w:t xml:space="preserve">Multi-hop FL itself is also established. Prior work has considered in-network aggregation with routing and spectrum allocation [9], routing-aware acceleration on physical wireless-edge testbeds [10], and two-hop HFL with adaptive grouping and resource allocation [11]; a recent survey organizes these and related topology-aware designs [12]. The present study therefore does </w:t>
      </w:r>
      <w:r>
        <w:rPr>
          <w:rFonts w:ascii="Times New Roman" w:hAnsi="Times New Roman"/>
          <w:b/>
        </w:rPr>
        <w:t>not</w:t>
      </w:r>
      <w:r>
        <w:rPr>
          <w:rFonts w:ascii="Times New Roman" w:hAnsi="Times New Roman"/>
        </w:rPr>
        <w:t xml:space="preserve"> claim novelty for ETX routing, multi-hop FL, resource-aware selection, compression, or staleness individually. Its contribution is the coupling of learning value and participation history with </w:t>
      </w:r>
      <w:r>
        <w:rPr>
          <w:rFonts w:ascii="Times New Roman" w:hAnsi="Times New Roman"/>
          <w:b/>
        </w:rPr>
        <w:t>statistical representation and relay-energy externality</w:t>
      </w:r>
      <w:r>
        <w:rPr>
          <w:rFonts w:ascii="Times New Roman" w:hAnsi="Times New Roman"/>
        </w:rPr>
        <w:t xml:space="preserve"> in a multi-hop WSN-HFL setting, evaluated with real sensing data and measured WSN connectivity.</w:t>
      </w:r>
    </w:p>
    <w:p>
      <w:pPr>
        <w:pStyle w:val="Heading1"/>
      </w:pPr>
      <w:r>
        <w:t>3. System Model and Problem Definition</w:t>
      </w:r>
    </w:p>
    <w:p>
      <w:r>
        <w:rPr>
          <w:rFonts w:ascii="Times New Roman" w:hAnsi="Times New Roman"/>
        </w:rPr>
        <w:t xml:space="preserve">Consider a WSN-IoT graph </w:t>
      </w:r>
      <m:oMath xmlns:a="http://schemas.openxmlformats.org/drawingml/2006/main" xmlns:pic="http://schemas.openxmlformats.org/drawingml/2006/picture">
        <m:r>
          <m:t>G</m:t>
        </m:r>
        <m:r>
          <m:rPr>
            <m:sty m:val="p"/>
          </m:rPr>
          <m:t>=</m:t>
        </m:r>
        <m:d>
          <m:dPr>
            <m:begChr m:val="("/>
            <m:endChr m:val=")"/>
            <m:sepChr m:val=""/>
            <m:grow/>
          </m:dPr>
          <m:e>
            <m:r>
              <m:rPr>
                <m:sty m:val="p"/>
                <m:scr m:val="script"/>
              </m:rPr>
              <m:t>V</m:t>
            </m:r>
            <m:r>
              <m:rPr>
                <m:sty m:val="p"/>
              </m:rPr>
              <m:t>,</m:t>
            </m:r>
            <m:r>
              <m:rPr>
                <m:sty m:val="p"/>
                <m:scr m:val="script"/>
              </m:rPr>
              <m:t>E</m:t>
            </m:r>
          </m:e>
        </m:d>
      </m:oMath>
      <w:r>
        <w:rPr>
          <w:rFonts w:ascii="Times New Roman" w:hAnsi="Times New Roman"/>
        </w:rPr>
        <w:t xml:space="preserve">, a set of learning-capable clients </w:t>
      </w:r>
      <m:oMath xmlns:a="http://schemas.openxmlformats.org/drawingml/2006/main" xmlns:pic="http://schemas.openxmlformats.org/drawingml/2006/picture">
        <m:r>
          <m:rPr>
            <m:sty m:val="p"/>
            <m:scr m:val="script"/>
          </m:rPr>
          <m:t>C</m:t>
        </m:r>
      </m:oMath>
      <w:r>
        <w:rPr>
          <w:rFonts w:ascii="Times New Roman" w:hAnsi="Times New Roman"/>
        </w:rPr>
        <w:t xml:space="preserve">, edge gateways </w:t>
      </w:r>
      <m:oMath xmlns:a="http://schemas.openxmlformats.org/drawingml/2006/main" xmlns:pic="http://schemas.openxmlformats.org/drawingml/2006/picture">
        <m:r>
          <m:rPr>
            <m:sty m:val="p"/>
            <m:scr m:val="script"/>
          </m:rPr>
          <m:t>G</m:t>
        </m:r>
      </m:oMath>
      <w:r>
        <w:rPr>
          <w:rFonts w:ascii="Times New Roman" w:hAnsi="Times New Roman"/>
        </w:rPr>
        <w:t xml:space="preserve">, and a cloud server. Client </w:t>
      </w:r>
      <m:oMath xmlns:a="http://schemas.openxmlformats.org/drawingml/2006/main" xmlns:pic="http://schemas.openxmlformats.org/drawingml/2006/picture">
        <m:r>
          <m:t>i</m:t>
        </m:r>
      </m:oMath>
      <w:r>
        <w:rPr>
          <w:rFonts w:ascii="Times New Roman" w:hAnsi="Times New Roman"/>
        </w:rPr>
        <w:t xml:space="preserve"> owns local data </w:t>
      </w:r>
      <m:oMath xmlns:a="http://schemas.openxmlformats.org/drawingml/2006/main" xmlns:pic="http://schemas.openxmlformats.org/drawingml/2006/picture">
        <m:sSub>
          <m:e>
            <m:r>
              <m:t>D</m:t>
            </m:r>
          </m:e>
          <m:sub>
            <m:r>
              <m:t>i</m:t>
            </m:r>
          </m:sub>
        </m:sSub>
        <m:r>
          <m:rPr>
            <m:sty m:val="p"/>
          </m:rPr>
          <m:t>∼</m:t>
        </m:r>
        <m:sSub>
          <m:e>
            <m:r>
              <m:t>P</m:t>
            </m:r>
          </m:e>
          <m:sub>
            <m:r>
              <m:t>i</m:t>
            </m:r>
          </m:sub>
        </m:sSub>
        <m:d>
          <m:dPr>
            <m:begChr m:val="("/>
            <m:endChr m:val=")"/>
            <m:sepChr m:val=""/>
            <m:grow/>
          </m:dPr>
          <m:e>
            <m:r>
              <m:t>X</m:t>
            </m:r>
            <m:r>
              <m:rPr>
                <m:sty m:val="p"/>
              </m:rPr>
              <m:t>,</m:t>
            </m:r>
            <m:r>
              <m:t>Y</m:t>
            </m:r>
          </m:e>
        </m:d>
      </m:oMath>
      <w:r>
        <w:rPr>
          <w:rFonts w:ascii="Times New Roman" w:hAnsi="Times New Roman"/>
        </w:rPr>
        <w:t xml:space="preserve">, where generally </w:t>
      </w:r>
      <m:oMath xmlns:a="http://schemas.openxmlformats.org/drawingml/2006/main" xmlns:pic="http://schemas.openxmlformats.org/drawingml/2006/picture">
        <m:sSub>
          <m:e>
            <m:r>
              <m:t>P</m:t>
            </m:r>
          </m:e>
          <m:sub>
            <m:r>
              <m:t>i</m:t>
            </m:r>
          </m:sub>
        </m:sSub>
        <m:r>
          <m:rPr>
            <m:sty m:val="p"/>
          </m:rPr>
          <m:t>≠</m:t>
        </m:r>
        <m:sSub>
          <m:e>
            <m:r>
              <m:t>P</m:t>
            </m:r>
          </m:e>
          <m:sub>
            <m:r>
              <m:t>j</m:t>
            </m:r>
          </m:sub>
        </m:sSub>
      </m:oMath>
      <w:r>
        <w:rPr>
          <w:rFonts w:ascii="Times New Roman" w:hAnsi="Times New Roman"/>
        </w:rPr>
        <w:t xml:space="preserve">. At communication round </w:t>
      </w:r>
      <m:oMath xmlns:a="http://schemas.openxmlformats.org/drawingml/2006/main" xmlns:pic="http://schemas.openxmlformats.org/drawingml/2006/picture">
        <m:r>
          <m:t>t</m:t>
        </m:r>
      </m:oMath>
      <w:r>
        <w:rPr>
          <w:rFonts w:ascii="Times New Roman" w:hAnsi="Times New Roman"/>
        </w:rPr>
        <w:t xml:space="preserve">, a binary variable </w:t>
      </w:r>
      <m:oMath xmlns:a="http://schemas.openxmlformats.org/drawingml/2006/main" xmlns:pic="http://schemas.openxmlformats.org/drawingml/2006/picture">
        <m:sSub>
          <m:e>
            <m:r>
              <m:t>x</m:t>
            </m:r>
          </m:e>
          <m:sub>
            <m:r>
              <m:t>i</m:t>
            </m:r>
          </m:sub>
        </m:sSub>
        <m:d>
          <m:dPr>
            <m:begChr m:val="("/>
            <m:endChr m:val=")"/>
            <m:sepChr m:val=""/>
            <m:grow/>
          </m:dPr>
          <m:e>
            <m:r>
              <m:t>t</m:t>
            </m:r>
          </m:e>
        </m:d>
      </m:oMath>
      <w:r>
        <w:rPr>
          <w:rFonts w:ascii="Times New Roman" w:hAnsi="Times New Roman"/>
        </w:rPr>
        <w:t xml:space="preserve"> determines whether client </w:t>
      </w:r>
      <m:oMath xmlns:a="http://schemas.openxmlformats.org/drawingml/2006/main" xmlns:pic="http://schemas.openxmlformats.org/drawingml/2006/picture">
        <m:r>
          <m:t>i</m:t>
        </m:r>
      </m:oMath>
      <w:r>
        <w:rPr>
          <w:rFonts w:ascii="Times New Roman" w:hAnsi="Times New Roman"/>
        </w:rPr>
        <w:t xml:space="preserve"> participates.</w:t>
      </w:r>
    </w:p>
    <w:p>
      <w:r>
        <w:rPr>
          <w:rFonts w:ascii="Times New Roman" w:hAnsi="Times New Roman"/>
        </w:rPr>
        <w:t xml:space="preserve">The network layer supplies a route </w:t>
      </w:r>
      <m:oMath xmlns:a="http://schemas.openxmlformats.org/drawingml/2006/main" xmlns:pic="http://schemas.openxmlformats.org/drawingml/2006/picture">
        <m:sSub>
          <m:e>
            <m:r>
              <m:rPr>
                <m:sty m:val="p"/>
                <m:scr m:val="script"/>
              </m:rPr>
              <m:t>P</m:t>
            </m:r>
          </m:e>
          <m:sub>
            <m:r>
              <m:t>i</m:t>
            </m:r>
          </m:sub>
        </m:sSub>
        <m:d>
          <m:dPr>
            <m:begChr m:val="("/>
            <m:endChr m:val=")"/>
            <m:sepChr m:val=""/>
            <m:grow/>
          </m:dPr>
          <m:e>
            <m:r>
              <m:t>t</m:t>
            </m:r>
          </m:e>
        </m:d>
      </m:oMath>
      <w:r>
        <w:rPr>
          <w:rFonts w:ascii="Times New Roman" w:hAnsi="Times New Roman"/>
        </w:rPr>
        <w:t xml:space="preserve"> from client </w:t>
      </w:r>
      <m:oMath xmlns:a="http://schemas.openxmlformats.org/drawingml/2006/main" xmlns:pic="http://schemas.openxmlformats.org/drawingml/2006/picture">
        <m:r>
          <m:t>i</m:t>
        </m:r>
      </m:oMath>
      <w:r>
        <w:rPr>
          <w:rFonts w:ascii="Times New Roman" w:hAnsi="Times New Roman"/>
        </w:rPr>
        <w:t xml:space="preserve"> to an edge gateway. For link </w:t>
      </w:r>
      <m:oMath xmlns:a="http://schemas.openxmlformats.org/drawingml/2006/main" xmlns:pic="http://schemas.openxmlformats.org/drawingml/2006/picture">
        <m:d>
          <m:dPr>
            <m:begChr m:val="("/>
            <m:endChr m:val=")"/>
            <m:sepChr m:val=""/>
            <m:grow/>
          </m:dPr>
          <m:e>
            <m:r>
              <m:t>u</m:t>
            </m:r>
            <m:r>
              <m:rPr>
                <m:sty m:val="p"/>
              </m:rPr>
              <m:t>,</m:t>
            </m:r>
            <m:r>
              <m:t>v</m:t>
            </m:r>
          </m:e>
        </m:d>
      </m:oMath>
      <w:r>
        <w:rPr>
          <w:rFonts w:ascii="Times New Roman" w:hAnsi="Times New Roman"/>
        </w:rPr>
        <w:t xml:space="preserve">, let </w:t>
      </w:r>
      <m:oMath xmlns:a="http://schemas.openxmlformats.org/drawingml/2006/main" xmlns:pic="http://schemas.openxmlformats.org/drawingml/2006/picture">
        <m:sSub>
          <m:e>
            <m:r>
              <m:rPr>
                <m:sty m:val="p"/>
              </m:rPr>
              <m:t>ETX</m:t>
            </m:r>
          </m:e>
          <m:sub>
            <m:r>
              <m:t>u</m:t>
            </m:r>
            <m:r>
              <m:t>v</m:t>
            </m:r>
          </m:sub>
        </m:sSub>
        <m:d>
          <m:dPr>
            <m:begChr m:val="("/>
            <m:endChr m:val=")"/>
            <m:sepChr m:val=""/>
            <m:grow/>
          </m:dPr>
          <m:e>
            <m:r>
              <m:t>t</m:t>
            </m:r>
          </m:e>
        </m:d>
      </m:oMath>
      <w:r>
        <w:rPr>
          <w:rFonts w:ascii="Times New Roman" w:hAnsi="Times New Roman"/>
        </w:rPr>
        <w:t xml:space="preserve"> be its expected transmission count. Route burden is</w:t>
      </w:r>
    </w:p>
    <w:p>
      <m:oMathPara xmlns:a="http://schemas.openxmlformats.org/drawingml/2006/main" xmlns:pic="http://schemas.openxmlformats.org/drawingml/2006/picture">
        <m:oMathParaPr>
          <m:jc m:val="center"/>
        </m:oMathParaPr>
        <m:oMath>
          <m:sSubSup>
            <m:e>
              <m:r>
                <m:t>C</m:t>
              </m:r>
            </m:e>
            <m:sub>
              <m:r>
                <m:t>i</m:t>
              </m:r>
            </m:sub>
            <m:sup>
              <m:r>
                <m:rPr>
                  <m:sty m:val="p"/>
                </m:rPr>
                <m:t>r</m:t>
              </m:r>
              <m:r>
                <m:rPr>
                  <m:sty m:val="p"/>
                </m:rPr>
                <m:t>o</m:t>
              </m:r>
              <m:r>
                <m:rPr>
                  <m:sty m:val="p"/>
                </m:rPr>
                <m:t>u</m:t>
              </m:r>
              <m:r>
                <m:rPr>
                  <m:sty m:val="p"/>
                </m:rPr>
                <m:t>t</m:t>
              </m:r>
              <m:r>
                <m:rPr>
                  <m:sty m:val="p"/>
                </m:rPr>
                <m:t>e</m:t>
              </m:r>
            </m:sup>
          </m:sSubSup>
          <m:d>
            <m:dPr>
              <m:begChr m:val="("/>
              <m:endChr m:val=")"/>
              <m:sepChr m:val=""/>
              <m:grow/>
            </m:dPr>
            <m:e>
              <m:r>
                <m:t>t</m:t>
              </m:r>
            </m:e>
          </m:d>
          <m:r>
            <m:rPr>
              <m:sty m:val="p"/>
            </m:rPr>
            <m:t>=</m:t>
          </m:r>
          <m:nary>
            <m:naryPr>
              <m:chr m:val="∑"/>
              <m:limLoc m:val="undOvr"/>
              <m:subHide m:val="off"/>
              <m:supHide m:val="on"/>
            </m:naryPr>
            <m:sub>
              <m:d>
                <m:dPr>
                  <m:begChr m:val="("/>
                  <m:endChr m:val=")"/>
                  <m:sepChr m:val=""/>
                  <m:grow/>
                </m:dPr>
                <m:e>
                  <m:r>
                    <m:t>u</m:t>
                  </m:r>
                  <m:r>
                    <m:rPr>
                      <m:sty m:val="p"/>
                    </m:rPr>
                    <m:t>,</m:t>
                  </m:r>
                  <m:r>
                    <m:t>v</m:t>
                  </m:r>
                </m:e>
              </m:d>
              <m:r>
                <m:rPr>
                  <m:sty m:val="p"/>
                </m:rPr>
                <m:t>∈</m:t>
              </m:r>
              <m:sSub>
                <m:e>
                  <m:r>
                    <m:rPr>
                      <m:sty m:val="p"/>
                      <m:scr m:val="script"/>
                    </m:rPr>
                    <m:t>P</m:t>
                  </m:r>
                </m:e>
                <m:sub>
                  <m:r>
                    <m:t>i</m:t>
                  </m:r>
                </m:sub>
              </m:sSub>
              <m:d>
                <m:dPr>
                  <m:begChr m:val="("/>
                  <m:endChr m:val=")"/>
                  <m:sepChr m:val=""/>
                  <m:grow/>
                </m:dPr>
                <m:e>
                  <m:r>
                    <m:t>t</m:t>
                  </m:r>
                </m:e>
              </m:d>
            </m:sub>
            <m:sup>
              <m:r>
                <m:t>​</m:t>
              </m:r>
            </m:sup>
            <m:e>
              <m:sSub>
                <m:e>
                  <m:r>
                    <m:rPr>
                      <m:sty m:val="p"/>
                    </m:rPr>
                    <m:t>ETX</m:t>
                  </m:r>
                </m:e>
                <m:sub>
                  <m:r>
                    <m:t>u</m:t>
                  </m:r>
                  <m:r>
                    <m:t>v</m:t>
                  </m:r>
                </m:sub>
              </m:sSub>
            </m:e>
          </m:nary>
          <m:d>
            <m:dPr>
              <m:begChr m:val="("/>
              <m:endChr m:val=")"/>
              <m:sepChr m:val=""/>
              <m:grow/>
            </m:dPr>
            <m:e>
              <m:r>
                <m:t>t</m:t>
              </m:r>
            </m:e>
          </m:d>
          <m:r>
            <m:rPr>
              <m:sty m:val="p"/>
            </m:rPr>
            <m:t>.</m:t>
          </m:r>
        </m:oMath>
      </m:oMathPara>
    </w:p>
    <w:p>
      <w:r>
        <w:rPr>
          <w:rFonts w:ascii="Times New Roman" w:hAnsi="Times New Roman"/>
        </w:rPr>
        <w:t xml:space="preserve">If </w:t>
      </w:r>
      <m:oMath xmlns:a="http://schemas.openxmlformats.org/drawingml/2006/main" xmlns:pic="http://schemas.openxmlformats.org/drawingml/2006/picture">
        <m:sSub>
          <m:e>
            <m:r>
              <m:t>b</m:t>
            </m:r>
          </m:e>
          <m:sub>
            <m:r>
              <m:t>i</m:t>
            </m:r>
          </m:sub>
        </m:sSub>
        <m:d>
          <m:dPr>
            <m:begChr m:val="("/>
            <m:endChr m:val=")"/>
            <m:sepChr m:val=""/>
            <m:grow/>
          </m:dPr>
          <m:e>
            <m:r>
              <m:t>t</m:t>
            </m:r>
          </m:e>
        </m:d>
      </m:oMath>
      <w:r>
        <w:rPr>
          <w:rFonts w:ascii="Times New Roman" w:hAnsi="Times New Roman"/>
        </w:rPr>
        <w:t xml:space="preserve"> update bits are transmitted, expected traffic is</w:t>
      </w:r>
    </w:p>
    <w:p>
      <m:oMathPara xmlns:a="http://schemas.openxmlformats.org/drawingml/2006/main" xmlns:pic="http://schemas.openxmlformats.org/drawingml/2006/picture">
        <m:oMathParaPr>
          <m:jc m:val="center"/>
        </m:oMathParaPr>
        <m:oMath>
          <m:sSubSup>
            <m:e>
              <m:r>
                <m:t>B</m:t>
              </m:r>
            </m:e>
            <m:sub>
              <m:r>
                <m:t>i</m:t>
              </m:r>
            </m:sub>
            <m:sup>
              <m:r>
                <m:rPr>
                  <m:sty m:val="p"/>
                </m:rPr>
                <m:t>e</m:t>
              </m:r>
              <m:r>
                <m:rPr>
                  <m:sty m:val="p"/>
                </m:rPr>
                <m:t>f</m:t>
              </m:r>
              <m:r>
                <m:rPr>
                  <m:sty m:val="p"/>
                </m:rPr>
                <m:t>f</m:t>
              </m:r>
            </m:sup>
          </m:sSubSup>
          <m:d>
            <m:dPr>
              <m:begChr m:val="("/>
              <m:endChr m:val=")"/>
              <m:sepChr m:val=""/>
              <m:grow/>
            </m:dPr>
            <m:e>
              <m:r>
                <m:t>t</m:t>
              </m:r>
            </m:e>
          </m:d>
          <m:r>
            <m:rPr>
              <m:sty m:val="p"/>
            </m:rPr>
            <m:t>=</m:t>
          </m:r>
          <m:sSub>
            <m:e>
              <m:r>
                <m:t>x</m:t>
              </m:r>
            </m:e>
            <m:sub>
              <m:r>
                <m:t>i</m:t>
              </m:r>
            </m:sub>
          </m:sSub>
          <m:d>
            <m:dPr>
              <m:begChr m:val="("/>
              <m:endChr m:val=")"/>
              <m:sepChr m:val=""/>
              <m:grow/>
            </m:dPr>
            <m:e>
              <m:r>
                <m:t>t</m:t>
              </m:r>
            </m:e>
          </m:d>
          <m:sSub>
            <m:e>
              <m:r>
                <m:t>b</m:t>
              </m:r>
            </m:e>
            <m:sub>
              <m:r>
                <m:t>i</m:t>
              </m:r>
            </m:sub>
          </m:sSub>
          <m:d>
            <m:dPr>
              <m:begChr m:val="("/>
              <m:endChr m:val=")"/>
              <m:sepChr m:val=""/>
              <m:grow/>
            </m:dPr>
            <m:e>
              <m:r>
                <m:t>t</m:t>
              </m:r>
            </m:e>
          </m:d>
          <m:sSubSup>
            <m:e>
              <m:r>
                <m:t>C</m:t>
              </m:r>
            </m:e>
            <m:sub>
              <m:r>
                <m:t>i</m:t>
              </m:r>
            </m:sub>
            <m:sup>
              <m:r>
                <m:rPr>
                  <m:sty m:val="p"/>
                </m:rPr>
                <m:t>r</m:t>
              </m:r>
              <m:r>
                <m:rPr>
                  <m:sty m:val="p"/>
                </m:rPr>
                <m:t>o</m:t>
              </m:r>
              <m:r>
                <m:rPr>
                  <m:sty m:val="p"/>
                </m:rPr>
                <m:t>u</m:t>
              </m:r>
              <m:r>
                <m:rPr>
                  <m:sty m:val="p"/>
                </m:rPr>
                <m:t>t</m:t>
              </m:r>
              <m:r>
                <m:rPr>
                  <m:sty m:val="p"/>
                </m:rPr>
                <m:t>e</m:t>
              </m:r>
            </m:sup>
          </m:sSubSup>
          <m:d>
            <m:dPr>
              <m:begChr m:val="("/>
              <m:endChr m:val=")"/>
              <m:sepChr m:val=""/>
              <m:grow/>
            </m:dPr>
            <m:e>
              <m:r>
                <m:t>t</m:t>
              </m:r>
            </m:e>
          </m:d>
          <m:r>
            <m:rPr>
              <m:sty m:val="p"/>
            </m:rPr>
            <m:t>.</m:t>
          </m:r>
        </m:oMath>
      </m:oMathPara>
    </w:p>
    <w:p>
      <w:r>
        <w:rPr>
          <w:rFonts w:ascii="Times New Roman" w:hAnsi="Times New Roman"/>
        </w:rPr>
        <w:t xml:space="preserve">Unlike a single-hop abstraction, the same update consumes energy on intermediate relays. The cumulative burden on relay </w:t>
      </w:r>
      <m:oMath xmlns:a="http://schemas.openxmlformats.org/drawingml/2006/main" xmlns:pic="http://schemas.openxmlformats.org/drawingml/2006/picture">
        <m:r>
          <m:t>r</m:t>
        </m:r>
      </m:oMath>
      <w:r>
        <w:rPr>
          <w:rFonts w:ascii="Times New Roman" w:hAnsi="Times New Roman"/>
        </w:rPr>
        <w:t xml:space="preserve"> is</w:t>
      </w:r>
    </w:p>
    <w:p>
      <m:oMathPara xmlns:a="http://schemas.openxmlformats.org/drawingml/2006/main" xmlns:pic="http://schemas.openxmlformats.org/drawingml/2006/picture">
        <m:oMathParaPr>
          <m:jc m:val="center"/>
        </m:oMathParaPr>
        <m:oMath>
          <m:sSubSup>
            <m:e>
              <m:r>
                <m:t>E</m:t>
              </m:r>
            </m:e>
            <m:sub>
              <m:r>
                <m:t>r</m:t>
              </m:r>
            </m:sub>
            <m:sup>
              <m:r>
                <m:rPr>
                  <m:sty m:val="p"/>
                </m:rPr>
                <m:t>c</m:t>
              </m:r>
              <m:r>
                <m:rPr>
                  <m:sty m:val="p"/>
                </m:rPr>
                <m:t>u</m:t>
              </m:r>
              <m:r>
                <m:rPr>
                  <m:sty m:val="p"/>
                </m:rPr>
                <m:t>m</m:t>
              </m:r>
            </m:sup>
          </m:sSubSup>
          <m:d>
            <m:dPr>
              <m:begChr m:val="("/>
              <m:endChr m:val=")"/>
              <m:sepChr m:val=""/>
              <m:grow/>
            </m:dPr>
            <m:e>
              <m:r>
                <m:t>T</m:t>
              </m:r>
            </m:e>
          </m:d>
          <m:r>
            <m:rPr>
              <m:sty m:val="p"/>
            </m:rPr>
            <m:t>=</m:t>
          </m:r>
          <m:nary>
            <m:naryPr>
              <m:chr m:val="∑"/>
              <m:limLoc m:val="undOvr"/>
              <m:subHide m:val="off"/>
              <m:supHide m:val="off"/>
            </m:naryPr>
            <m:sub>
              <m:r>
                <m:t>t</m:t>
              </m:r>
              <m:r>
                <m:rPr>
                  <m:sty m:val="p"/>
                </m:rPr>
                <m:t>=</m:t>
              </m:r>
              <m:r>
                <m:t>1</m:t>
              </m:r>
            </m:sub>
            <m:sup>
              <m:r>
                <m:t>T</m:t>
              </m:r>
            </m:sup>
            <m:e>
              <m:nary>
                <m:naryPr>
                  <m:chr m:val="∑"/>
                  <m:limLoc m:val="undOvr"/>
                  <m:subHide m:val="off"/>
                  <m:supHide m:val="on"/>
                </m:naryPr>
                <m:sub>
                  <m:r>
                    <m:t>i</m:t>
                  </m:r>
                </m:sub>
                <m:sup>
                  <m:r>
                    <m:t>​</m:t>
                  </m:r>
                </m:sup>
                <m:e>
                  <m:sSub>
                    <m:e>
                      <m:r>
                        <m:t>x</m:t>
                      </m:r>
                    </m:e>
                    <m:sub>
                      <m:r>
                        <m:t>i</m:t>
                      </m:r>
                    </m:sub>
                  </m:sSub>
                </m:e>
              </m:nary>
            </m:e>
          </m:nary>
          <m:d>
            <m:dPr>
              <m:begChr m:val="("/>
              <m:endChr m:val=")"/>
              <m:sepChr m:val=""/>
              <m:grow/>
            </m:dPr>
            <m:e>
              <m:r>
                <m:t>t</m:t>
              </m:r>
            </m:e>
          </m:d>
          <m:r>
            <m:rPr>
              <m:sty m:val="b"/>
            </m:rPr>
            <m:t>1</m:t>
          </m:r>
          <m:d>
            <m:dPr>
              <m:begChr m:val="["/>
              <m:endChr m:val="]"/>
              <m:sepChr m:val=""/>
              <m:grow/>
            </m:dPr>
            <m:e>
              <m:r>
                <m:t>r</m:t>
              </m:r>
              <m:r>
                <m:rPr>
                  <m:sty m:val="p"/>
                </m:rPr>
                <m:t>∈</m:t>
              </m:r>
              <m:sSub>
                <m:e>
                  <m:r>
                    <m:rPr>
                      <m:sty m:val="p"/>
                      <m:scr m:val="script"/>
                    </m:rPr>
                    <m:t>P</m:t>
                  </m:r>
                </m:e>
                <m:sub>
                  <m:r>
                    <m:t>i</m:t>
                  </m:r>
                </m:sub>
              </m:sSub>
              <m:d>
                <m:dPr>
                  <m:begChr m:val="("/>
                  <m:endChr m:val=")"/>
                  <m:sepChr m:val=""/>
                  <m:grow/>
                </m:dPr>
                <m:e>
                  <m:r>
                    <m:t>t</m:t>
                  </m:r>
                </m:e>
              </m:d>
            </m:e>
          </m:d>
          <m:sSubSup>
            <m:e>
              <m:r>
                <m:t>E</m:t>
              </m:r>
            </m:e>
            <m:sub>
              <m:r>
                <m:t>i</m:t>
              </m:r>
              <m:r>
                <m:t>r</m:t>
              </m:r>
            </m:sub>
            <m:sup>
              <m:r>
                <m:rPr>
                  <m:sty m:val="p"/>
                </m:rPr>
                <m:t>r</m:t>
              </m:r>
              <m:r>
                <m:rPr>
                  <m:sty m:val="p"/>
                </m:rPr>
                <m:t>e</m:t>
              </m:r>
              <m:r>
                <m:rPr>
                  <m:sty m:val="p"/>
                </m:rPr>
                <m:t>l</m:t>
              </m:r>
              <m:r>
                <m:rPr>
                  <m:sty m:val="p"/>
                </m:rPr>
                <m:t>a</m:t>
              </m:r>
              <m:r>
                <m:rPr>
                  <m:sty m:val="p"/>
                </m:rPr>
                <m:t>y</m:t>
              </m:r>
            </m:sup>
          </m:sSubSup>
          <m:d>
            <m:dPr>
              <m:begChr m:val="("/>
              <m:endChr m:val=")"/>
              <m:sepChr m:val=""/>
              <m:grow/>
            </m:dPr>
            <m:e>
              <m:r>
                <m:t>t</m:t>
              </m:r>
            </m:e>
          </m:d>
          <m:r>
            <m:rPr>
              <m:sty m:val="p"/>
            </m:rPr>
            <m:t>.</m:t>
          </m:r>
        </m:oMath>
      </m:oMathPara>
    </w:p>
    <w:p>
      <w:r>
        <w:rPr>
          <w:rFonts w:ascii="Times New Roman" w:hAnsi="Times New Roman"/>
        </w:rPr>
        <w:t>The learning problem is therefore not equivalent to selecting the clients with minimum route cost. A statistically informative client can have a poor route, and repeatedly suppressing that client can bias long-run aggregation influence. The controller must balance statistical utility, communication cost, relay-energy depletion, and staleness.</w:t>
      </w:r>
    </w:p>
    <w:p>
      <w:pPr>
        <w:jc w:val="center"/>
      </w:pPr>
      <w:r>
        <w:drawing>
          <wp:inline xmlns:a="http://schemas.openxmlformats.org/drawingml/2006/main" xmlns:pic="http://schemas.openxmlformats.org/drawingml/2006/picture">
            <wp:extent cx="5715000" cy="4286250"/>
            <wp:docPr id="1" name="Picture 1"/>
            <wp:cNvGraphicFramePr>
              <a:graphicFrameLocks noChangeAspect="1"/>
            </wp:cNvGraphicFramePr>
            <a:graphic>
              <a:graphicData uri="http://schemas.openxmlformats.org/drawingml/2006/picture">
                <pic:pic>
                  <pic:nvPicPr>
                    <pic:cNvPr id="0" name="02_system_architecture.png"/>
                    <pic:cNvPicPr/>
                  </pic:nvPicPr>
                  <pic:blipFill>
                    <a:blip r:embed="rId10"/>
                    <a:stretch>
                      <a:fillRect/>
                    </a:stretch>
                  </pic:blipFill>
                  <pic:spPr>
                    <a:xfrm>
                      <a:off x="0" y="0"/>
                      <a:ext cx="5715000" cy="4286250"/>
                    </a:xfrm>
                    <a:prstGeom prst="rect"/>
                  </pic:spPr>
                </pic:pic>
              </a:graphicData>
            </a:graphic>
          </wp:inline>
        </w:drawing>
      </w:r>
    </w:p>
    <w:p>
      <w:pPr>
        <w:jc w:val="center"/>
      </w:pPr>
      <w:r>
        <w:rPr>
          <w:rFonts w:ascii="Times New Roman" w:hAnsi="Times New Roman"/>
          <w:i/>
          <w:sz w:val="18"/>
        </w:rPr>
        <w:t>Figure 1. Cross-layer hierarchical architecture used in this study. Learning-capable sensor clients exchange model updates through relay and edge layers before cloud aggregation.</w:t>
      </w:r>
    </w:p>
    <w:p>
      <w:pPr>
        <w:pStyle w:val="Heading1"/>
      </w:pPr>
      <w:r>
        <w:t>4. Cross-Layer Statistical-Utility-Aware HFL</w:t>
      </w:r>
    </w:p>
    <w:p>
      <w:pPr>
        <w:pStyle w:val="Heading2"/>
      </w:pPr>
      <w:r>
        <w:t>4.1 Statistical utility</w:t>
      </w:r>
    </w:p>
    <w:p>
      <w:r>
        <w:rPr>
          <w:rFonts w:ascii="Times New Roman" w:hAnsi="Times New Roman"/>
        </w:rPr>
        <w:t>For each client, the controller maintains a learning-value estimate derived from model-side metadata. Conceptually,</w:t>
      </w:r>
    </w:p>
    <w:p>
      <m:oMathPara xmlns:a="http://schemas.openxmlformats.org/drawingml/2006/main" xmlns:pic="http://schemas.openxmlformats.org/drawingml/2006/picture">
        <m:oMathParaPr>
          <m:jc m:val="center"/>
        </m:oMathParaPr>
        <m:oMath>
          <m:sSub>
            <m:e>
              <m:r>
                <m:t>U</m:t>
              </m:r>
            </m:e>
            <m:sub>
              <m:r>
                <m:t>i</m:t>
              </m:r>
            </m:sub>
          </m:sSub>
          <m:d>
            <m:dPr>
              <m:begChr m:val="("/>
              <m:endChr m:val=")"/>
              <m:sepChr m:val=""/>
              <m:grow/>
            </m:dPr>
            <m:e>
              <m:r>
                <m:t>t</m:t>
              </m:r>
            </m:e>
          </m:d>
          <m:r>
            <m:rPr>
              <m:sty m:val="p"/>
            </m:rPr>
            <m:t>=</m:t>
          </m:r>
          <m:sSub>
            <m:e>
              <m:r>
                <m:t>α</m:t>
              </m:r>
            </m:e>
            <m:sub>
              <m:r>
                <m:t>g</m:t>
              </m:r>
            </m:sub>
          </m:sSub>
          <m:sSub>
            <m:e>
              <m:r>
                <m:t>G</m:t>
              </m:r>
            </m:e>
            <m:sub>
              <m:r>
                <m:t>i</m:t>
              </m:r>
            </m:sub>
          </m:sSub>
          <m:d>
            <m:dPr>
              <m:begChr m:val="("/>
              <m:endChr m:val=")"/>
              <m:sepChr m:val=""/>
              <m:grow/>
            </m:dPr>
            <m:e>
              <m:r>
                <m:t>t</m:t>
              </m:r>
            </m:e>
          </m:d>
          <m:r>
            <m:rPr>
              <m:sty m:val="p"/>
            </m:rPr>
            <m:t>+</m:t>
          </m:r>
          <m:sSub>
            <m:e>
              <m:r>
                <m:t>α</m:t>
              </m:r>
            </m:e>
            <m:sub>
              <m:r>
                <m:t>l</m:t>
              </m:r>
            </m:sub>
          </m:sSub>
          <m:sSub>
            <m:e>
              <m:r>
                <m:t>L</m:t>
              </m:r>
            </m:e>
            <m:sub>
              <m:r>
                <m:t>i</m:t>
              </m:r>
            </m:sub>
          </m:sSub>
          <m:d>
            <m:dPr>
              <m:begChr m:val="("/>
              <m:endChr m:val=")"/>
              <m:sepChr m:val=""/>
              <m:grow/>
            </m:dPr>
            <m:e>
              <m:r>
                <m:t>t</m:t>
              </m:r>
            </m:e>
          </m:d>
          <m:r>
            <m:rPr>
              <m:sty m:val="p"/>
            </m:rPr>
            <m:t>+</m:t>
          </m:r>
          <m:sSub>
            <m:e>
              <m:r>
                <m:t>α</m:t>
              </m:r>
            </m:e>
            <m:sub>
              <m:r>
                <m:t>h</m:t>
              </m:r>
            </m:sub>
          </m:sSub>
          <m:sSub>
            <m:e>
              <m:r>
                <m:t>H</m:t>
              </m:r>
            </m:e>
            <m:sub>
              <m:r>
                <m:t>i</m:t>
              </m:r>
            </m:sub>
          </m:sSub>
          <m:d>
            <m:dPr>
              <m:begChr m:val="("/>
              <m:endChr m:val=")"/>
              <m:sepChr m:val=""/>
              <m:grow/>
            </m:dPr>
            <m:e>
              <m:r>
                <m:t>t</m:t>
              </m:r>
            </m:e>
          </m:d>
          <m:r>
            <m:rPr>
              <m:sty m:val="p"/>
            </m:rPr>
            <m:t>,</m:t>
          </m:r>
        </m:oMath>
      </m:oMathPara>
    </w:p>
    <w:p>
      <w:r>
        <w:rPr>
          <w:rFonts w:ascii="Times New Roman" w:hAnsi="Times New Roman"/>
        </w:rPr>
        <w:t xml:space="preserve">where </w:t>
      </w:r>
      <m:oMath xmlns:a="http://schemas.openxmlformats.org/drawingml/2006/main" xmlns:pic="http://schemas.openxmlformats.org/drawingml/2006/picture">
        <m:sSub>
          <m:e>
            <m:r>
              <m:t>G</m:t>
            </m:r>
          </m:e>
          <m:sub>
            <m:r>
              <m:t>i</m:t>
            </m:r>
          </m:sub>
        </m:sSub>
      </m:oMath>
      <w:r>
        <w:rPr>
          <w:rFonts w:ascii="Times New Roman" w:hAnsi="Times New Roman"/>
        </w:rPr>
        <w:t xml:space="preserve"> represents update novelty, </w:t>
      </w:r>
      <m:oMath xmlns:a="http://schemas.openxmlformats.org/drawingml/2006/main" xmlns:pic="http://schemas.openxmlformats.org/drawingml/2006/picture">
        <m:sSub>
          <m:e>
            <m:r>
              <m:t>L</m:t>
            </m:r>
          </m:e>
          <m:sub>
            <m:r>
              <m:t>i</m:t>
            </m:r>
          </m:sub>
        </m:sSub>
      </m:oMath>
      <w:r>
        <w:rPr>
          <w:rFonts w:ascii="Times New Roman" w:hAnsi="Times New Roman"/>
        </w:rPr>
        <w:t xml:space="preserve"> learning progress/difficulty, and </w:t>
      </w:r>
      <m:oMath xmlns:a="http://schemas.openxmlformats.org/drawingml/2006/main" xmlns:pic="http://schemas.openxmlformats.org/drawingml/2006/picture">
        <m:sSub>
          <m:e>
            <m:r>
              <m:t>H</m:t>
            </m:r>
          </m:e>
          <m:sub>
            <m:r>
              <m:t>i</m:t>
            </m:r>
          </m:sub>
        </m:sSub>
      </m:oMath>
      <w:r>
        <w:rPr>
          <w:rFonts w:ascii="Times New Roman" w:hAnsi="Times New Roman"/>
        </w:rPr>
        <w:t xml:space="preserve"> an optional distribution-rarity term when available. In the executed implementation, the </w:t>
      </w:r>
      <w:r>
        <w:rPr>
          <w:rFonts w:ascii="Times New Roman" w:hAnsi="Times New Roman"/>
          <w:b/>
        </w:rPr>
        <w:t>pre-selection</w:t>
      </w:r>
      <w:r>
        <w:rPr>
          <w:rFonts w:ascii="Times New Roman" w:hAnsi="Times New Roman"/>
        </w:rPr>
        <w:t xml:space="preserve"> score uses normalized current local loss and the exponentially smoothed utility history; update novelty and observed local improvement become available only after a client trains and are then used to update that history and to modulate staleness weighting. Raw client examples remain local, although scalar loss/utility metadata are reported to the scheduler; this is not a formal privacy guarantee.</w:t>
      </w:r>
    </w:p>
    <w:p>
      <w:r>
        <w:rPr>
          <w:rFonts w:ascii="Times New Roman" w:hAnsi="Times New Roman"/>
        </w:rPr>
        <w:t>The normalized desired statistical participation target is</w:t>
      </w:r>
    </w:p>
    <w:p>
      <m:oMathPara xmlns:a="http://schemas.openxmlformats.org/drawingml/2006/main" xmlns:pic="http://schemas.openxmlformats.org/drawingml/2006/picture">
        <m:oMathParaPr>
          <m:jc m:val="center"/>
        </m:oMathParaPr>
        <m:oMath>
          <m:sSub>
            <m:e>
              <m:r>
                <m:t>π</m:t>
              </m:r>
            </m:e>
            <m:sub>
              <m:r>
                <m:t>i</m:t>
              </m:r>
            </m:sub>
          </m:sSub>
          <m:d>
            <m:dPr>
              <m:begChr m:val="("/>
              <m:endChr m:val=")"/>
              <m:sepChr m:val=""/>
              <m:grow/>
            </m:dPr>
            <m:e>
              <m:r>
                <m:t>t</m:t>
              </m:r>
            </m:e>
          </m:d>
          <m:r>
            <m:rPr>
              <m:sty m:val="p"/>
            </m:rPr>
            <m:t>=</m:t>
          </m:r>
          <m:f>
            <m:fPr>
              <m:type m:val="bar"/>
            </m:fPr>
            <m:num>
              <m:sSub>
                <m:e>
                  <m:r>
                    <m:t>U</m:t>
                  </m:r>
                </m:e>
                <m:sub>
                  <m:r>
                    <m:t>i</m:t>
                  </m:r>
                </m:sub>
              </m:sSub>
              <m:d>
                <m:dPr>
                  <m:begChr m:val="("/>
                  <m:endChr m:val=")"/>
                  <m:sepChr m:val=""/>
                  <m:grow/>
                </m:dPr>
                <m:e>
                  <m:r>
                    <m:t>t</m:t>
                  </m:r>
                </m:e>
              </m:d>
              <m:r>
                <m:rPr>
                  <m:sty m:val="p"/>
                </m:rPr>
                <m:t>+</m:t>
              </m:r>
              <m:r>
                <m:t>ϵ</m:t>
              </m:r>
            </m:num>
            <m:den>
              <m:nary>
                <m:naryPr>
                  <m:chr m:val="∑"/>
                  <m:limLoc m:val="undOvr"/>
                  <m:subHide m:val="off"/>
                  <m:supHide m:val="on"/>
                </m:naryPr>
                <m:sub>
                  <m:r>
                    <m:t>j</m:t>
                  </m:r>
                </m:sub>
                <m:sup>
                  <m:r>
                    <m:t>​</m:t>
                  </m:r>
                </m:sup>
                <m:e>
                  <m:d>
                    <m:dPr>
                      <m:begChr m:val="("/>
                      <m:endChr m:val=")"/>
                      <m:sepChr m:val=""/>
                      <m:grow/>
                    </m:dPr>
                    <m:e>
                      <m:sSub>
                        <m:e>
                          <m:r>
                            <m:t>U</m:t>
                          </m:r>
                        </m:e>
                        <m:sub>
                          <m:r>
                            <m:t>j</m:t>
                          </m:r>
                        </m:sub>
                      </m:sSub>
                      <m:d>
                        <m:dPr>
                          <m:begChr m:val="("/>
                          <m:endChr m:val=")"/>
                          <m:sepChr m:val=""/>
                          <m:grow/>
                        </m:dPr>
                        <m:e>
                          <m:r>
                            <m:t>t</m:t>
                          </m:r>
                        </m:e>
                      </m:d>
                      <m:r>
                        <m:rPr>
                          <m:sty m:val="p"/>
                        </m:rPr>
                        <m:t>+</m:t>
                      </m:r>
                      <m:r>
                        <m:t>ϵ</m:t>
                      </m:r>
                    </m:e>
                  </m:d>
                </m:e>
              </m:nary>
            </m:den>
          </m:f>
          <m:r>
            <m:rPr>
              <m:sty m:val="p"/>
            </m:rPr>
            <m:t>.</m:t>
          </m:r>
        </m:oMath>
      </m:oMathPara>
    </w:p>
    <w:p>
      <w:pPr>
        <w:pStyle w:val="Heading2"/>
      </w:pPr>
      <w:r>
        <w:t>4.2 Representation-deficit queue</w:t>
      </w:r>
    </w:p>
    <w:p>
      <w:r>
        <w:rPr>
          <w:rFonts w:ascii="Times New Roman" w:hAnsi="Times New Roman"/>
        </w:rPr>
        <w:t>A virtual queue tracks the difference between desired and realized participation share:</w:t>
      </w:r>
    </w:p>
    <w:p>
      <m:oMathPara xmlns:a="http://schemas.openxmlformats.org/drawingml/2006/main" xmlns:pic="http://schemas.openxmlformats.org/drawingml/2006/picture">
        <m:oMathParaPr>
          <m:jc m:val="center"/>
        </m:oMathParaPr>
        <m:oMath>
          <m:sSub>
            <m:e>
              <m:r>
                <m:t>Q</m:t>
              </m:r>
            </m:e>
            <m:sub>
              <m:r>
                <m:t>i</m:t>
              </m:r>
            </m:sub>
          </m:sSub>
          <m:d>
            <m:dPr>
              <m:begChr m:val="("/>
              <m:endChr m:val=")"/>
              <m:sepChr m:val=""/>
              <m:grow/>
            </m:dPr>
            <m:e>
              <m:r>
                <m:t>t</m:t>
              </m:r>
              <m:r>
                <m:rPr>
                  <m:sty m:val="p"/>
                </m:rPr>
                <m:t>+</m:t>
              </m:r>
              <m:r>
                <m:t>1</m:t>
              </m:r>
            </m:e>
          </m:d>
          <m:r>
            <m:rPr>
              <m:sty m:val="p"/>
            </m:rPr>
            <m:t>=</m:t>
          </m:r>
          <m:sSup>
            <m:e>
              <m:d>
                <m:dPr>
                  <m:begChr m:val="["/>
                  <m:endChr m:val="]"/>
                  <m:sepChr m:val=""/>
                  <m:grow/>
                </m:dPr>
                <m:e>
                  <m:sSub>
                    <m:e>
                      <m:r>
                        <m:t>Q</m:t>
                      </m:r>
                    </m:e>
                    <m:sub>
                      <m:r>
                        <m:t>i</m:t>
                      </m:r>
                    </m:sub>
                  </m:sSub>
                  <m:d>
                    <m:dPr>
                      <m:begChr m:val="("/>
                      <m:endChr m:val=")"/>
                      <m:sepChr m:val=""/>
                      <m:grow/>
                    </m:dPr>
                    <m:e>
                      <m:r>
                        <m:t>t</m:t>
                      </m:r>
                    </m:e>
                  </m:d>
                  <m:r>
                    <m:rPr>
                      <m:sty m:val="p"/>
                    </m:rPr>
                    <m:t>+</m:t>
                  </m:r>
                  <m:sSub>
                    <m:e>
                      <m:r>
                        <m:t>π</m:t>
                      </m:r>
                    </m:e>
                    <m:sub>
                      <m:r>
                        <m:t>i</m:t>
                      </m:r>
                    </m:sub>
                  </m:sSub>
                  <m:d>
                    <m:dPr>
                      <m:begChr m:val="("/>
                      <m:endChr m:val=")"/>
                      <m:sepChr m:val=""/>
                      <m:grow/>
                    </m:dPr>
                    <m:e>
                      <m:r>
                        <m:t>t</m:t>
                      </m:r>
                    </m:e>
                  </m:d>
                  <m:r>
                    <m:rPr>
                      <m:sty m:val="p"/>
                    </m:rPr>
                    <m:t>−</m:t>
                  </m:r>
                  <m:sSub>
                    <m:e>
                      <m:r>
                        <m:t>a</m:t>
                      </m:r>
                    </m:e>
                    <m:sub>
                      <m:r>
                        <m:t>i</m:t>
                      </m:r>
                    </m:sub>
                  </m:sSub>
                  <m:d>
                    <m:dPr>
                      <m:begChr m:val="("/>
                      <m:endChr m:val=")"/>
                      <m:sepChr m:val=""/>
                      <m:grow/>
                    </m:dPr>
                    <m:e>
                      <m:r>
                        <m:t>t</m:t>
                      </m:r>
                    </m:e>
                  </m:d>
                </m:e>
              </m:d>
            </m:e>
            <m:sup>
              <m:r>
                <m:rPr>
                  <m:sty m:val="p"/>
                </m:rPr>
                <m:t>+</m:t>
              </m:r>
            </m:sup>
          </m:sSup>
          <m:r>
            <m:rPr>
              <m:sty m:val="p"/>
            </m:rPr>
            <m:t>.</m:t>
          </m:r>
        </m:oMath>
      </m:oMathPara>
    </w:p>
    <w:p>
      <w:r>
        <w:rPr>
          <w:rFonts w:ascii="Times New Roman" w:hAnsi="Times New Roman"/>
        </w:rPr>
        <w:t xml:space="preserve">Here </w:t>
      </w:r>
      <m:oMath xmlns:a="http://schemas.openxmlformats.org/drawingml/2006/main" xmlns:pic="http://schemas.openxmlformats.org/drawingml/2006/picture">
        <m:sSub>
          <m:e>
            <m:r>
              <m:t>a</m:t>
            </m:r>
          </m:e>
          <m:sub>
            <m:r>
              <m:t>i</m:t>
            </m:r>
          </m:sub>
        </m:sSub>
        <m:d>
          <m:dPr>
            <m:begChr m:val="("/>
            <m:endChr m:val=")"/>
            <m:sepChr m:val=""/>
            <m:grow/>
          </m:dPr>
          <m:e>
            <m:r>
              <m:t>t</m:t>
            </m:r>
          </m:e>
        </m:d>
        <m:r>
          <m:rPr>
            <m:sty m:val="p"/>
          </m:rPr>
          <m:t>=</m:t>
        </m:r>
        <m:sSub>
          <m:e>
            <m:r>
              <m:t>x</m:t>
            </m:r>
          </m:e>
          <m:sub>
            <m:r>
              <m:t>i</m:t>
            </m:r>
          </m:sub>
        </m:sSub>
        <m:d>
          <m:dPr>
            <m:begChr m:val="("/>
            <m:endChr m:val=")"/>
            <m:sepChr m:val=""/>
            <m:grow/>
          </m:dPr>
          <m:e>
            <m:r>
              <m:t>t</m:t>
            </m:r>
          </m:e>
        </m:d>
        <m:r>
          <m:rPr>
            <m:sty m:val="p"/>
          </m:rPr>
          <m:t>/</m:t>
        </m:r>
        <m:sSub>
          <m:e>
            <m:r>
              <m:t>k</m:t>
            </m:r>
          </m:e>
          <m:sub>
            <m:r>
              <m:t>t</m:t>
            </m:r>
          </m:sub>
        </m:sSub>
      </m:oMath>
      <w:r>
        <w:rPr>
          <w:rFonts w:ascii="Times New Roman" w:hAnsi="Times New Roman"/>
        </w:rPr>
        <w:t xml:space="preserve"> for a selected set of size </w:t>
      </w:r>
      <m:oMath xmlns:a="http://schemas.openxmlformats.org/drawingml/2006/main" xmlns:pic="http://schemas.openxmlformats.org/drawingml/2006/picture">
        <m:sSub>
          <m:e>
            <m:r>
              <m:t>k</m:t>
            </m:r>
          </m:e>
          <m:sub>
            <m:r>
              <m:t>t</m:t>
            </m:r>
          </m:sub>
        </m:sSub>
        <m:r>
          <m:rPr>
            <m:sty m:val="p"/>
          </m:rPr>
          <m:t>&gt;</m:t>
        </m:r>
        <m:r>
          <m:t>0</m:t>
        </m:r>
      </m:oMath>
      <w:r>
        <w:rPr>
          <w:rFonts w:ascii="Times New Roman" w:hAnsi="Times New Roman"/>
        </w:rPr>
        <w:t xml:space="preserve">, and </w:t>
      </w:r>
      <m:oMath xmlns:a="http://schemas.openxmlformats.org/drawingml/2006/main" xmlns:pic="http://schemas.openxmlformats.org/drawingml/2006/picture">
        <m:sSub>
          <m:e>
            <m:r>
              <m:t>a</m:t>
            </m:r>
          </m:e>
          <m:sub>
            <m:r>
              <m:t>i</m:t>
            </m:r>
          </m:sub>
        </m:sSub>
        <m:d>
          <m:dPr>
            <m:begChr m:val="("/>
            <m:endChr m:val=")"/>
            <m:sepChr m:val=""/>
            <m:grow/>
          </m:dPr>
          <m:e>
            <m:r>
              <m:t>t</m:t>
            </m:r>
          </m:e>
        </m:d>
        <m:r>
          <m:rPr>
            <m:sty m:val="p"/>
          </m:rPr>
          <m:t>=</m:t>
        </m:r>
        <m:r>
          <m:t>0</m:t>
        </m:r>
      </m:oMath>
      <w:r>
        <w:rPr>
          <w:rFonts w:ascii="Times New Roman" w:hAnsi="Times New Roman"/>
        </w:rPr>
        <w:t xml:space="preserve"> when no client is selected. This is deliberately different from enforcing identical selection frequency. Clients are allowed unequal participation when their statistical value differs, but persistent starvation creates queue pressure that increases their future scheduling priority. Directly from the queue recursion,</w:t>
      </w:r>
    </w:p>
    <w:p>
      <m:oMathPara xmlns:a="http://schemas.openxmlformats.org/drawingml/2006/main" xmlns:pic="http://schemas.openxmlformats.org/drawingml/2006/picture">
        <m:oMathParaPr>
          <m:jc m:val="center"/>
        </m:oMathParaPr>
        <m:oMath>
          <m:f>
            <m:fPr>
              <m:type m:val="bar"/>
            </m:fPr>
            <m:num>
              <m:r>
                <m:t>1</m:t>
              </m:r>
            </m:num>
            <m:den>
              <m:r>
                <m:t>T</m:t>
              </m:r>
            </m:den>
          </m:f>
          <m:nary>
            <m:naryPr>
              <m:chr m:val="∑"/>
              <m:limLoc m:val="undOvr"/>
              <m:subHide m:val="off"/>
              <m:supHide m:val="on"/>
            </m:naryPr>
            <m:sub>
              <m:r>
                <m:t>t</m:t>
              </m:r>
              <m:r>
                <m:rPr>
                  <m:sty m:val="p"/>
                </m:rPr>
                <m:t>&lt;</m:t>
              </m:r>
              <m:r>
                <m:t>T</m:t>
              </m:r>
            </m:sub>
            <m:sup>
              <m:r>
                <m:t>​</m:t>
              </m:r>
            </m:sup>
            <m:e>
              <m:sSub>
                <m:e>
                  <m:r>
                    <m:t>a</m:t>
                  </m:r>
                </m:e>
                <m:sub>
                  <m:r>
                    <m:t>i</m:t>
                  </m:r>
                </m:sub>
              </m:sSub>
            </m:e>
          </m:nary>
          <m:d>
            <m:dPr>
              <m:begChr m:val="("/>
              <m:endChr m:val=")"/>
              <m:sepChr m:val=""/>
              <m:grow/>
            </m:dPr>
            <m:e>
              <m:r>
                <m:t>t</m:t>
              </m:r>
            </m:e>
          </m:d>
          <m:r>
            <m:rPr>
              <m:sty m:val="p"/>
            </m:rPr>
            <m:t>≥</m:t>
          </m:r>
          <m:f>
            <m:fPr>
              <m:type m:val="bar"/>
            </m:fPr>
            <m:num>
              <m:r>
                <m:t>1</m:t>
              </m:r>
            </m:num>
            <m:den>
              <m:r>
                <m:t>T</m:t>
              </m:r>
            </m:den>
          </m:f>
          <m:nary>
            <m:naryPr>
              <m:chr m:val="∑"/>
              <m:limLoc m:val="undOvr"/>
              <m:subHide m:val="off"/>
              <m:supHide m:val="on"/>
            </m:naryPr>
            <m:sub>
              <m:r>
                <m:t>t</m:t>
              </m:r>
              <m:r>
                <m:rPr>
                  <m:sty m:val="p"/>
                </m:rPr>
                <m:t>&lt;</m:t>
              </m:r>
              <m:r>
                <m:t>T</m:t>
              </m:r>
            </m:sub>
            <m:sup>
              <m:r>
                <m:t>​</m:t>
              </m:r>
            </m:sup>
            <m:e>
              <m:sSub>
                <m:e>
                  <m:r>
                    <m:t>π</m:t>
                  </m:r>
                </m:e>
                <m:sub>
                  <m:r>
                    <m:t>i</m:t>
                  </m:r>
                </m:sub>
              </m:sSub>
            </m:e>
          </m:nary>
          <m:d>
            <m:dPr>
              <m:begChr m:val="("/>
              <m:endChr m:val=")"/>
              <m:sepChr m:val=""/>
              <m:grow/>
            </m:dPr>
            <m:e>
              <m:r>
                <m:t>t</m:t>
              </m:r>
            </m:e>
          </m:d>
          <m:r>
            <m:rPr>
              <m:sty m:val="p"/>
            </m:rPr>
            <m:t>−</m:t>
          </m:r>
          <m:f>
            <m:fPr>
              <m:type m:val="bar"/>
            </m:fPr>
            <m:num>
              <m:sSub>
                <m:e>
                  <m:r>
                    <m:t>Q</m:t>
                  </m:r>
                </m:e>
                <m:sub>
                  <m:r>
                    <m:t>i</m:t>
                  </m:r>
                </m:sub>
              </m:sSub>
              <m:d>
                <m:dPr>
                  <m:begChr m:val="("/>
                  <m:endChr m:val=")"/>
                  <m:sepChr m:val=""/>
                  <m:grow/>
                </m:dPr>
                <m:e>
                  <m:r>
                    <m:t>T</m:t>
                  </m:r>
                </m:e>
              </m:d>
              <m:r>
                <m:rPr>
                  <m:sty m:val="p"/>
                </m:rPr>
                <m:t>−</m:t>
              </m:r>
              <m:sSub>
                <m:e>
                  <m:r>
                    <m:t>Q</m:t>
                  </m:r>
                </m:e>
                <m:sub>
                  <m:r>
                    <m:t>i</m:t>
                  </m:r>
                </m:sub>
              </m:sSub>
              <m:d>
                <m:dPr>
                  <m:begChr m:val="("/>
                  <m:endChr m:val=")"/>
                  <m:sepChr m:val=""/>
                  <m:grow/>
                </m:dPr>
                <m:e>
                  <m:r>
                    <m:t>0</m:t>
                  </m:r>
                </m:e>
              </m:d>
            </m:num>
            <m:den>
              <m:r>
                <m:t>T</m:t>
              </m:r>
            </m:den>
          </m:f>
          <m:r>
            <m:rPr>
              <m:sty m:val="p"/>
            </m:rPr>
            <m:t>.</m:t>
          </m:r>
        </m:oMath>
      </m:oMathPara>
    </w:p>
    <w:p>
      <w:r>
        <w:rPr>
          <w:rFonts w:ascii="Times New Roman" w:hAnsi="Times New Roman"/>
        </w:rPr>
        <w:t xml:space="preserve">Thus rate stability of </w:t>
      </w:r>
      <m:oMath xmlns:a="http://schemas.openxmlformats.org/drawingml/2006/main" xmlns:pic="http://schemas.openxmlformats.org/drawingml/2006/picture">
        <m:sSub>
          <m:e>
            <m:r>
              <m:t>Q</m:t>
            </m:r>
          </m:e>
          <m:sub>
            <m:r>
              <m:t>i</m:t>
            </m:r>
          </m:sub>
        </m:sSub>
      </m:oMath>
      <w:r>
        <w:rPr>
          <w:rFonts w:ascii="Times New Roman" w:hAnsi="Times New Roman"/>
        </w:rPr>
        <w:t xml:space="preserve"> is sufficient for meeting the long-run </w:t>
      </w:r>
      <w:r>
        <w:rPr>
          <w:rFonts w:ascii="Times New Roman" w:hAnsi="Times New Roman"/>
          <w:b/>
        </w:rPr>
        <w:t>participation-share</w:t>
      </w:r>
      <w:r>
        <w:rPr>
          <w:rFonts w:ascii="Times New Roman" w:hAnsi="Times New Roman"/>
        </w:rPr>
        <w:t xml:space="preserve"> target. It does not guarantee equality of final aggregation influence with </w:t>
      </w:r>
      <m:oMath xmlns:a="http://schemas.openxmlformats.org/drawingml/2006/main" xmlns:pic="http://schemas.openxmlformats.org/drawingml/2006/picture">
        <m:sSub>
          <m:e>
            <m:r>
              <m:t>π</m:t>
            </m:r>
          </m:e>
          <m:sub>
            <m:r>
              <m:t>i</m:t>
            </m:r>
          </m:sub>
        </m:sSub>
      </m:oMath>
      <w:r>
        <w:rPr>
          <w:rFonts w:ascii="Times New Roman" w:hAnsi="Times New Roman"/>
        </w:rPr>
        <w:t>, because compression, drops, staleness and hierarchical weighting intervene after selection.</w:t>
      </w:r>
    </w:p>
    <w:p>
      <w:pPr>
        <w:pStyle w:val="Heading2"/>
      </w:pPr>
      <w:r>
        <w:t>4.3 Relay-energy queue</w:t>
      </w:r>
    </w:p>
    <w:p>
      <w:r>
        <w:rPr>
          <w:rFonts w:ascii="Times New Roman" w:hAnsi="Times New Roman"/>
        </w:rPr>
        <w:t xml:space="preserve">For relay </w:t>
      </w:r>
      <m:oMath xmlns:a="http://schemas.openxmlformats.org/drawingml/2006/main" xmlns:pic="http://schemas.openxmlformats.org/drawingml/2006/picture">
        <m:r>
          <m:t>r</m:t>
        </m:r>
      </m:oMath>
      <w:r>
        <w:rPr>
          <w:rFonts w:ascii="Times New Roman" w:hAnsi="Times New Roman"/>
        </w:rPr>
        <w:t>,</w:t>
      </w:r>
    </w:p>
    <w:p>
      <m:oMathPara xmlns:a="http://schemas.openxmlformats.org/drawingml/2006/main" xmlns:pic="http://schemas.openxmlformats.org/drawingml/2006/picture">
        <m:oMathParaPr>
          <m:jc m:val="center"/>
        </m:oMathParaPr>
        <m:oMath>
          <m:sSub>
            <m:e>
              <m:r>
                <m:t>Z</m:t>
              </m:r>
            </m:e>
            <m:sub>
              <m:r>
                <m:t>r</m:t>
              </m:r>
            </m:sub>
          </m:sSub>
          <m:d>
            <m:dPr>
              <m:begChr m:val="("/>
              <m:endChr m:val=")"/>
              <m:sepChr m:val=""/>
              <m:grow/>
            </m:dPr>
            <m:e>
              <m:r>
                <m:t>t</m:t>
              </m:r>
              <m:r>
                <m:rPr>
                  <m:sty m:val="p"/>
                </m:rPr>
                <m:t>+</m:t>
              </m:r>
              <m:r>
                <m:t>1</m:t>
              </m:r>
            </m:e>
          </m:d>
          <m:r>
            <m:rPr>
              <m:sty m:val="p"/>
            </m:rPr>
            <m:t>=</m:t>
          </m:r>
          <m:sSup>
            <m:e>
              <m:d>
                <m:dPr>
                  <m:begChr m:val="["/>
                  <m:endChr m:val="]"/>
                  <m:sepChr m:val=""/>
                  <m:grow/>
                </m:dPr>
                <m:e>
                  <m:sSub>
                    <m:e>
                      <m:r>
                        <m:t>Z</m:t>
                      </m:r>
                    </m:e>
                    <m:sub>
                      <m:r>
                        <m:t>r</m:t>
                      </m:r>
                    </m:sub>
                  </m:sSub>
                  <m:d>
                    <m:dPr>
                      <m:begChr m:val="("/>
                      <m:endChr m:val=")"/>
                      <m:sepChr m:val=""/>
                      <m:grow/>
                    </m:dPr>
                    <m:e>
                      <m:r>
                        <m:t>t</m:t>
                      </m:r>
                    </m:e>
                  </m:d>
                  <m:r>
                    <m:rPr>
                      <m:sty m:val="p"/>
                    </m:rPr>
                    <m:t>+</m:t>
                  </m:r>
                  <m:sSubSup>
                    <m:e>
                      <m:r>
                        <m:t>E</m:t>
                      </m:r>
                    </m:e>
                    <m:sub>
                      <m:r>
                        <m:t>r</m:t>
                      </m:r>
                    </m:sub>
                    <m:sup>
                      <m:r>
                        <m:rPr>
                          <m:sty m:val="p"/>
                        </m:rPr>
                        <m:t>r</m:t>
                      </m:r>
                      <m:r>
                        <m:rPr>
                          <m:sty m:val="p"/>
                        </m:rPr>
                        <m:t>e</m:t>
                      </m:r>
                      <m:r>
                        <m:rPr>
                          <m:sty m:val="p"/>
                        </m:rPr>
                        <m:t>l</m:t>
                      </m:r>
                      <m:r>
                        <m:rPr>
                          <m:sty m:val="p"/>
                        </m:rPr>
                        <m:t>a</m:t>
                      </m:r>
                      <m:r>
                        <m:rPr>
                          <m:sty m:val="p"/>
                        </m:rPr>
                        <m:t>y</m:t>
                      </m:r>
                    </m:sup>
                  </m:sSubSup>
                  <m:d>
                    <m:dPr>
                      <m:begChr m:val="("/>
                      <m:endChr m:val=")"/>
                      <m:sepChr m:val=""/>
                      <m:grow/>
                    </m:dPr>
                    <m:e>
                      <m:r>
                        <m:t>t</m:t>
                      </m:r>
                    </m:e>
                  </m:d>
                  <m:r>
                    <m:rPr>
                      <m:sty m:val="p"/>
                    </m:rPr>
                    <m:t>−</m:t>
                  </m:r>
                  <m:sSub>
                    <m:e>
                      <m:acc>
                        <m:accPr>
                          <m:chr m:val="‾"/>
                        </m:accPr>
                        <m:e>
                          <m:r>
                            <m:t>E</m:t>
                          </m:r>
                        </m:e>
                      </m:acc>
                    </m:e>
                    <m:sub>
                      <m:r>
                        <m:t>r</m:t>
                      </m:r>
                    </m:sub>
                  </m:sSub>
                </m:e>
              </m:d>
            </m:e>
            <m:sup>
              <m:r>
                <m:rPr>
                  <m:sty m:val="p"/>
                </m:rPr>
                <m:t>+</m:t>
              </m:r>
            </m:sup>
          </m:sSup>
          <m:r>
            <m:rPr>
              <m:sty m:val="p"/>
            </m:rPr>
            <m:t>,</m:t>
          </m:r>
        </m:oMath>
      </m:oMathPara>
    </w:p>
    <w:p>
      <w:r>
        <w:rPr>
          <w:rFonts w:ascii="Times New Roman" w:hAnsi="Times New Roman"/>
        </w:rPr>
        <w:t xml:space="preserve">and route pressure for client </w:t>
      </w:r>
      <m:oMath xmlns:a="http://schemas.openxmlformats.org/drawingml/2006/main" xmlns:pic="http://schemas.openxmlformats.org/drawingml/2006/picture">
        <m:r>
          <m:t>i</m:t>
        </m:r>
      </m:oMath>
      <w:r>
        <w:rPr>
          <w:rFonts w:ascii="Times New Roman" w:hAnsi="Times New Roman"/>
        </w:rPr>
        <w:t xml:space="preserve"> is</w:t>
      </w:r>
    </w:p>
    <w:p>
      <m:oMathPara xmlns:a="http://schemas.openxmlformats.org/drawingml/2006/main" xmlns:pic="http://schemas.openxmlformats.org/drawingml/2006/picture">
        <m:oMathParaPr>
          <m:jc m:val="center"/>
        </m:oMathParaPr>
        <m:oMath>
          <m:sSub>
            <m:e>
              <m:r>
                <m:t>R</m:t>
              </m:r>
            </m:e>
            <m:sub>
              <m:r>
                <m:t>i</m:t>
              </m:r>
            </m:sub>
          </m:sSub>
          <m:d>
            <m:dPr>
              <m:begChr m:val="("/>
              <m:endChr m:val=")"/>
              <m:sepChr m:val=""/>
              <m:grow/>
            </m:dPr>
            <m:e>
              <m:r>
                <m:t>t</m:t>
              </m:r>
            </m:e>
          </m:d>
          <m:r>
            <m:rPr>
              <m:sty m:val="p"/>
            </m:rPr>
            <m:t>=</m:t>
          </m:r>
          <m:nary>
            <m:naryPr>
              <m:chr m:val="∑"/>
              <m:limLoc m:val="undOvr"/>
              <m:subHide m:val="off"/>
              <m:supHide m:val="on"/>
            </m:naryPr>
            <m:sub>
              <m:r>
                <m:t>r</m:t>
              </m:r>
              <m:r>
                <m:rPr>
                  <m:sty m:val="p"/>
                </m:rPr>
                <m:t>∈</m:t>
              </m:r>
              <m:sSub>
                <m:e>
                  <m:r>
                    <m:rPr>
                      <m:sty m:val="p"/>
                      <m:scr m:val="script"/>
                    </m:rPr>
                    <m:t>P</m:t>
                  </m:r>
                </m:e>
                <m:sub>
                  <m:r>
                    <m:t>i</m:t>
                  </m:r>
                </m:sub>
              </m:sSub>
              <m:d>
                <m:dPr>
                  <m:begChr m:val="("/>
                  <m:endChr m:val=")"/>
                  <m:sepChr m:val=""/>
                  <m:grow/>
                </m:dPr>
                <m:e>
                  <m:r>
                    <m:t>t</m:t>
                  </m:r>
                </m:e>
              </m:d>
            </m:sub>
            <m:sup>
              <m:r>
                <m:t>​</m:t>
              </m:r>
            </m:sup>
            <m:e>
              <m:sSub>
                <m:e>
                  <m:r>
                    <m:t>Z</m:t>
                  </m:r>
                </m:e>
                <m:sub>
                  <m:r>
                    <m:t>r</m:t>
                  </m:r>
                </m:sub>
              </m:sSub>
            </m:e>
          </m:nary>
          <m:d>
            <m:dPr>
              <m:begChr m:val="("/>
              <m:endChr m:val=")"/>
              <m:sepChr m:val=""/>
              <m:grow/>
            </m:dPr>
            <m:e>
              <m:r>
                <m:t>t</m:t>
              </m:r>
            </m:e>
          </m:d>
          <m:r>
            <m:rPr>
              <m:sty m:val="p"/>
            </m:rPr>
            <m:t>.</m:t>
          </m:r>
        </m:oMath>
      </m:oMathPara>
    </w:p>
    <w:p>
      <w:r>
        <w:rPr>
          <w:rFonts w:ascii="Times New Roman" w:hAnsi="Times New Roman"/>
        </w:rPr>
        <w:t>This term captures the funneling effect caused by repeatedly transporting model updates through the same relay corridor.</w:t>
      </w:r>
    </w:p>
    <w:p>
      <w:pPr>
        <w:pStyle w:val="Heading2"/>
      </w:pPr>
      <w:r>
        <w:t>4.4 Adaptive update fidelity</w:t>
      </w:r>
    </w:p>
    <w:p>
      <w:r>
        <w:rPr>
          <w:rFonts w:ascii="Times New Roman" w:hAnsi="Times New Roman"/>
        </w:rPr>
        <w:t xml:space="preserve">Let </w:t>
      </w:r>
      <m:oMath xmlns:a="http://schemas.openxmlformats.org/drawingml/2006/main" xmlns:pic="http://schemas.openxmlformats.org/drawingml/2006/picture">
        <m:sSub>
          <m:e>
            <m:r>
              <m:t>ρ</m:t>
            </m:r>
          </m:e>
          <m:sub>
            <m:r>
              <m:t>i</m:t>
            </m:r>
          </m:sub>
        </m:sSub>
        <m:d>
          <m:dPr>
            <m:begChr m:val="("/>
            <m:endChr m:val=")"/>
            <m:sepChr m:val=""/>
            <m:grow/>
          </m:dPr>
          <m:e>
            <m:r>
              <m:t>t</m:t>
            </m:r>
          </m:e>
        </m:d>
      </m:oMath>
      <w:r>
        <w:rPr>
          <w:rFonts w:ascii="Times New Roman" w:hAnsi="Times New Roman"/>
        </w:rPr>
        <w:t xml:space="preserve"> be the retained Top-k fraction. The controller evaluates a finite set of compression ratios and minimizes</w:t>
      </w:r>
    </w:p>
    <w:p>
      <m:oMathPara xmlns:a="http://schemas.openxmlformats.org/drawingml/2006/main" xmlns:pic="http://schemas.openxmlformats.org/drawingml/2006/picture">
        <m:oMathParaPr>
          <m:jc m:val="center"/>
        </m:oMathParaPr>
        <m:oMath>
          <m:sSubSup>
            <m:e>
              <m:r>
                <m:t>J</m:t>
              </m:r>
            </m:e>
            <m:sub>
              <m:r>
                <m:t>i</m:t>
              </m:r>
            </m:sub>
            <m:sup>
              <m:r>
                <m:rPr>
                  <m:sty m:val="p"/>
                </m:rPr>
                <m:t>c</m:t>
              </m:r>
              <m:r>
                <m:rPr>
                  <m:sty m:val="p"/>
                </m:rPr>
                <m:t>o</m:t>
              </m:r>
              <m:r>
                <m:rPr>
                  <m:sty m:val="p"/>
                </m:rPr>
                <m:t>m</m:t>
              </m:r>
              <m:r>
                <m:rPr>
                  <m:sty m:val="p"/>
                </m:rPr>
                <m:t>p</m:t>
              </m:r>
            </m:sup>
          </m:sSubSup>
          <m:d>
            <m:dPr>
              <m:begChr m:val="("/>
              <m:endChr m:val=")"/>
              <m:sepChr m:val=""/>
              <m:grow/>
            </m:dPr>
            <m:e>
              <m:r>
                <m:t>ρ</m:t>
              </m:r>
            </m:e>
          </m:d>
          <m:r>
            <m:rPr>
              <m:sty m:val="p"/>
            </m:rPr>
            <m:t>=</m:t>
          </m:r>
          <m:r>
            <m:t>ρ</m:t>
          </m:r>
          <m:d>
            <m:dPr>
              <m:begChr m:val="("/>
              <m:endChr m:val=")"/>
              <m:sepChr m:val=""/>
              <m:grow/>
            </m:dPr>
            <m:e>
              <m:sSubSup>
                <m:e>
                  <m:acc>
                    <m:accPr>
                      <m:chr m:val="̃"/>
                    </m:accPr>
                    <m:e>
                      <m:r>
                        <m:t>C</m:t>
                      </m:r>
                    </m:e>
                  </m:acc>
                </m:e>
                <m:sub>
                  <m:r>
                    <m:t>i</m:t>
                  </m:r>
                </m:sub>
                <m:sup>
                  <m:r>
                    <m:rPr>
                      <m:sty m:val="p"/>
                    </m:rPr>
                    <m:t>r</m:t>
                  </m:r>
                  <m:r>
                    <m:rPr>
                      <m:sty m:val="p"/>
                    </m:rPr>
                    <m:t>o</m:t>
                  </m:r>
                  <m:r>
                    <m:rPr>
                      <m:sty m:val="p"/>
                    </m:rPr>
                    <m:t>u</m:t>
                  </m:r>
                  <m:r>
                    <m:rPr>
                      <m:sty m:val="p"/>
                    </m:rPr>
                    <m:t>t</m:t>
                  </m:r>
                  <m:r>
                    <m:rPr>
                      <m:sty m:val="p"/>
                    </m:rPr>
                    <m:t>e</m:t>
                  </m:r>
                </m:sup>
              </m:sSubSup>
              <m:r>
                <m:rPr>
                  <m:sty m:val="p"/>
                </m:rPr>
                <m:t>+</m:t>
              </m:r>
              <m:sSub>
                <m:e>
                  <m:r>
                    <m:t>η</m:t>
                  </m:r>
                </m:e>
                <m:sub>
                  <m:r>
                    <m:t>E</m:t>
                  </m:r>
                </m:sub>
              </m:sSub>
              <m:sSub>
                <m:e>
                  <m:acc>
                    <m:accPr>
                      <m:chr m:val="̃"/>
                    </m:accPr>
                    <m:e>
                      <m:r>
                        <m:t>S</m:t>
                      </m:r>
                    </m:e>
                  </m:acc>
                </m:e>
                <m:sub>
                  <m:r>
                    <m:t>i</m:t>
                  </m:r>
                </m:sub>
              </m:sSub>
              <m:r>
                <m:rPr>
                  <m:sty m:val="p"/>
                </m:rPr>
                <m:t>+</m:t>
              </m:r>
              <m:sSub>
                <m:e>
                  <m:r>
                    <m:t>η</m:t>
                  </m:r>
                </m:e>
                <m:sub>
                  <m:r>
                    <m:t>R</m:t>
                  </m:r>
                </m:sub>
              </m:sSub>
              <m:sSub>
                <m:e>
                  <m:acc>
                    <m:accPr>
                      <m:chr m:val="̃"/>
                    </m:accPr>
                    <m:e>
                      <m:r>
                        <m:t>R</m:t>
                      </m:r>
                    </m:e>
                  </m:acc>
                </m:e>
                <m:sub>
                  <m:r>
                    <m:t>i</m:t>
                  </m:r>
                </m:sub>
              </m:sSub>
            </m:e>
          </m:d>
          <m:r>
            <m:rPr>
              <m:sty m:val="p"/>
            </m:rPr>
            <m:t>+</m:t>
          </m:r>
          <m:r>
            <m:t>β</m:t>
          </m:r>
          <m:sSub>
            <m:e>
              <m:r>
                <m:t>U</m:t>
              </m:r>
            </m:e>
            <m:sub>
              <m:r>
                <m:t>i</m:t>
              </m:r>
            </m:sub>
          </m:sSub>
          <m:d>
            <m:dPr>
              <m:begChr m:val="("/>
              <m:endChr m:val=")"/>
              <m:sepChr m:val=""/>
              <m:grow/>
            </m:dPr>
            <m:e>
              <m:r>
                <m:t>t</m:t>
              </m:r>
            </m:e>
          </m:d>
          <m:sSup>
            <m:e>
              <m:d>
                <m:dPr>
                  <m:begChr m:val="("/>
                  <m:endChr m:val=")"/>
                  <m:sepChr m:val=""/>
                  <m:grow/>
                </m:dPr>
                <m:e>
                  <m:r>
                    <m:t>1</m:t>
                  </m:r>
                  <m:r>
                    <m:rPr>
                      <m:sty m:val="p"/>
                    </m:rPr>
                    <m:t>−</m:t>
                  </m:r>
                  <m:r>
                    <m:t>ρ</m:t>
                  </m:r>
                </m:e>
              </m:d>
            </m:e>
            <m:sup>
              <m:r>
                <m:t>2</m:t>
              </m:r>
            </m:sup>
          </m:sSup>
          <m:r>
            <m:rPr>
              <m:sty m:val="p"/>
            </m:rPr>
            <m:t>.</m:t>
          </m:r>
        </m:oMath>
      </m:oMathPara>
    </w:p>
    <w:p>
      <w:r>
        <w:rPr>
          <w:rFonts w:ascii="Times New Roman" w:hAnsi="Times New Roman"/>
        </w:rPr>
        <w:t xml:space="preserve">The first term prices network burden; the second discourages aggressive compression of statistically important updates. Error feedback accumulates omitted coordinates for subsequent rounds. After a 10-seed sensitivity sweep on both real datasets, the common operating point is frozen at </w:t>
      </w:r>
      <m:oMath xmlns:a="http://schemas.openxmlformats.org/drawingml/2006/main" xmlns:pic="http://schemas.openxmlformats.org/drawingml/2006/picture">
        <m:sSub>
          <m:e>
            <m:r>
              <m:t>η</m:t>
            </m:r>
          </m:e>
          <m:sub>
            <m:r>
              <m:t>R</m:t>
            </m:r>
          </m:sub>
        </m:sSub>
        <m:r>
          <m:rPr>
            <m:sty m:val="p"/>
          </m:rPr>
          <m:t>=</m:t>
        </m:r>
        <m:r>
          <m:t>3</m:t>
        </m:r>
      </m:oMath>
      <w:r>
        <w:rPr>
          <w:rFonts w:ascii="Times New Roman" w:hAnsi="Times New Roman"/>
        </w:rPr>
        <w:t xml:space="preserve"> and </w:t>
      </w:r>
      <m:oMath xmlns:a="http://schemas.openxmlformats.org/drawingml/2006/main" xmlns:pic="http://schemas.openxmlformats.org/drawingml/2006/picture">
        <m:r>
          <m:t>β</m:t>
        </m:r>
        <m:r>
          <m:rPr>
            <m:sty m:val="p"/>
          </m:rPr>
          <m:t>=</m:t>
        </m:r>
        <m:r>
          <m:t>0.1</m:t>
        </m:r>
      </m:oMath>
      <w:r>
        <w:rPr>
          <w:rFonts w:ascii="Times New Roman" w:hAnsi="Times New Roman"/>
        </w:rPr>
        <w:t>.</w:t>
      </w:r>
    </w:p>
    <w:p>
      <w:pPr>
        <w:pStyle w:val="Heading2"/>
      </w:pPr>
      <w:r>
        <w:t>4.5 Queue-informed drift-plus-penalty surrogate</w:t>
      </w:r>
    </w:p>
    <w:p>
      <w:r>
        <w:rPr>
          <w:rFonts w:ascii="Times New Roman" w:hAnsi="Times New Roman"/>
        </w:rPr>
        <w:t>For each eligible client,</w:t>
      </w:r>
    </w:p>
    <w:p>
      <m:oMathPara xmlns:a="http://schemas.openxmlformats.org/drawingml/2006/main" xmlns:pic="http://schemas.openxmlformats.org/drawingml/2006/picture">
        <m:oMathParaPr>
          <m:jc m:val="center"/>
        </m:oMathParaPr>
        <m:oMath>
          <m:sSub>
            <m:e>
              <m:r>
                <m:t>Γ</m:t>
              </m:r>
            </m:e>
            <m:sub>
              <m:r>
                <m:t>i</m:t>
              </m:r>
            </m:sub>
          </m:sSub>
          <m:d>
            <m:dPr>
              <m:begChr m:val="("/>
              <m:endChr m:val=")"/>
              <m:sepChr m:val=""/>
              <m:grow/>
            </m:dPr>
            <m:e>
              <m:r>
                <m:t>t</m:t>
              </m:r>
            </m:e>
          </m:d>
          <m:r>
            <m:rPr>
              <m:sty m:val="p"/>
            </m:rPr>
            <m:t>=</m:t>
          </m:r>
          <m:r>
            <m:t>V</m:t>
          </m:r>
          <m:sSub>
            <m:e>
              <m:acc>
                <m:accPr>
                  <m:chr m:val="̃"/>
                </m:accPr>
                <m:e>
                  <m:r>
                    <m:t>U</m:t>
                  </m:r>
                </m:e>
              </m:acc>
            </m:e>
            <m:sub>
              <m:r>
                <m:t>i</m:t>
              </m:r>
            </m:sub>
          </m:sSub>
          <m:d>
            <m:dPr>
              <m:begChr m:val="("/>
              <m:endChr m:val=")"/>
              <m:sepChr m:val=""/>
              <m:grow/>
            </m:dPr>
            <m:e>
              <m:r>
                <m:t>t</m:t>
              </m:r>
            </m:e>
          </m:d>
          <m:r>
            <m:rPr>
              <m:sty m:val="p"/>
            </m:rPr>
            <m:t>+</m:t>
          </m:r>
          <m:sSub>
            <m:e>
              <m:r>
                <m:t>Q</m:t>
              </m:r>
            </m:e>
            <m:sub>
              <m:r>
                <m:t>i</m:t>
              </m:r>
            </m:sub>
          </m:sSub>
          <m:d>
            <m:dPr>
              <m:begChr m:val="("/>
              <m:endChr m:val=")"/>
              <m:sepChr m:val=""/>
              <m:grow/>
            </m:dPr>
            <m:e>
              <m:r>
                <m:t>t</m:t>
              </m:r>
            </m:e>
          </m:d>
          <m:r>
            <m:rPr>
              <m:sty m:val="p"/>
            </m:rPr>
            <m:t>−</m:t>
          </m:r>
          <m:r>
            <m:t>V</m:t>
          </m:r>
          <m:sSub>
            <m:e>
              <m:r>
                <m:t>ρ</m:t>
              </m:r>
            </m:e>
            <m:sub>
              <m:r>
                <m:t>i</m:t>
              </m:r>
            </m:sub>
          </m:sSub>
          <m:d>
            <m:dPr>
              <m:begChr m:val="("/>
              <m:endChr m:val=")"/>
              <m:sepChr m:val=""/>
              <m:grow/>
            </m:dPr>
            <m:e>
              <m:r>
                <m:t>t</m:t>
              </m:r>
            </m:e>
          </m:d>
          <m:d>
            <m:dPr>
              <m:begChr m:val="("/>
              <m:endChr m:val=")"/>
              <m:sepChr m:val=""/>
              <m:grow/>
            </m:dPr>
            <m:e>
              <m:sSubSup>
                <m:e>
                  <m:acc>
                    <m:accPr>
                      <m:chr m:val="̃"/>
                    </m:accPr>
                    <m:e>
                      <m:r>
                        <m:t>C</m:t>
                      </m:r>
                    </m:e>
                  </m:acc>
                </m:e>
                <m:sub>
                  <m:r>
                    <m:t>i</m:t>
                  </m:r>
                </m:sub>
                <m:sup>
                  <m:r>
                    <m:rPr>
                      <m:sty m:val="p"/>
                    </m:rPr>
                    <m:t>r</m:t>
                  </m:r>
                  <m:r>
                    <m:rPr>
                      <m:sty m:val="p"/>
                    </m:rPr>
                    <m:t>o</m:t>
                  </m:r>
                  <m:r>
                    <m:rPr>
                      <m:sty m:val="p"/>
                    </m:rPr>
                    <m:t>u</m:t>
                  </m:r>
                  <m:r>
                    <m:rPr>
                      <m:sty m:val="p"/>
                    </m:rPr>
                    <m:t>t</m:t>
                  </m:r>
                  <m:r>
                    <m:rPr>
                      <m:sty m:val="p"/>
                    </m:rPr>
                    <m:t>e</m:t>
                  </m:r>
                </m:sup>
              </m:sSubSup>
              <m:r>
                <m:rPr>
                  <m:sty m:val="p"/>
                </m:rPr>
                <m:t>+</m:t>
              </m:r>
              <m:sSub>
                <m:e>
                  <m:r>
                    <m:t>η</m:t>
                  </m:r>
                </m:e>
                <m:sub>
                  <m:r>
                    <m:t>E</m:t>
                  </m:r>
                </m:sub>
              </m:sSub>
              <m:sSub>
                <m:e>
                  <m:acc>
                    <m:accPr>
                      <m:chr m:val="̃"/>
                    </m:accPr>
                    <m:e>
                      <m:r>
                        <m:t>S</m:t>
                      </m:r>
                    </m:e>
                  </m:acc>
                </m:e>
                <m:sub>
                  <m:r>
                    <m:t>i</m:t>
                  </m:r>
                </m:sub>
              </m:sSub>
              <m:r>
                <m:rPr>
                  <m:sty m:val="p"/>
                </m:rPr>
                <m:t>+</m:t>
              </m:r>
              <m:sSub>
                <m:e>
                  <m:r>
                    <m:t>η</m:t>
                  </m:r>
                </m:e>
                <m:sub>
                  <m:r>
                    <m:t>R</m:t>
                  </m:r>
                </m:sub>
              </m:sSub>
              <m:sSub>
                <m:e>
                  <m:acc>
                    <m:accPr>
                      <m:chr m:val="̃"/>
                    </m:accPr>
                    <m:e>
                      <m:r>
                        <m:t>R</m:t>
                      </m:r>
                    </m:e>
                  </m:acc>
                </m:e>
                <m:sub>
                  <m:r>
                    <m:t>i</m:t>
                  </m:r>
                </m:sub>
              </m:sSub>
            </m:e>
          </m:d>
          <m:r>
            <m:rPr>
              <m:sty m:val="p"/>
            </m:rPr>
            <m:t>.</m:t>
          </m:r>
        </m:oMath>
      </m:oMathPara>
    </w:p>
    <w:p>
      <w:r>
        <w:rPr>
          <w:rFonts w:ascii="Times New Roman" w:hAnsi="Times New Roman"/>
        </w:rPr>
        <w:t xml:space="preserve">If </w:t>
      </w:r>
      <m:oMath xmlns:a="http://schemas.openxmlformats.org/drawingml/2006/main" xmlns:pic="http://schemas.openxmlformats.org/drawingml/2006/picture">
        <m:sSub>
          <m:e>
            <m:r>
              <m:t>M</m:t>
            </m:r>
          </m:e>
          <m:sub>
            <m:r>
              <m:t>t</m:t>
            </m:r>
          </m:sub>
        </m:sSub>
      </m:oMath>
      <w:r>
        <w:rPr>
          <w:rFonts w:ascii="Times New Roman" w:hAnsi="Times New Roman"/>
        </w:rPr>
        <w:t xml:space="preserve"> clients are eligible, the executed controller selects exactly </w:t>
      </w:r>
      <m:oMath xmlns:a="http://schemas.openxmlformats.org/drawingml/2006/main" xmlns:pic="http://schemas.openxmlformats.org/drawingml/2006/picture">
        <m:sSub>
          <m:e>
            <m:r>
              <m:t>k</m:t>
            </m:r>
          </m:e>
          <m:sub>
            <m:r>
              <m:t>t</m:t>
            </m:r>
          </m:sub>
        </m:sSub>
        <m:r>
          <m:rPr>
            <m:sty m:val="p"/>
          </m:rPr>
          <m:t>=</m:t>
        </m:r>
        <m:r>
          <m:rPr>
            <m:sty m:val="p"/>
          </m:rPr>
          <m:t>min</m:t>
        </m:r>
        <m:d>
          <m:dPr>
            <m:begChr m:val="("/>
            <m:endChr m:val=")"/>
            <m:sepChr m:val=""/>
            <m:grow/>
          </m:dPr>
          <m:e>
            <m:sSub>
              <m:e>
                <m:r>
                  <m:t>K</m:t>
                </m:r>
              </m:e>
              <m:sub>
                <m:r>
                  <m:t>t</m:t>
                </m:r>
              </m:sub>
            </m:sSub>
            <m:r>
              <m:rPr>
                <m:sty m:val="p"/>
              </m:rPr>
              <m:t>,</m:t>
            </m:r>
            <m:sSub>
              <m:e>
                <m:r>
                  <m:t>M</m:t>
                </m:r>
              </m:e>
              <m:sub>
                <m:r>
                  <m:t>t</m:t>
                </m:r>
              </m:sub>
            </m:sSub>
          </m:e>
        </m:d>
      </m:oMath>
      <w:r>
        <w:rPr>
          <w:rFonts w:ascii="Times New Roman" w:hAnsi="Times New Roman"/>
        </w:rPr>
        <w:t xml:space="preserve"> clients with the largest </w:t>
      </w:r>
      <m:oMath xmlns:a="http://schemas.openxmlformats.org/drawingml/2006/main" xmlns:pic="http://schemas.openxmlformats.org/drawingml/2006/picture">
        <m:sSub>
          <m:e>
            <m:r>
              <m:t>Γ</m:t>
            </m:r>
          </m:e>
          <m:sub>
            <m:r>
              <m:t>i</m:t>
            </m:r>
          </m:sub>
        </m:sSub>
        <m:d>
          <m:dPr>
            <m:begChr m:val="("/>
            <m:endChr m:val=")"/>
            <m:sepChr m:val=""/>
            <m:grow/>
          </m:dPr>
          <m:e>
            <m:r>
              <m:t>t</m:t>
            </m:r>
          </m:e>
        </m:d>
      </m:oMath>
      <w:r>
        <w:rPr>
          <w:rFonts w:ascii="Times New Roman" w:hAnsi="Times New Roman"/>
        </w:rPr>
        <w:t>. For fixed candidate compression ratios this top-</w:t>
      </w:r>
      <m:oMath xmlns:a="http://schemas.openxmlformats.org/drawingml/2006/main" xmlns:pic="http://schemas.openxmlformats.org/drawingml/2006/picture">
        <m:sSub>
          <m:e>
            <m:r>
              <m:t>k</m:t>
            </m:r>
          </m:e>
          <m:sub>
            <m:r>
              <m:t>t</m:t>
            </m:r>
          </m:sub>
        </m:sSub>
      </m:oMath>
      <w:r>
        <w:rPr>
          <w:rFonts w:ascii="Times New Roman" w:hAnsi="Times New Roman"/>
        </w:rPr>
        <w:t xml:space="preserve"> operation exactly maximizes the additive score over all subsets of cardinality </w:t>
      </w:r>
      <m:oMath xmlns:a="http://schemas.openxmlformats.org/drawingml/2006/main" xmlns:pic="http://schemas.openxmlformats.org/drawingml/2006/picture">
        <m:sSub>
          <m:e>
            <m:r>
              <m:t>k</m:t>
            </m:r>
          </m:e>
          <m:sub>
            <m:r>
              <m:t>t</m:t>
            </m:r>
          </m:sub>
        </m:sSub>
      </m:oMath>
      <w:r>
        <w:rPr>
          <w:rFonts w:ascii="Times New Roman" w:hAnsi="Times New Roman"/>
        </w:rPr>
        <w:t>. Eligibility is determined by availability and a residual-energy threshold; the implementation does not impose a stronger hard pre-selection constraint requiring the full prospective training-plus-transmission energy to be below the residual battery.</w:t>
      </w:r>
    </w:p>
    <w:p>
      <w:r>
        <w:rPr>
          <w:rFonts w:ascii="Times New Roman" w:hAnsi="Times New Roman"/>
        </w:rPr>
        <w:t xml:space="preserve">The score is motivated by the Lyapunov drift terms but is not an exact canonical drift-plus-penalty minimizer: route cost, energy scarcity and relay pressure are normalized each round, and relay pressure enters as a normalized path-queue feature rather than the unnormalized product </w:t>
      </w:r>
      <m:oMath xmlns:a="http://schemas.openxmlformats.org/drawingml/2006/main" xmlns:pic="http://schemas.openxmlformats.org/drawingml/2006/picture">
        <m:sSub>
          <m:e>
            <m:r>
              <m:t>Z</m:t>
            </m:r>
          </m:e>
          <m:sub>
            <m:r>
              <m:t>r</m:t>
            </m:r>
          </m:sub>
        </m:sSub>
        <m:sSub>
          <m:e>
            <m:r>
              <m:t>E</m:t>
            </m:r>
          </m:e>
          <m:sub>
            <m:r>
              <m:t>i</m:t>
            </m:r>
            <m:r>
              <m:t>r</m:t>
            </m:r>
          </m:sub>
        </m:sSub>
      </m:oMath>
      <w:r>
        <w:rPr>
          <w:rFonts w:ascii="Times New Roman" w:hAnsi="Times New Roman"/>
        </w:rPr>
        <w:t xml:space="preserve"> in the raw drift bound. This distinction limits the theoretical claims below.</w:t>
      </w:r>
    </w:p>
    <w:p>
      <w:pPr>
        <w:pStyle w:val="Heading2"/>
      </w:pPr>
      <w:r>
        <w:t>4.6 Utility-aware staleness</w:t>
      </w:r>
    </w:p>
    <w:p>
      <w:r>
        <w:rPr>
          <w:rFonts w:ascii="Times New Roman" w:hAnsi="Times New Roman"/>
        </w:rPr>
        <w:t xml:space="preserve">If an update generated at round </w:t>
      </w:r>
      <m:oMath xmlns:a="http://schemas.openxmlformats.org/drawingml/2006/main" xmlns:pic="http://schemas.openxmlformats.org/drawingml/2006/picture">
        <m:sSub>
          <m:e>
            <m:r>
              <m:t>t</m:t>
            </m:r>
          </m:e>
          <m:sub>
            <m:r>
              <m:t>i</m:t>
            </m:r>
          </m:sub>
        </m:sSub>
      </m:oMath>
      <w:r>
        <w:rPr>
          <w:rFonts w:ascii="Times New Roman" w:hAnsi="Times New Roman"/>
        </w:rPr>
        <w:t xml:space="preserve"> arrives at round </w:t>
      </w:r>
      <m:oMath xmlns:a="http://schemas.openxmlformats.org/drawingml/2006/main" xmlns:pic="http://schemas.openxmlformats.org/drawingml/2006/picture">
        <m:r>
          <m:t>t</m:t>
        </m:r>
      </m:oMath>
      <w:r>
        <w:rPr>
          <w:rFonts w:ascii="Times New Roman" w:hAnsi="Times New Roman"/>
        </w:rPr>
        <w:t xml:space="preserve">, its staleness is </w:t>
      </w:r>
      <m:oMath xmlns:a="http://schemas.openxmlformats.org/drawingml/2006/main" xmlns:pic="http://schemas.openxmlformats.org/drawingml/2006/picture">
        <m:sSub>
          <m:e>
            <m:r>
              <m:t>s</m:t>
            </m:r>
          </m:e>
          <m:sub>
            <m:r>
              <m:t>i</m:t>
            </m:r>
          </m:sub>
        </m:sSub>
        <m:r>
          <m:rPr>
            <m:sty m:val="p"/>
          </m:rPr>
          <m:t>=</m:t>
        </m:r>
        <m:r>
          <m:t>t</m:t>
        </m:r>
        <m:r>
          <m:rPr>
            <m:sty m:val="p"/>
          </m:rPr>
          <m:t>−</m:t>
        </m:r>
        <m:sSub>
          <m:e>
            <m:r>
              <m:t>t</m:t>
            </m:r>
          </m:e>
          <m:sub>
            <m:r>
              <m:t>i</m:t>
            </m:r>
          </m:sub>
        </m:sSub>
      </m:oMath>
      <w:r>
        <w:rPr>
          <w:rFonts w:ascii="Times New Roman" w:hAnsi="Times New Roman"/>
        </w:rPr>
        <w:t>. Edge aggregation uses</w:t>
      </w:r>
    </w:p>
    <w:p>
      <m:oMathPara xmlns:a="http://schemas.openxmlformats.org/drawingml/2006/main" xmlns:pic="http://schemas.openxmlformats.org/drawingml/2006/picture">
        <m:oMathParaPr>
          <m:jc m:val="center"/>
        </m:oMathParaPr>
        <m:oMath>
          <m:sSub>
            <m:e>
              <m:r>
                <m:t>ω</m:t>
              </m:r>
            </m:e>
            <m:sub>
              <m:r>
                <m:t>i</m:t>
              </m:r>
            </m:sub>
          </m:sSub>
          <m:d>
            <m:dPr>
              <m:begChr m:val="("/>
              <m:endChr m:val=")"/>
              <m:sepChr m:val=""/>
              <m:grow/>
            </m:dPr>
            <m:e>
              <m:r>
                <m:t>t</m:t>
              </m:r>
            </m:e>
          </m:d>
          <m:r>
            <m:rPr>
              <m:sty m:val="p"/>
            </m:rPr>
            <m:t>=</m:t>
          </m:r>
          <m:sSub>
            <m:e>
              <m:r>
                <m:t>n</m:t>
              </m:r>
            </m:e>
            <m:sub>
              <m:r>
                <m:t>i</m:t>
              </m:r>
            </m:sub>
          </m:sSub>
          <m:sSup>
            <m:e>
              <m:r>
                <m:t>e</m:t>
              </m:r>
            </m:e>
            <m:sup>
              <m:r>
                <m:rPr>
                  <m:sty m:val="p"/>
                </m:rPr>
                <m:t>−</m:t>
              </m:r>
              <m:sSub>
                <m:e>
                  <m:r>
                    <m:t>λ</m:t>
                  </m:r>
                </m:e>
                <m:sub>
                  <m:r>
                    <m:t>s</m:t>
                  </m:r>
                </m:sub>
              </m:sSub>
              <m:sSub>
                <m:e>
                  <m:r>
                    <m:t>s</m:t>
                  </m:r>
                </m:e>
                <m:sub>
                  <m:r>
                    <m:t>i</m:t>
                  </m:r>
                </m:sub>
              </m:sSub>
            </m:sup>
          </m:sSup>
          <m:d>
            <m:dPr>
              <m:begChr m:val="("/>
              <m:endChr m:val=")"/>
              <m:sepChr m:val=""/>
              <m:grow/>
            </m:dPr>
            <m:e>
              <m:r>
                <m:t>1</m:t>
              </m:r>
              <m:r>
                <m:rPr>
                  <m:sty m:val="p"/>
                </m:rPr>
                <m:t>+</m:t>
              </m:r>
              <m:r>
                <m:t>μ</m:t>
              </m:r>
              <m:sSub>
                <m:e>
                  <m:r>
                    <m:t>U</m:t>
                  </m:r>
                </m:e>
                <m:sub>
                  <m:r>
                    <m:t>i</m:t>
                  </m:r>
                </m:sub>
              </m:sSub>
              <m:d>
                <m:dPr>
                  <m:begChr m:val="("/>
                  <m:endChr m:val=")"/>
                  <m:sepChr m:val=""/>
                  <m:grow/>
                </m:dPr>
                <m:e>
                  <m:sSub>
                    <m:e>
                      <m:r>
                        <m:t>t</m:t>
                      </m:r>
                    </m:e>
                    <m:sub>
                      <m:r>
                        <m:t>i</m:t>
                      </m:r>
                    </m:sub>
                  </m:sSub>
                </m:e>
              </m:d>
            </m:e>
          </m:d>
          <m:r>
            <m:rPr>
              <m:sty m:val="p"/>
            </m:rPr>
            <m:t>,</m:t>
          </m:r>
        </m:oMath>
      </m:oMathPara>
    </w:p>
    <w:p>
      <w:r>
        <w:rPr>
          <w:rFonts w:ascii="Times New Roman" w:hAnsi="Times New Roman"/>
        </w:rPr>
        <w:t>followed by normalization. Thus age still penalizes stale updates, but a statistically valuable delayed update is not discarded solely because it is slow.</w:t>
      </w:r>
    </w:p>
    <w:p>
      <w:pPr>
        <w:pStyle w:val="Heading2"/>
      </w:pPr>
      <w:r>
        <w:t>4.7 Exact queue and decision guarantees</w:t>
      </w:r>
    </w:p>
    <w:p>
      <w:r>
        <w:rPr>
          <w:rFonts w:ascii="Times New Roman" w:hAnsi="Times New Roman"/>
          <w:b/>
        </w:rPr>
        <w:t>Proposition 1 (finite-horizon queue guarantees).</w:t>
      </w:r>
      <w:r>
        <w:rPr>
          <w:rFonts w:ascii="Times New Roman" w:hAnsi="Times New Roman"/>
        </w:rPr>
        <w:t xml:space="preserve"> Define the quadratic virtual-queue Lyapunov function</w:t>
      </w:r>
    </w:p>
    <w:p>
      <m:oMathPara xmlns:a="http://schemas.openxmlformats.org/drawingml/2006/main" xmlns:pic="http://schemas.openxmlformats.org/drawingml/2006/picture">
        <m:oMathParaPr>
          <m:jc m:val="center"/>
        </m:oMathParaPr>
        <m:oMath>
          <m:r>
            <m:rPr>
              <m:sty m:val="p"/>
              <m:scr m:val="script"/>
            </m:rPr>
            <m:t>L</m:t>
          </m:r>
          <m:d>
            <m:dPr>
              <m:begChr m:val="("/>
              <m:endChr m:val=")"/>
              <m:sepChr m:val=""/>
              <m:grow/>
            </m:dPr>
            <m:e>
              <m:r>
                <m:t>t</m:t>
              </m:r>
            </m:e>
          </m:d>
          <m:r>
            <m:rPr>
              <m:sty m:val="p"/>
            </m:rPr>
            <m:t>=</m:t>
          </m:r>
          <m:f>
            <m:fPr>
              <m:type m:val="bar"/>
            </m:fPr>
            <m:num>
              <m:r>
                <m:t>1</m:t>
              </m:r>
            </m:num>
            <m:den>
              <m:r>
                <m:t>2</m:t>
              </m:r>
            </m:den>
          </m:f>
          <m:nary>
            <m:naryPr>
              <m:chr m:val="∑"/>
              <m:limLoc m:val="undOvr"/>
              <m:subHide m:val="off"/>
              <m:supHide m:val="on"/>
            </m:naryPr>
            <m:sub>
              <m:r>
                <m:t>i</m:t>
              </m:r>
            </m:sub>
            <m:sup>
              <m:r>
                <m:t>​</m:t>
              </m:r>
            </m:sup>
            <m:e>
              <m:sSubSup>
                <m:e>
                  <m:r>
                    <m:t>Q</m:t>
                  </m:r>
                </m:e>
                <m:sub>
                  <m:r>
                    <m:t>i</m:t>
                  </m:r>
                </m:sub>
                <m:sup>
                  <m:r>
                    <m:t>2</m:t>
                  </m:r>
                </m:sup>
              </m:sSubSup>
            </m:e>
          </m:nary>
          <m:d>
            <m:dPr>
              <m:begChr m:val="("/>
              <m:endChr m:val=")"/>
              <m:sepChr m:val=""/>
              <m:grow/>
            </m:dPr>
            <m:e>
              <m:r>
                <m:t>t</m:t>
              </m:r>
            </m:e>
          </m:d>
          <m:r>
            <m:rPr>
              <m:sty m:val="p"/>
            </m:rPr>
            <m:t>+</m:t>
          </m:r>
          <m:f>
            <m:fPr>
              <m:type m:val="bar"/>
            </m:fPr>
            <m:num>
              <m:r>
                <m:t>1</m:t>
              </m:r>
            </m:num>
            <m:den>
              <m:r>
                <m:t>2</m:t>
              </m:r>
            </m:den>
          </m:f>
          <m:nary>
            <m:naryPr>
              <m:chr m:val="∑"/>
              <m:limLoc m:val="undOvr"/>
              <m:subHide m:val="off"/>
              <m:supHide m:val="on"/>
            </m:naryPr>
            <m:sub>
              <m:r>
                <m:t>r</m:t>
              </m:r>
            </m:sub>
            <m:sup>
              <m:r>
                <m:t>​</m:t>
              </m:r>
            </m:sup>
            <m:e>
              <m:sSubSup>
                <m:e>
                  <m:r>
                    <m:t>Z</m:t>
                  </m:r>
                </m:e>
                <m:sub>
                  <m:r>
                    <m:t>r</m:t>
                  </m:r>
                </m:sub>
                <m:sup>
                  <m:r>
                    <m:t>2</m:t>
                  </m:r>
                </m:sup>
              </m:sSubSup>
            </m:e>
          </m:nary>
          <m:d>
            <m:dPr>
              <m:begChr m:val="("/>
              <m:endChr m:val=")"/>
              <m:sepChr m:val=""/>
              <m:grow/>
            </m:dPr>
            <m:e>
              <m:r>
                <m:t>t</m:t>
              </m:r>
            </m:e>
          </m:d>
          <m:r>
            <m:rPr>
              <m:sty m:val="p"/>
            </m:rPr>
            <m:t>.</m:t>
          </m:r>
        </m:oMath>
      </m:oMathPara>
    </w:p>
    <w:p>
      <w:r>
        <w:rPr>
          <w:rFonts w:ascii="Times New Roman" w:hAnsi="Times New Roman"/>
        </w:rPr>
        <w:t xml:space="preserve">Let </w:t>
      </w:r>
      <m:oMath xmlns:a="http://schemas.openxmlformats.org/drawingml/2006/main" xmlns:pic="http://schemas.openxmlformats.org/drawingml/2006/picture">
        <m:sSub>
          <m:e>
            <m:r>
              <m:t>d</m:t>
            </m:r>
          </m:e>
          <m:sub>
            <m:r>
              <m:t>i</m:t>
            </m:r>
          </m:sub>
        </m:sSub>
        <m:d>
          <m:dPr>
            <m:begChr m:val="("/>
            <m:endChr m:val=")"/>
            <m:sepChr m:val=""/>
            <m:grow/>
          </m:dPr>
          <m:e>
            <m:r>
              <m:t>t</m:t>
            </m:r>
          </m:e>
        </m:d>
        <m:r>
          <m:rPr>
            <m:sty m:val="p"/>
          </m:rPr>
          <m:t>=</m:t>
        </m:r>
        <m:sSub>
          <m:e>
            <m:r>
              <m:t>π</m:t>
            </m:r>
          </m:e>
          <m:sub>
            <m:r>
              <m:t>i</m:t>
            </m:r>
          </m:sub>
        </m:sSub>
        <m:d>
          <m:dPr>
            <m:begChr m:val="("/>
            <m:endChr m:val=")"/>
            <m:sepChr m:val=""/>
            <m:grow/>
          </m:dPr>
          <m:e>
            <m:r>
              <m:t>t</m:t>
            </m:r>
          </m:e>
        </m:d>
        <m:r>
          <m:rPr>
            <m:sty m:val="p"/>
          </m:rPr>
          <m:t>−</m:t>
        </m:r>
        <m:sSub>
          <m:e>
            <m:r>
              <m:t>a</m:t>
            </m:r>
          </m:e>
          <m:sub>
            <m:r>
              <m:t>i</m:t>
            </m:r>
          </m:sub>
        </m:sSub>
        <m:d>
          <m:dPr>
            <m:begChr m:val="("/>
            <m:endChr m:val=")"/>
            <m:sepChr m:val=""/>
            <m:grow/>
          </m:dPr>
          <m:e>
            <m:r>
              <m:t>t</m:t>
            </m:r>
          </m:e>
        </m:d>
      </m:oMath>
      <w:r>
        <w:rPr>
          <w:rFonts w:ascii="Times New Roman" w:hAnsi="Times New Roman"/>
        </w:rPr>
        <w:t xml:space="preserve"> and </w:t>
      </w:r>
      <m:oMath xmlns:a="http://schemas.openxmlformats.org/drawingml/2006/main" xmlns:pic="http://schemas.openxmlformats.org/drawingml/2006/picture">
        <m:sSub>
          <m:e>
            <m:r>
              <m:t>h</m:t>
            </m:r>
          </m:e>
          <m:sub>
            <m:r>
              <m:t>r</m:t>
            </m:r>
          </m:sub>
        </m:sSub>
        <m:d>
          <m:dPr>
            <m:begChr m:val="("/>
            <m:endChr m:val=")"/>
            <m:sepChr m:val=""/>
            <m:grow/>
          </m:dPr>
          <m:e>
            <m:r>
              <m:t>t</m:t>
            </m:r>
          </m:e>
        </m:d>
        <m:r>
          <m:rPr>
            <m:sty m:val="p"/>
          </m:rPr>
          <m:t>=</m:t>
        </m:r>
        <m:sSubSup>
          <m:e>
            <m:r>
              <m:t>E</m:t>
            </m:r>
          </m:e>
          <m:sub>
            <m:r>
              <m:t>r</m:t>
            </m:r>
          </m:sub>
          <m:sup>
            <m:r>
              <m:rPr>
                <m:sty m:val="p"/>
              </m:rPr>
              <m:t>r</m:t>
            </m:r>
            <m:r>
              <m:rPr>
                <m:sty m:val="p"/>
              </m:rPr>
              <m:t>e</m:t>
            </m:r>
            <m:r>
              <m:rPr>
                <m:sty m:val="p"/>
              </m:rPr>
              <m:t>l</m:t>
            </m:r>
            <m:r>
              <m:rPr>
                <m:sty m:val="p"/>
              </m:rPr>
              <m:t>a</m:t>
            </m:r>
            <m:r>
              <m:rPr>
                <m:sty m:val="p"/>
              </m:rPr>
              <m:t>y</m:t>
            </m:r>
          </m:sup>
        </m:sSubSup>
        <m:d>
          <m:dPr>
            <m:begChr m:val="("/>
            <m:endChr m:val=")"/>
            <m:sepChr m:val=""/>
            <m:grow/>
          </m:dPr>
          <m:e>
            <m:r>
              <m:t>t</m:t>
            </m:r>
          </m:e>
        </m:d>
        <m:r>
          <m:rPr>
            <m:sty m:val="p"/>
          </m:rPr>
          <m:t>−</m:t>
        </m:r>
        <m:sSub>
          <m:e>
            <m:acc>
              <m:accPr>
                <m:chr m:val="‾"/>
              </m:accPr>
              <m:e>
                <m:r>
                  <m:t>E</m:t>
                </m:r>
              </m:e>
            </m:acc>
          </m:e>
          <m:sub>
            <m:r>
              <m:t>r</m:t>
            </m:r>
          </m:sub>
        </m:sSub>
      </m:oMath>
      <w:r>
        <w:rPr>
          <w:rFonts w:ascii="Times New Roman" w:hAnsi="Times New Roman"/>
        </w:rPr>
        <w:t xml:space="preserve">. Using </w:t>
      </w:r>
      <m:oMath xmlns:a="http://schemas.openxmlformats.org/drawingml/2006/main" xmlns:pic="http://schemas.openxmlformats.org/drawingml/2006/picture">
        <m:sSup>
          <m:e>
            <m:d>
              <m:dPr>
                <m:begChr m:val="("/>
                <m:endChr m:val=")"/>
                <m:sepChr m:val=""/>
                <m:grow/>
              </m:dPr>
              <m:e>
                <m:sSup>
                  <m:e>
                    <m:d>
                      <m:dPr>
                        <m:begChr m:val="["/>
                        <m:endChr m:val="]"/>
                        <m:sepChr m:val=""/>
                        <m:grow/>
                      </m:dPr>
                      <m:e>
                        <m:r>
                          <m:t>q</m:t>
                        </m:r>
                        <m:r>
                          <m:rPr>
                            <m:sty m:val="p"/>
                          </m:rPr>
                          <m:t>+</m:t>
                        </m:r>
                        <m:r>
                          <m:t>y</m:t>
                        </m:r>
                      </m:e>
                    </m:d>
                  </m:e>
                  <m:sup>
                    <m:r>
                      <m:rPr>
                        <m:sty m:val="p"/>
                      </m:rPr>
                      <m:t>+</m:t>
                    </m:r>
                  </m:sup>
                </m:sSup>
              </m:e>
            </m:d>
          </m:e>
          <m:sup>
            <m:r>
              <m:t>2</m:t>
            </m:r>
          </m:sup>
        </m:sSup>
        <m:r>
          <m:rPr>
            <m:sty m:val="p"/>
          </m:rPr>
          <m:t>≤</m:t>
        </m:r>
        <m:sSup>
          <m:e>
            <m:r>
              <m:t>q</m:t>
            </m:r>
          </m:e>
          <m:sup>
            <m:r>
              <m:t>2</m:t>
            </m:r>
          </m:sup>
        </m:sSup>
        <m:r>
          <m:rPr>
            <m:sty m:val="p"/>
          </m:rPr>
          <m:t>+</m:t>
        </m:r>
        <m:sSup>
          <m:e>
            <m:r>
              <m:t>y</m:t>
            </m:r>
          </m:e>
          <m:sup>
            <m:r>
              <m:t>2</m:t>
            </m:r>
          </m:sup>
        </m:sSup>
        <m:r>
          <m:rPr>
            <m:sty m:val="p"/>
          </m:rPr>
          <m:t>+</m:t>
        </m:r>
        <m:r>
          <m:t>2</m:t>
        </m:r>
        <m:r>
          <m:t>q</m:t>
        </m:r>
        <m:r>
          <m:t>y</m:t>
        </m:r>
      </m:oMath>
      <w:r>
        <w:rPr>
          <w:rFonts w:ascii="Times New Roman" w:hAnsi="Times New Roman"/>
        </w:rPr>
        <w:t>,</w:t>
      </w:r>
    </w:p>
    <w:p>
      <m:oMathPara xmlns:a="http://schemas.openxmlformats.org/drawingml/2006/main" xmlns:pic="http://schemas.openxmlformats.org/drawingml/2006/picture">
        <m:oMathParaPr>
          <m:jc m:val="center"/>
        </m:oMathParaPr>
        <m:oMath>
          <m:r>
            <m:rPr>
              <m:sty m:val="p"/>
              <m:scr m:val="script"/>
            </m:rPr>
            <m:t>L</m:t>
          </m:r>
          <m:d>
            <m:dPr>
              <m:begChr m:val="("/>
              <m:endChr m:val=")"/>
              <m:sepChr m:val=""/>
              <m:grow/>
            </m:dPr>
            <m:e>
              <m:r>
                <m:t>t</m:t>
              </m:r>
              <m:r>
                <m:rPr>
                  <m:sty m:val="p"/>
                </m:rPr>
                <m:t>+</m:t>
              </m:r>
              <m:r>
                <m:t>1</m:t>
              </m:r>
            </m:e>
          </m:d>
          <m:r>
            <m:rPr>
              <m:sty m:val="p"/>
            </m:rPr>
            <m:t>−</m:t>
          </m:r>
          <m:r>
            <m:rPr>
              <m:sty m:val="p"/>
              <m:scr m:val="script"/>
            </m:rPr>
            <m:t>L</m:t>
          </m:r>
          <m:d>
            <m:dPr>
              <m:begChr m:val="("/>
              <m:endChr m:val=")"/>
              <m:sepChr m:val=""/>
              <m:grow/>
            </m:dPr>
            <m:e>
              <m:r>
                <m:t>t</m:t>
              </m:r>
            </m:e>
          </m:d>
          <m:r>
            <m:rPr>
              <m:sty m:val="p"/>
            </m:rPr>
            <m:t>≤</m:t>
          </m:r>
          <m:r>
            <m:t>B</m:t>
          </m:r>
          <m:d>
            <m:dPr>
              <m:begChr m:val="("/>
              <m:endChr m:val=")"/>
              <m:sepChr m:val=""/>
              <m:grow/>
            </m:dPr>
            <m:e>
              <m:r>
                <m:t>t</m:t>
              </m:r>
            </m:e>
          </m:d>
          <m:r>
            <m:rPr>
              <m:sty m:val="p"/>
            </m:rPr>
            <m:t>+</m:t>
          </m:r>
          <m:nary>
            <m:naryPr>
              <m:chr m:val="∑"/>
              <m:limLoc m:val="undOvr"/>
              <m:subHide m:val="off"/>
              <m:supHide m:val="on"/>
            </m:naryPr>
            <m:sub>
              <m:r>
                <m:t>i</m:t>
              </m:r>
            </m:sub>
            <m:sup>
              <m:r>
                <m:t>​</m:t>
              </m:r>
            </m:sup>
            <m:e>
              <m:sSub>
                <m:e>
                  <m:r>
                    <m:t>Q</m:t>
                  </m:r>
                </m:e>
                <m:sub>
                  <m:r>
                    <m:t>i</m:t>
                  </m:r>
                </m:sub>
              </m:sSub>
            </m:e>
          </m:nary>
          <m:d>
            <m:dPr>
              <m:begChr m:val="("/>
              <m:endChr m:val=")"/>
              <m:sepChr m:val=""/>
              <m:grow/>
            </m:dPr>
            <m:e>
              <m:r>
                <m:t>t</m:t>
              </m:r>
            </m:e>
          </m:d>
          <m:sSub>
            <m:e>
              <m:r>
                <m:t>d</m:t>
              </m:r>
            </m:e>
            <m:sub>
              <m:r>
                <m:t>i</m:t>
              </m:r>
            </m:sub>
          </m:sSub>
          <m:d>
            <m:dPr>
              <m:begChr m:val="("/>
              <m:endChr m:val=")"/>
              <m:sepChr m:val=""/>
              <m:grow/>
            </m:dPr>
            <m:e>
              <m:r>
                <m:t>t</m:t>
              </m:r>
            </m:e>
          </m:d>
          <m:r>
            <m:rPr>
              <m:sty m:val="p"/>
            </m:rPr>
            <m:t>+</m:t>
          </m:r>
          <m:nary>
            <m:naryPr>
              <m:chr m:val="∑"/>
              <m:limLoc m:val="undOvr"/>
              <m:subHide m:val="off"/>
              <m:supHide m:val="on"/>
            </m:naryPr>
            <m:sub>
              <m:r>
                <m:t>r</m:t>
              </m:r>
            </m:sub>
            <m:sup>
              <m:r>
                <m:t>​</m:t>
              </m:r>
            </m:sup>
            <m:e>
              <m:sSub>
                <m:e>
                  <m:r>
                    <m:t>Z</m:t>
                  </m:r>
                </m:e>
                <m:sub>
                  <m:r>
                    <m:t>r</m:t>
                  </m:r>
                </m:sub>
              </m:sSub>
            </m:e>
          </m:nary>
          <m:d>
            <m:dPr>
              <m:begChr m:val="("/>
              <m:endChr m:val=")"/>
              <m:sepChr m:val=""/>
              <m:grow/>
            </m:dPr>
            <m:e>
              <m:r>
                <m:t>t</m:t>
              </m:r>
            </m:e>
          </m:d>
          <m:sSub>
            <m:e>
              <m:r>
                <m:t>h</m:t>
              </m:r>
            </m:e>
            <m:sub>
              <m:r>
                <m:t>r</m:t>
              </m:r>
            </m:sub>
          </m:sSub>
          <m:d>
            <m:dPr>
              <m:begChr m:val="("/>
              <m:endChr m:val=")"/>
              <m:sepChr m:val=""/>
              <m:grow/>
            </m:dPr>
            <m:e>
              <m:r>
                <m:t>t</m:t>
              </m:r>
            </m:e>
          </m:d>
          <m:r>
            <m:rPr>
              <m:sty m:val="p"/>
            </m:rPr>
            <m:t>,</m:t>
          </m:r>
        </m:oMath>
      </m:oMathPara>
    </w:p>
    <w:p>
      <w:r>
        <w:rPr>
          <w:rFonts w:ascii="Times New Roman" w:hAnsi="Times New Roman"/>
        </w:rPr>
        <w:t xml:space="preserve">where </w:t>
      </w:r>
      <m:oMath xmlns:a="http://schemas.openxmlformats.org/drawingml/2006/main" xmlns:pic="http://schemas.openxmlformats.org/drawingml/2006/picture">
        <m:r>
          <m:t>B</m:t>
        </m:r>
        <m:d>
          <m:dPr>
            <m:begChr m:val="("/>
            <m:endChr m:val=")"/>
            <m:sepChr m:val=""/>
            <m:grow/>
          </m:dPr>
          <m:e>
            <m:r>
              <m:t>t</m:t>
            </m:r>
          </m:e>
        </m:d>
        <m:r>
          <m:rPr>
            <m:sty m:val="p"/>
          </m:rPr>
          <m:t>=</m:t>
        </m:r>
        <m:f>
          <m:fPr>
            <m:type m:val="bar"/>
          </m:fPr>
          <m:num>
            <m:r>
              <m:t>1</m:t>
            </m:r>
          </m:num>
          <m:den>
            <m:r>
              <m:t>2</m:t>
            </m:r>
          </m:den>
        </m:f>
        <m:nary>
          <m:naryPr>
            <m:chr m:val="∑"/>
            <m:limLoc m:val="undOvr"/>
            <m:subHide m:val="off"/>
            <m:supHide m:val="on"/>
          </m:naryPr>
          <m:sub>
            <m:r>
              <m:t>i</m:t>
            </m:r>
          </m:sub>
          <m:sup>
            <m:r>
              <m:t>​</m:t>
            </m:r>
          </m:sup>
          <m:e>
            <m:sSubSup>
              <m:e>
                <m:r>
                  <m:t>d</m:t>
                </m:r>
              </m:e>
              <m:sub>
                <m:r>
                  <m:t>i</m:t>
                </m:r>
              </m:sub>
              <m:sup>
                <m:r>
                  <m:t>2</m:t>
                </m:r>
              </m:sup>
            </m:sSubSup>
          </m:e>
        </m:nary>
        <m:d>
          <m:dPr>
            <m:begChr m:val="("/>
            <m:endChr m:val=")"/>
            <m:sepChr m:val=""/>
            <m:grow/>
          </m:dPr>
          <m:e>
            <m:r>
              <m:t>t</m:t>
            </m:r>
          </m:e>
        </m:d>
        <m:r>
          <m:rPr>
            <m:sty m:val="p"/>
          </m:rPr>
          <m:t>+</m:t>
        </m:r>
        <m:f>
          <m:fPr>
            <m:type m:val="bar"/>
          </m:fPr>
          <m:num>
            <m:r>
              <m:t>1</m:t>
            </m:r>
          </m:num>
          <m:den>
            <m:r>
              <m:t>2</m:t>
            </m:r>
          </m:den>
        </m:f>
        <m:nary>
          <m:naryPr>
            <m:chr m:val="∑"/>
            <m:limLoc m:val="undOvr"/>
            <m:subHide m:val="off"/>
            <m:supHide m:val="on"/>
          </m:naryPr>
          <m:sub>
            <m:r>
              <m:t>r</m:t>
            </m:r>
          </m:sub>
          <m:sup>
            <m:r>
              <m:t>​</m:t>
            </m:r>
          </m:sup>
          <m:e>
            <m:sSubSup>
              <m:e>
                <m:r>
                  <m:t>h</m:t>
                </m:r>
              </m:e>
              <m:sub>
                <m:r>
                  <m:t>r</m:t>
                </m:r>
              </m:sub>
              <m:sup>
                <m:r>
                  <m:t>2</m:t>
                </m:r>
              </m:sup>
            </m:sSubSup>
          </m:e>
        </m:nary>
        <m:d>
          <m:dPr>
            <m:begChr m:val="("/>
            <m:endChr m:val=")"/>
            <m:sepChr m:val=""/>
            <m:grow/>
          </m:dPr>
          <m:e>
            <m:r>
              <m:t>t</m:t>
            </m:r>
          </m:e>
        </m:d>
      </m:oMath>
      <w:r>
        <w:rPr>
          <w:rFonts w:ascii="Times New Roman" w:hAnsi="Times New Roman"/>
        </w:rPr>
        <w:t>, which is bounded whenever per-round relay energy is bounded. Telescoping the virtual queues gives the exact finite-horizon bounds</w:t>
      </w:r>
    </w:p>
    <w:p>
      <m:oMathPara xmlns:a="http://schemas.openxmlformats.org/drawingml/2006/main" xmlns:pic="http://schemas.openxmlformats.org/drawingml/2006/picture">
        <m:oMathParaPr>
          <m:jc m:val="center"/>
        </m:oMathParaPr>
        <m:oMath>
          <m:f>
            <m:fPr>
              <m:type m:val="bar"/>
            </m:fPr>
            <m:num>
              <m:r>
                <m:t>1</m:t>
              </m:r>
            </m:num>
            <m:den>
              <m:r>
                <m:t>T</m:t>
              </m:r>
            </m:den>
          </m:f>
          <m:nary>
            <m:naryPr>
              <m:chr m:val="∑"/>
              <m:limLoc m:val="undOvr"/>
              <m:subHide m:val="off"/>
              <m:supHide m:val="on"/>
            </m:naryPr>
            <m:sub>
              <m:r>
                <m:t>t</m:t>
              </m:r>
              <m:r>
                <m:rPr>
                  <m:sty m:val="p"/>
                </m:rPr>
                <m:t>&lt;</m:t>
              </m:r>
              <m:r>
                <m:t>T</m:t>
              </m:r>
            </m:sub>
            <m:sup>
              <m:r>
                <m:t>​</m:t>
              </m:r>
            </m:sup>
            <m:e>
              <m:sSub>
                <m:e>
                  <m:r>
                    <m:t>a</m:t>
                  </m:r>
                </m:e>
                <m:sub>
                  <m:r>
                    <m:t>i</m:t>
                  </m:r>
                </m:sub>
              </m:sSub>
            </m:e>
          </m:nary>
          <m:d>
            <m:dPr>
              <m:begChr m:val="("/>
              <m:endChr m:val=")"/>
              <m:sepChr m:val=""/>
              <m:grow/>
            </m:dPr>
            <m:e>
              <m:r>
                <m:t>t</m:t>
              </m:r>
            </m:e>
          </m:d>
          <m:r>
            <m:rPr>
              <m:sty m:val="p"/>
            </m:rPr>
            <m:t>≥</m:t>
          </m:r>
          <m:f>
            <m:fPr>
              <m:type m:val="bar"/>
            </m:fPr>
            <m:num>
              <m:r>
                <m:t>1</m:t>
              </m:r>
            </m:num>
            <m:den>
              <m:r>
                <m:t>T</m:t>
              </m:r>
            </m:den>
          </m:f>
          <m:nary>
            <m:naryPr>
              <m:chr m:val="∑"/>
              <m:limLoc m:val="undOvr"/>
              <m:subHide m:val="off"/>
              <m:supHide m:val="on"/>
            </m:naryPr>
            <m:sub>
              <m:r>
                <m:t>t</m:t>
              </m:r>
              <m:r>
                <m:rPr>
                  <m:sty m:val="p"/>
                </m:rPr>
                <m:t>&lt;</m:t>
              </m:r>
              <m:r>
                <m:t>T</m:t>
              </m:r>
            </m:sub>
            <m:sup>
              <m:r>
                <m:t>​</m:t>
              </m:r>
            </m:sup>
            <m:e>
              <m:sSub>
                <m:e>
                  <m:r>
                    <m:t>π</m:t>
                  </m:r>
                </m:e>
                <m:sub>
                  <m:r>
                    <m:t>i</m:t>
                  </m:r>
                </m:sub>
              </m:sSub>
            </m:e>
          </m:nary>
          <m:d>
            <m:dPr>
              <m:begChr m:val="("/>
              <m:endChr m:val=")"/>
              <m:sepChr m:val=""/>
              <m:grow/>
            </m:dPr>
            <m:e>
              <m:r>
                <m:t>t</m:t>
              </m:r>
            </m:e>
          </m:d>
          <m:r>
            <m:rPr>
              <m:sty m:val="p"/>
            </m:rPr>
            <m:t>−</m:t>
          </m:r>
          <m:f>
            <m:fPr>
              <m:type m:val="bar"/>
            </m:fPr>
            <m:num>
              <m:sSub>
                <m:e>
                  <m:r>
                    <m:t>Q</m:t>
                  </m:r>
                </m:e>
                <m:sub>
                  <m:r>
                    <m:t>i</m:t>
                  </m:r>
                </m:sub>
              </m:sSub>
              <m:d>
                <m:dPr>
                  <m:begChr m:val="("/>
                  <m:endChr m:val=")"/>
                  <m:sepChr m:val=""/>
                  <m:grow/>
                </m:dPr>
                <m:e>
                  <m:r>
                    <m:t>T</m:t>
                  </m:r>
                </m:e>
              </m:d>
              <m:r>
                <m:rPr>
                  <m:sty m:val="p"/>
                </m:rPr>
                <m:t>−</m:t>
              </m:r>
              <m:sSub>
                <m:e>
                  <m:r>
                    <m:t>Q</m:t>
                  </m:r>
                </m:e>
                <m:sub>
                  <m:r>
                    <m:t>i</m:t>
                  </m:r>
                </m:sub>
              </m:sSub>
              <m:d>
                <m:dPr>
                  <m:begChr m:val="("/>
                  <m:endChr m:val=")"/>
                  <m:sepChr m:val=""/>
                  <m:grow/>
                </m:dPr>
                <m:e>
                  <m:r>
                    <m:t>0</m:t>
                  </m:r>
                </m:e>
              </m:d>
            </m:num>
            <m:den>
              <m:r>
                <m:t>T</m:t>
              </m:r>
            </m:den>
          </m:f>
          <m:r>
            <m:rPr>
              <m:sty m:val="p"/>
            </m:rPr>
            <m:t>,</m:t>
          </m:r>
        </m:oMath>
      </m:oMathPara>
    </w:p>
    <w:p>
      <w:r>
        <w:rPr>
          <w:rFonts w:ascii="Times New Roman" w:hAnsi="Times New Roman"/>
        </w:rPr>
        <w:t>and</w:t>
      </w:r>
    </w:p>
    <w:p>
      <m:oMathPara xmlns:a="http://schemas.openxmlformats.org/drawingml/2006/main" xmlns:pic="http://schemas.openxmlformats.org/drawingml/2006/picture">
        <m:oMathParaPr>
          <m:jc m:val="center"/>
        </m:oMathParaPr>
        <m:oMath>
          <m:f>
            <m:fPr>
              <m:type m:val="bar"/>
            </m:fPr>
            <m:num>
              <m:r>
                <m:t>1</m:t>
              </m:r>
            </m:num>
            <m:den>
              <m:r>
                <m:t>T</m:t>
              </m:r>
            </m:den>
          </m:f>
          <m:nary>
            <m:naryPr>
              <m:chr m:val="∑"/>
              <m:limLoc m:val="undOvr"/>
              <m:subHide m:val="off"/>
              <m:supHide m:val="on"/>
            </m:naryPr>
            <m:sub>
              <m:r>
                <m:t>t</m:t>
              </m:r>
              <m:r>
                <m:rPr>
                  <m:sty m:val="p"/>
                </m:rPr>
                <m:t>&lt;</m:t>
              </m:r>
              <m:r>
                <m:t>T</m:t>
              </m:r>
            </m:sub>
            <m:sup>
              <m:r>
                <m:t>​</m:t>
              </m:r>
            </m:sup>
            <m:e>
              <m:sSubSup>
                <m:e>
                  <m:r>
                    <m:t>E</m:t>
                  </m:r>
                </m:e>
                <m:sub>
                  <m:r>
                    <m:t>r</m:t>
                  </m:r>
                </m:sub>
                <m:sup>
                  <m:r>
                    <m:rPr>
                      <m:sty m:val="p"/>
                    </m:rPr>
                    <m:t>r</m:t>
                  </m:r>
                  <m:r>
                    <m:rPr>
                      <m:sty m:val="p"/>
                    </m:rPr>
                    <m:t>e</m:t>
                  </m:r>
                  <m:r>
                    <m:rPr>
                      <m:sty m:val="p"/>
                    </m:rPr>
                    <m:t>l</m:t>
                  </m:r>
                  <m:r>
                    <m:rPr>
                      <m:sty m:val="p"/>
                    </m:rPr>
                    <m:t>a</m:t>
                  </m:r>
                  <m:r>
                    <m:rPr>
                      <m:sty m:val="p"/>
                    </m:rPr>
                    <m:t>y</m:t>
                  </m:r>
                </m:sup>
              </m:sSubSup>
            </m:e>
          </m:nary>
          <m:d>
            <m:dPr>
              <m:begChr m:val="("/>
              <m:endChr m:val=")"/>
              <m:sepChr m:val=""/>
              <m:grow/>
            </m:dPr>
            <m:e>
              <m:r>
                <m:t>t</m:t>
              </m:r>
            </m:e>
          </m:d>
          <m:r>
            <m:rPr>
              <m:sty m:val="p"/>
            </m:rPr>
            <m:t>≤</m:t>
          </m:r>
          <m:sSub>
            <m:e>
              <m:acc>
                <m:accPr>
                  <m:chr m:val="‾"/>
                </m:accPr>
                <m:e>
                  <m:r>
                    <m:t>E</m:t>
                  </m:r>
                </m:e>
              </m:acc>
            </m:e>
            <m:sub>
              <m:r>
                <m:t>r</m:t>
              </m:r>
            </m:sub>
          </m:sSub>
          <m:r>
            <m:rPr>
              <m:sty m:val="p"/>
            </m:rPr>
            <m:t>+</m:t>
          </m:r>
          <m:f>
            <m:fPr>
              <m:type m:val="bar"/>
            </m:fPr>
            <m:num>
              <m:sSub>
                <m:e>
                  <m:r>
                    <m:t>Z</m:t>
                  </m:r>
                </m:e>
                <m:sub>
                  <m:r>
                    <m:t>r</m:t>
                  </m:r>
                </m:sub>
              </m:sSub>
              <m:d>
                <m:dPr>
                  <m:begChr m:val="("/>
                  <m:endChr m:val=")"/>
                  <m:sepChr m:val=""/>
                  <m:grow/>
                </m:dPr>
                <m:e>
                  <m:r>
                    <m:t>T</m:t>
                  </m:r>
                </m:e>
              </m:d>
              <m:r>
                <m:rPr>
                  <m:sty m:val="p"/>
                </m:rPr>
                <m:t>−</m:t>
              </m:r>
              <m:sSub>
                <m:e>
                  <m:r>
                    <m:t>Z</m:t>
                  </m:r>
                </m:e>
                <m:sub>
                  <m:r>
                    <m:t>r</m:t>
                  </m:r>
                </m:sub>
              </m:sSub>
              <m:d>
                <m:dPr>
                  <m:begChr m:val="("/>
                  <m:endChr m:val=")"/>
                  <m:sepChr m:val=""/>
                  <m:grow/>
                </m:dPr>
                <m:e>
                  <m:r>
                    <m:t>0</m:t>
                  </m:r>
                </m:e>
              </m:d>
            </m:num>
            <m:den>
              <m:r>
                <m:t>T</m:t>
              </m:r>
            </m:den>
          </m:f>
          <m:r>
            <m:rPr>
              <m:sty m:val="p"/>
            </m:rPr>
            <m:t>.</m:t>
          </m:r>
        </m:oMath>
      </m:oMathPara>
    </w:p>
    <w:p>
      <w:r>
        <w:rPr>
          <w:rFonts w:ascii="Times New Roman" w:hAnsi="Times New Roman"/>
        </w:rPr>
        <w:t xml:space="preserve">Therefore rate stability of </w:t>
      </w:r>
      <m:oMath xmlns:a="http://schemas.openxmlformats.org/drawingml/2006/main" xmlns:pic="http://schemas.openxmlformats.org/drawingml/2006/picture">
        <m:sSub>
          <m:e>
            <m:r>
              <m:t>Q</m:t>
            </m:r>
          </m:e>
          <m:sub>
            <m:r>
              <m:t>i</m:t>
            </m:r>
          </m:sub>
        </m:sSub>
      </m:oMath>
      <w:r>
        <w:rPr>
          <w:rFonts w:ascii="Times New Roman" w:hAnsi="Times New Roman"/>
        </w:rPr>
        <w:t xml:space="preserve"> and </w:t>
      </w:r>
      <m:oMath xmlns:a="http://schemas.openxmlformats.org/drawingml/2006/main" xmlns:pic="http://schemas.openxmlformats.org/drawingml/2006/picture">
        <m:sSub>
          <m:e>
            <m:r>
              <m:t>Z</m:t>
            </m:r>
          </m:e>
          <m:sub>
            <m:r>
              <m:t>r</m:t>
            </m:r>
          </m:sub>
        </m:sSub>
      </m:oMath>
      <w:r>
        <w:rPr>
          <w:rFonts w:ascii="Times New Roman" w:hAnsi="Times New Roman"/>
        </w:rPr>
        <w:t xml:space="preserve"> is sufficient for satisfying the corresponding long-run participation-share and relay-energy constraints. The proof follows directly from </w:t>
      </w:r>
      <m:oMath xmlns:a="http://schemas.openxmlformats.org/drawingml/2006/main" xmlns:pic="http://schemas.openxmlformats.org/drawingml/2006/picture">
        <m:sSup>
          <m:e>
            <m:d>
              <m:dPr>
                <m:begChr m:val="("/>
                <m:endChr m:val=")"/>
                <m:sepChr m:val=""/>
                <m:grow/>
              </m:dPr>
              <m:e>
                <m:sSup>
                  <m:e>
                    <m:d>
                      <m:dPr>
                        <m:begChr m:val="["/>
                        <m:endChr m:val="]"/>
                        <m:sepChr m:val=""/>
                        <m:grow/>
                      </m:dPr>
                      <m:e>
                        <m:r>
                          <m:t>q</m:t>
                        </m:r>
                        <m:r>
                          <m:rPr>
                            <m:sty m:val="p"/>
                          </m:rPr>
                          <m:t>+</m:t>
                        </m:r>
                        <m:r>
                          <m:t>y</m:t>
                        </m:r>
                      </m:e>
                    </m:d>
                  </m:e>
                  <m:sup>
                    <m:r>
                      <m:rPr>
                        <m:sty m:val="p"/>
                      </m:rPr>
                      <m:t>+</m:t>
                    </m:r>
                  </m:sup>
                </m:sSup>
              </m:e>
            </m:d>
          </m:e>
          <m:sup>
            <m:r>
              <m:t>2</m:t>
            </m:r>
          </m:sup>
        </m:sSup>
        <m:r>
          <m:rPr>
            <m:sty m:val="p"/>
          </m:rPr>
          <m:t>≤</m:t>
        </m:r>
        <m:sSup>
          <m:e>
            <m:r>
              <m:t>q</m:t>
            </m:r>
          </m:e>
          <m:sup>
            <m:r>
              <m:t>2</m:t>
            </m:r>
          </m:sup>
        </m:sSup>
        <m:r>
          <m:rPr>
            <m:sty m:val="p"/>
          </m:rPr>
          <m:t>+</m:t>
        </m:r>
        <m:sSup>
          <m:e>
            <m:r>
              <m:t>y</m:t>
            </m:r>
          </m:e>
          <m:sup>
            <m:r>
              <m:t>2</m:t>
            </m:r>
          </m:sup>
        </m:sSup>
        <m:r>
          <m:rPr>
            <m:sty m:val="p"/>
          </m:rPr>
          <m:t>+</m:t>
        </m:r>
        <m:r>
          <m:t>2</m:t>
        </m:r>
        <m:r>
          <m:t>q</m:t>
        </m:r>
        <m:r>
          <m:t>y</m:t>
        </m:r>
      </m:oMath>
      <w:r>
        <w:rPr>
          <w:rFonts w:ascii="Times New Roman" w:hAnsi="Times New Roman"/>
        </w:rPr>
        <w:t xml:space="preserve"> and telescoping the two queue recursions.</w:t>
      </w:r>
    </w:p>
    <w:p>
      <w:r>
        <w:rPr>
          <w:rFonts w:ascii="Times New Roman" w:hAnsi="Times New Roman"/>
          <w:b/>
        </w:rPr>
        <w:t>Proposition 2 (per-round decision exactness).</w:t>
      </w:r>
      <w:r>
        <w:rPr>
          <w:rFonts w:ascii="Times New Roman" w:hAnsi="Times New Roman"/>
        </w:rPr>
        <w:t xml:space="preserve"> Exhaustive enumeration of the finite compression set returns the exact minimizer of the stated compression surrogate, and the top-</w:t>
      </w:r>
      <m:oMath xmlns:a="http://schemas.openxmlformats.org/drawingml/2006/main" xmlns:pic="http://schemas.openxmlformats.org/drawingml/2006/picture">
        <m:sSub>
          <m:e>
            <m:r>
              <m:t>k</m:t>
            </m:r>
          </m:e>
          <m:sub>
            <m:r>
              <m:t>t</m:t>
            </m:r>
          </m:sub>
        </m:sSub>
      </m:oMath>
      <w:r>
        <w:rPr>
          <w:rFonts w:ascii="Times New Roman" w:hAnsi="Times New Roman"/>
        </w:rPr>
        <w:t xml:space="preserve"> step exactly maximizes the implemented additive client score over all eligible subsets of size </w:t>
      </w:r>
      <m:oMath xmlns:a="http://schemas.openxmlformats.org/drawingml/2006/main" xmlns:pic="http://schemas.openxmlformats.org/drawingml/2006/picture">
        <m:sSub>
          <m:e>
            <m:r>
              <m:t>k</m:t>
            </m:r>
          </m:e>
          <m:sub>
            <m:r>
              <m:t>t</m:t>
            </m:r>
          </m:sub>
        </m:sSub>
      </m:oMath>
      <w:r>
        <w:rPr>
          <w:rFonts w:ascii="Times New Roman" w:hAnsi="Times New Roman"/>
        </w:rPr>
        <w:t>. These are exact statements about the implemented surrogates, not global optimality claims for the end-to-end FL objective.</w:t>
      </w:r>
    </w:p>
    <w:p>
      <w:r>
        <w:rPr>
          <w:rFonts w:ascii="Times New Roman" w:hAnsi="Times New Roman"/>
          <w:b/>
        </w:rPr>
        <w:t>Lemma 1 (error-feedback conservation).</w:t>
      </w:r>
      <w:r>
        <w:rPr>
          <w:rFonts w:ascii="Times New Roman" w:hAnsi="Times New Roman"/>
        </w:rPr>
        <w:t xml:space="preserve"> For Top-k error feedback, with raw update </w:t>
      </w:r>
      <m:oMath xmlns:a="http://schemas.openxmlformats.org/drawingml/2006/main" xmlns:pic="http://schemas.openxmlformats.org/drawingml/2006/picture">
        <m:sSub>
          <m:e>
            <m:r>
              <m:t>u</m:t>
            </m:r>
          </m:e>
          <m:sub>
            <m:r>
              <m:t>i</m:t>
            </m:r>
          </m:sub>
        </m:sSub>
        <m:d>
          <m:dPr>
            <m:begChr m:val="("/>
            <m:endChr m:val=")"/>
            <m:sepChr m:val=""/>
            <m:grow/>
          </m:dPr>
          <m:e>
            <m:r>
              <m:t>t</m:t>
            </m:r>
          </m:e>
        </m:d>
      </m:oMath>
      <w:r>
        <w:rPr>
          <w:rFonts w:ascii="Times New Roman" w:hAnsi="Times New Roman"/>
        </w:rPr>
        <w:t xml:space="preserve">, residual </w:t>
      </w:r>
      <m:oMath xmlns:a="http://schemas.openxmlformats.org/drawingml/2006/main" xmlns:pic="http://schemas.openxmlformats.org/drawingml/2006/picture">
        <m:sSub>
          <m:e>
            <m:r>
              <m:t>e</m:t>
            </m:r>
          </m:e>
          <m:sub>
            <m:r>
              <m:t>i</m:t>
            </m:r>
          </m:sub>
        </m:sSub>
        <m:d>
          <m:dPr>
            <m:begChr m:val="("/>
            <m:endChr m:val=")"/>
            <m:sepChr m:val=""/>
            <m:grow/>
          </m:dPr>
          <m:e>
            <m:r>
              <m:t>t</m:t>
            </m:r>
          </m:e>
        </m:d>
      </m:oMath>
      <w:r>
        <w:rPr>
          <w:rFonts w:ascii="Times New Roman" w:hAnsi="Times New Roman"/>
        </w:rPr>
        <w:t xml:space="preserve">, and transmitted sparse update </w:t>
      </w:r>
      <m:oMath xmlns:a="http://schemas.openxmlformats.org/drawingml/2006/main" xmlns:pic="http://schemas.openxmlformats.org/drawingml/2006/picture">
        <m:sSub>
          <m:e>
            <m:r>
              <m:t>c</m:t>
            </m:r>
          </m:e>
          <m:sub>
            <m:r>
              <m:t>i</m:t>
            </m:r>
          </m:sub>
        </m:sSub>
        <m:d>
          <m:dPr>
            <m:begChr m:val="("/>
            <m:endChr m:val=")"/>
            <m:sepChr m:val=""/>
            <m:grow/>
          </m:dPr>
          <m:e>
            <m:r>
              <m:t>t</m:t>
            </m:r>
          </m:e>
        </m:d>
      </m:oMath>
      <w:r>
        <w:rPr>
          <w:rFonts w:ascii="Times New Roman" w:hAnsi="Times New Roman"/>
        </w:rPr>
        <w:t>,</w:t>
      </w:r>
    </w:p>
    <w:p>
      <m:oMathPara xmlns:a="http://schemas.openxmlformats.org/drawingml/2006/main" xmlns:pic="http://schemas.openxmlformats.org/drawingml/2006/picture">
        <m:oMathParaPr>
          <m:jc m:val="center"/>
        </m:oMathParaPr>
        <m:oMath>
          <m:sSub>
            <m:e>
              <m:r>
                <m:t>e</m:t>
              </m:r>
            </m:e>
            <m:sub>
              <m:r>
                <m:t>i</m:t>
              </m:r>
            </m:sub>
          </m:sSub>
          <m:d>
            <m:dPr>
              <m:begChr m:val="("/>
              <m:endChr m:val=")"/>
              <m:sepChr m:val=""/>
              <m:grow/>
            </m:dPr>
            <m:e>
              <m:r>
                <m:t>t</m:t>
              </m:r>
              <m:r>
                <m:rPr>
                  <m:sty m:val="p"/>
                </m:rPr>
                <m:t>+</m:t>
              </m:r>
              <m:r>
                <m:t>1</m:t>
              </m:r>
            </m:e>
          </m:d>
          <m:r>
            <m:rPr>
              <m:sty m:val="p"/>
            </m:rPr>
            <m:t>=</m:t>
          </m:r>
          <m:sSub>
            <m:e>
              <m:r>
                <m:t>u</m:t>
              </m:r>
            </m:e>
            <m:sub>
              <m:r>
                <m:t>i</m:t>
              </m:r>
            </m:sub>
          </m:sSub>
          <m:d>
            <m:dPr>
              <m:begChr m:val="("/>
              <m:endChr m:val=")"/>
              <m:sepChr m:val=""/>
              <m:grow/>
            </m:dPr>
            <m:e>
              <m:r>
                <m:t>t</m:t>
              </m:r>
            </m:e>
          </m:d>
          <m:r>
            <m:rPr>
              <m:sty m:val="p"/>
            </m:rPr>
            <m:t>+</m:t>
          </m:r>
          <m:sSub>
            <m:e>
              <m:r>
                <m:t>e</m:t>
              </m:r>
            </m:e>
            <m:sub>
              <m:r>
                <m:t>i</m:t>
              </m:r>
            </m:sub>
          </m:sSub>
          <m:d>
            <m:dPr>
              <m:begChr m:val="("/>
              <m:endChr m:val=")"/>
              <m:sepChr m:val=""/>
              <m:grow/>
            </m:dPr>
            <m:e>
              <m:r>
                <m:t>t</m:t>
              </m:r>
            </m:e>
          </m:d>
          <m:r>
            <m:rPr>
              <m:sty m:val="p"/>
            </m:rPr>
            <m:t>−</m:t>
          </m:r>
          <m:sSub>
            <m:e>
              <m:r>
                <m:t>c</m:t>
              </m:r>
            </m:e>
            <m:sub>
              <m:r>
                <m:t>i</m:t>
              </m:r>
            </m:sub>
          </m:sSub>
          <m:d>
            <m:dPr>
              <m:begChr m:val="("/>
              <m:endChr m:val=")"/>
              <m:sepChr m:val=""/>
              <m:grow/>
            </m:dPr>
            <m:e>
              <m:r>
                <m:t>t</m:t>
              </m:r>
            </m:e>
          </m:d>
          <m:r>
            <m:rPr>
              <m:sty m:val="p"/>
            </m:rPr>
            <m:t>,</m:t>
          </m:r>
        </m:oMath>
      </m:oMathPara>
    </w:p>
    <w:p>
      <w:r>
        <w:rPr>
          <w:rFonts w:ascii="Times New Roman" w:hAnsi="Times New Roman"/>
        </w:rPr>
        <w:t>which implies</w:t>
      </w:r>
    </w:p>
    <w:p>
      <m:oMathPara xmlns:a="http://schemas.openxmlformats.org/drawingml/2006/main" xmlns:pic="http://schemas.openxmlformats.org/drawingml/2006/picture">
        <m:oMathParaPr>
          <m:jc m:val="center"/>
        </m:oMathParaPr>
        <m:oMath>
          <m:nary>
            <m:naryPr>
              <m:chr m:val="∑"/>
              <m:limLoc m:val="undOvr"/>
              <m:subHide m:val="off"/>
              <m:supHide m:val="on"/>
            </m:naryPr>
            <m:sub>
              <m:r>
                <m:t>t</m:t>
              </m:r>
              <m:r>
                <m:rPr>
                  <m:sty m:val="p"/>
                </m:rPr>
                <m:t>&lt;</m:t>
              </m:r>
              <m:r>
                <m:t>T</m:t>
              </m:r>
            </m:sub>
            <m:sup>
              <m:r>
                <m:t>​</m:t>
              </m:r>
            </m:sup>
            <m:e>
              <m:sSub>
                <m:e>
                  <m:r>
                    <m:t>c</m:t>
                  </m:r>
                </m:e>
                <m:sub>
                  <m:r>
                    <m:t>i</m:t>
                  </m:r>
                </m:sub>
              </m:sSub>
            </m:e>
          </m:nary>
          <m:d>
            <m:dPr>
              <m:begChr m:val="("/>
              <m:endChr m:val=")"/>
              <m:sepChr m:val=""/>
              <m:grow/>
            </m:dPr>
            <m:e>
              <m:r>
                <m:t>t</m:t>
              </m:r>
            </m:e>
          </m:d>
          <m:r>
            <m:rPr>
              <m:sty m:val="p"/>
            </m:rPr>
            <m:t>=</m:t>
          </m:r>
          <m:nary>
            <m:naryPr>
              <m:chr m:val="∑"/>
              <m:limLoc m:val="undOvr"/>
              <m:subHide m:val="off"/>
              <m:supHide m:val="on"/>
            </m:naryPr>
            <m:sub>
              <m:r>
                <m:t>t</m:t>
              </m:r>
              <m:r>
                <m:rPr>
                  <m:sty m:val="p"/>
                </m:rPr>
                <m:t>&lt;</m:t>
              </m:r>
              <m:r>
                <m:t>T</m:t>
              </m:r>
            </m:sub>
            <m:sup>
              <m:r>
                <m:t>​</m:t>
              </m:r>
            </m:sup>
            <m:e>
              <m:sSub>
                <m:e>
                  <m:r>
                    <m:t>u</m:t>
                  </m:r>
                </m:e>
                <m:sub>
                  <m:r>
                    <m:t>i</m:t>
                  </m:r>
                </m:sub>
              </m:sSub>
            </m:e>
          </m:nary>
          <m:d>
            <m:dPr>
              <m:begChr m:val="("/>
              <m:endChr m:val=")"/>
              <m:sepChr m:val=""/>
              <m:grow/>
            </m:dPr>
            <m:e>
              <m:r>
                <m:t>t</m:t>
              </m:r>
            </m:e>
          </m:d>
          <m:r>
            <m:rPr>
              <m:sty m:val="p"/>
            </m:rPr>
            <m:t>+</m:t>
          </m:r>
          <m:sSub>
            <m:e>
              <m:r>
                <m:t>e</m:t>
              </m:r>
            </m:e>
            <m:sub>
              <m:r>
                <m:t>i</m:t>
              </m:r>
            </m:sub>
          </m:sSub>
          <m:d>
            <m:dPr>
              <m:begChr m:val="("/>
              <m:endChr m:val=")"/>
              <m:sepChr m:val=""/>
              <m:grow/>
            </m:dPr>
            <m:e>
              <m:r>
                <m:t>0</m:t>
              </m:r>
            </m:e>
          </m:d>
          <m:r>
            <m:rPr>
              <m:sty m:val="p"/>
            </m:rPr>
            <m:t>−</m:t>
          </m:r>
          <m:sSub>
            <m:e>
              <m:r>
                <m:t>e</m:t>
              </m:r>
            </m:e>
            <m:sub>
              <m:r>
                <m:t>i</m:t>
              </m:r>
            </m:sub>
          </m:sSub>
          <m:d>
            <m:dPr>
              <m:begChr m:val="("/>
              <m:endChr m:val=")"/>
              <m:sepChr m:val=""/>
              <m:grow/>
            </m:dPr>
            <m:e>
              <m:r>
                <m:t>T</m:t>
              </m:r>
            </m:e>
          </m:d>
          <m:r>
            <m:rPr>
              <m:sty m:val="p"/>
            </m:rPr>
            <m:t>.</m:t>
          </m:r>
        </m:oMath>
      </m:oMathPara>
    </w:p>
    <w:p>
      <w:r>
        <w:rPr>
          <w:rFonts w:ascii="Times New Roman" w:hAnsi="Times New Roman"/>
        </w:rPr>
        <w:t>Hence omitted coordinates are conserved in the residual rather than permanently discarded.</w:t>
      </w:r>
    </w:p>
    <w:p>
      <w:r>
        <w:rPr>
          <w:rFonts w:ascii="Times New Roman" w:hAnsi="Times New Roman"/>
        </w:rPr>
        <w:t xml:space="preserve">These guarantees are intentionally narrower than the classical Lyapunov-optimization result of an </w:t>
      </w:r>
      <m:oMath xmlns:a="http://schemas.openxmlformats.org/drawingml/2006/main" xmlns:pic="http://schemas.openxmlformats.org/drawingml/2006/picture">
        <m:r>
          <m:t>O</m:t>
        </m:r>
        <m:d>
          <m:dPr>
            <m:begChr m:val="("/>
            <m:endChr m:val=")"/>
            <m:sepChr m:val=""/>
            <m:grow/>
          </m:dPr>
          <m:e>
            <m:r>
              <m:t>1</m:t>
            </m:r>
            <m:r>
              <m:rPr>
                <m:sty m:val="p"/>
              </m:rPr>
              <m:t>/</m:t>
            </m:r>
            <m:r>
              <m:t>V</m:t>
            </m:r>
          </m:e>
        </m:d>
      </m:oMath>
      <w:r>
        <w:rPr>
          <w:rFonts w:ascii="Times New Roman" w:hAnsi="Times New Roman"/>
        </w:rPr>
        <w:t xml:space="preserve"> time-average penalty gap with </w:t>
      </w:r>
      <m:oMath xmlns:a="http://schemas.openxmlformats.org/drawingml/2006/main" xmlns:pic="http://schemas.openxmlformats.org/drawingml/2006/picture">
        <m:r>
          <m:t>O</m:t>
        </m:r>
        <m:d>
          <m:dPr>
            <m:begChr m:val="("/>
            <m:endChr m:val=")"/>
            <m:sepChr m:val=""/>
            <m:grow/>
          </m:dPr>
          <m:e>
            <m:r>
              <m:t>V</m:t>
            </m:r>
          </m:e>
        </m:d>
      </m:oMath>
      <w:r>
        <w:rPr>
          <w:rFonts w:ascii="Times New Roman" w:hAnsi="Times New Roman"/>
        </w:rPr>
        <w:t xml:space="preserve"> backlog [14]. That theorem requires direct minimization of the relevant drift-plus-penalty bound under suitable feasibility/slack assumptions. The executed controller instead normalizes queue-derived pressures and separately chooses compression through a distortion surrogate; moreover, the participation targets sum to one, so uniform strict slack for all participation queues is generally unavailable. We therefore do </w:t>
      </w:r>
      <w:r>
        <w:rPr>
          <w:rFonts w:ascii="Times New Roman" w:hAnsi="Times New Roman"/>
          <w:b/>
        </w:rPr>
        <w:t>not</w:t>
      </w:r>
      <w:r>
        <w:rPr>
          <w:rFonts w:ascii="Times New Roman" w:hAnsi="Times New Roman"/>
        </w:rPr>
        <w:t xml:space="preserve"> transfer the canonical </w:t>
      </w:r>
      <m:oMath xmlns:a="http://schemas.openxmlformats.org/drawingml/2006/main" xmlns:pic="http://schemas.openxmlformats.org/drawingml/2006/picture">
        <m:r>
          <m:t>O</m:t>
        </m:r>
        <m:d>
          <m:dPr>
            <m:begChr m:val="("/>
            <m:endChr m:val=")"/>
            <m:sepChr m:val=""/>
            <m:grow/>
          </m:dPr>
          <m:e>
            <m:r>
              <m:t>1</m:t>
            </m:r>
            <m:r>
              <m:rPr>
                <m:sty m:val="p"/>
              </m:rPr>
              <m:t>/</m:t>
            </m:r>
            <m:r>
              <m:t>V</m:t>
            </m:r>
          </m:e>
        </m:d>
      </m:oMath>
      <w:r>
        <w:rPr>
          <w:rFonts w:ascii="Times New Roman" w:hAnsi="Times New Roman"/>
        </w:rPr>
        <w:t>/</w:t>
      </w:r>
      <m:oMath xmlns:a="http://schemas.openxmlformats.org/drawingml/2006/main" xmlns:pic="http://schemas.openxmlformats.org/drawingml/2006/picture">
        <m:r>
          <m:t>O</m:t>
        </m:r>
        <m:d>
          <m:dPr>
            <m:begChr m:val="("/>
            <m:endChr m:val=")"/>
            <m:sepChr m:val=""/>
            <m:grow/>
          </m:dPr>
          <m:e>
            <m:r>
              <m:t>V</m:t>
            </m:r>
          </m:e>
        </m:d>
      </m:oMath>
      <w:r>
        <w:rPr>
          <w:rFonts w:ascii="Times New Roman" w:hAnsi="Times New Roman"/>
        </w:rPr>
        <w:t xml:space="preserve"> guarantee to the executed policy, nor do we claim a complete non-convex FL convergence theorem for the joint selection-compression-hierarchy-staleness process.</w:t>
      </w:r>
    </w:p>
    <w:p>
      <w:pPr>
        <w:pStyle w:val="Heading1"/>
      </w:pPr>
      <w:r>
        <w:t>5. Experimental Methodology</w:t>
      </w:r>
    </w:p>
    <w:p>
      <w:pPr>
        <w:pStyle w:val="Heading2"/>
      </w:pPr>
      <w:r>
        <w:t>5.1 Synthetic correlated heterogeneity</w:t>
      </w:r>
    </w:p>
    <w:p>
      <w:r>
        <w:rPr>
          <w:rFonts w:ascii="Times New Roman" w:hAnsi="Times New Roman"/>
        </w:rPr>
        <w:t xml:space="preserve">The controlled simulator uses 24 clients, four edge gateways, multi-hop ETX/residual-energy-aware paths, Top-k model-update compression, relay energy accounting, and three resource-data correlation levels </w:t>
      </w:r>
      <m:oMath xmlns:a="http://schemas.openxmlformats.org/drawingml/2006/main" xmlns:pic="http://schemas.openxmlformats.org/drawingml/2006/picture">
        <m:r>
          <m:t>c</m:t>
        </m:r>
        <m:r>
          <m:rPr>
            <m:sty m:val="p"/>
          </m:rPr>
          <m:t>∈</m:t>
        </m:r>
        <m:r>
          <m:rPr>
            <m:sty m:val="p"/>
          </m:rPr>
          <m:t>{</m:t>
        </m:r>
        <m:r>
          <m:t>0</m:t>
        </m:r>
        <m:r>
          <m:rPr>
            <m:sty m:val="p"/>
          </m:rPr>
          <m:t>,</m:t>
        </m:r>
        <m:r>
          <m:t>0.5</m:t>
        </m:r>
        <m:r>
          <m:rPr>
            <m:sty m:val="p"/>
          </m:rPr>
          <m:t>,</m:t>
        </m:r>
        <m:r>
          <m:t>0.9</m:t>
        </m:r>
        <m:r>
          <m:rPr>
            <m:sty m:val="p"/>
          </m:rPr>
          <m:t>}</m:t>
        </m:r>
      </m:oMath>
      <w:r>
        <w:rPr>
          <w:rFonts w:ascii="Times New Roman" w:hAnsi="Times New Roman"/>
        </w:rPr>
        <w:t>. Four policies are compared under the same training budget: random selection, resource-only selection, utility-only selection, and the proposed cross-layer controller. Final synthetic results use 10 seeds.</w:t>
      </w:r>
    </w:p>
    <w:p>
      <w:pPr>
        <w:pStyle w:val="Heading2"/>
      </w:pPr>
      <w:r>
        <w:t>5.2 Intel Berkeley Lab WSN</w:t>
      </w:r>
    </w:p>
    <w:p>
      <w:r>
        <w:rPr>
          <w:rFonts w:ascii="Times New Roman" w:hAnsi="Times New Roman"/>
        </w:rPr>
        <w:t>The Intel Berkeley Research Lab dataset [15] contains readings and deployment information from 54 Mica2Dot motes. Temperature, humidity, light, and voltage are used as sensing variables; measured directed connectivity probabilities and physical mote locations provide a real WSN substrate. Four spatially distributed high-connectivity motes are treated as edge gateways and excluded from learning, leaving 48 learning clients.</w:t>
      </w:r>
    </w:p>
    <w:p>
      <w:r>
        <w:rPr>
          <w:rFonts w:ascii="Times New Roman" w:hAnsi="Times New Roman"/>
        </w:rPr>
        <w:t>The task is per-mote next-temperature regression. A 16-step history of temperature, humidity, log-light, and voltage forms 64 input features. Data are partitioned temporally within each mote. The experiment uses 30 federated rounds, 10 clients per round, three resource-data correlation settings, and 10 paired seeds.</w:t>
      </w:r>
    </w:p>
    <w:p>
      <w:pPr>
        <w:jc w:val="center"/>
      </w:pPr>
      <w:r>
        <w:drawing>
          <wp:inline xmlns:a="http://schemas.openxmlformats.org/drawingml/2006/main" xmlns:pic="http://schemas.openxmlformats.org/drawingml/2006/picture">
            <wp:extent cx="5715000" cy="4286250"/>
            <wp:docPr id="2" name="Picture 2"/>
            <wp:cNvGraphicFramePr>
              <a:graphicFrameLocks noChangeAspect="1"/>
            </wp:cNvGraphicFramePr>
            <a:graphic>
              <a:graphicData uri="http://schemas.openxmlformats.org/drawingml/2006/picture">
                <pic:pic>
                  <pic:nvPicPr>
                    <pic:cNvPr id="0" name="01_network_topology.png"/>
                    <pic:cNvPicPr/>
                  </pic:nvPicPr>
                  <pic:blipFill>
                    <a:blip r:embed="rId11"/>
                    <a:stretch>
                      <a:fillRect/>
                    </a:stretch>
                  </pic:blipFill>
                  <pic:spPr>
                    <a:xfrm>
                      <a:off x="0" y="0"/>
                      <a:ext cx="5715000" cy="4286250"/>
                    </a:xfrm>
                    <a:prstGeom prst="rect"/>
                  </pic:spPr>
                </pic:pic>
              </a:graphicData>
            </a:graphic>
          </wp:inline>
        </w:drawing>
      </w:r>
    </w:p>
    <w:p>
      <w:pPr>
        <w:jc w:val="center"/>
      </w:pPr>
      <w:r>
        <w:rPr>
          <w:rFonts w:ascii="Times New Roman" w:hAnsi="Times New Roman"/>
          <w:i/>
          <w:sz w:val="18"/>
        </w:rPr>
        <w:t>Figure 2. Network-topology abstraction used for the Intel Berkeley Lab WSN experiment. Gateway nodes form the edge layer, while measured connectivity informs route feasibility and cost.</w:t>
      </w:r>
    </w:p>
    <w:p>
      <w:pPr>
        <w:pStyle w:val="Heading2"/>
      </w:pPr>
      <w:r>
        <w:t>5.3 UCI Human Activity Recognition</w:t>
      </w:r>
    </w:p>
    <w:p>
      <w:r>
        <w:rPr>
          <w:rFonts w:ascii="Times New Roman" w:hAnsi="Times New Roman"/>
        </w:rPr>
        <w:t>The UCI HAR dataset [16] contains smartphone inertial measurements from 30 subjects performing six activities. Each subject is treated as one FL client. The original train and test files are recombined and then split 80/20 within each subject using a fixed partition seed, preserving client identity and providing local held-out evaluation. A regularized linear softmax model is trained over 561 standardized features. Experiments use 25 rounds, eight clients per round, three resource-data correlation settings, and 10 paired seeds.</w:t>
      </w:r>
    </w:p>
    <w:p>
      <w:pPr>
        <w:pStyle w:val="Heading2"/>
      </w:pPr>
      <w:r>
        <w:t>5.4 ns-3.47 IEEE 802.15.4 validation</w:t>
      </w:r>
    </w:p>
    <w:p>
      <w:r>
        <w:rPr>
          <w:rFonts w:ascii="Times New Roman" w:hAnsi="Times New Roman"/>
        </w:rPr>
        <w:t>The learning-layer traffic profile is replayed through ns-3.47 LR-WPAN with CSMA/CA, ACKs, retransmissions, and contention. The primary hop-equivalent mapping converts compressed update bits and selected hop count into offered traffic while allowing ns-3 to generate its own retransmissions. An ETX-equivalent mapping is retained only as a stress sensitivity because ETX already represents expected transmission attempts. The final campaign executes 400 ns-3 runs across five load/scaling conditions, two mappings, four policies, and 10 paired seeds. Eleven official ns-3 LR-WPAN test suites pass with zero failures.</w:t>
      </w:r>
    </w:p>
    <w:p>
      <w:pPr>
        <w:pStyle w:val="Heading2"/>
      </w:pPr>
      <w:r>
        <w:t>5.5 Metrics and statistics</w:t>
      </w:r>
    </w:p>
    <w:p>
      <w:r>
        <w:rPr>
          <w:rFonts w:ascii="Times New Roman" w:hAnsi="Times New Roman"/>
        </w:rPr>
        <w:t>Learning metrics include global accuracy/Macro-F1 or RMSE/MAE, worst-client performance, and dispersion across clients. Systems metrics include expected transmitted bits, modeled energy, maximum relay energy, residual energy, selected-route ETX/hops, and ns-3 report delivery/delay. Participation is summarized with Jain's index, while statistical influence mismatch is measured with Jensen-Shannon divergence. Real-data comparisons use 10 paired seeds, exact paired sign-flip permutation tests, bootstrap 95% confidence intervals for paired differences, paired effect sizes, and Holm correction across the reported metric family.</w:t>
      </w:r>
    </w:p>
    <w:p>
      <w:pPr>
        <w:pStyle w:val="Heading2"/>
      </w:pPr>
      <w:r>
        <w:t>5.6 Full controller-optimization reproducibility rerun</w:t>
      </w:r>
    </w:p>
    <w:p>
      <w:r>
        <w:rPr>
          <w:rFonts w:ascii="Times New Roman" w:hAnsi="Times New Roman"/>
        </w:rPr>
        <w:t xml:space="preserve">To verify that the frozen controller setting remained reproducible after manuscript assembly, we reran the complete implemented HFL optimization campaign from repository commit `21325708792fe079db24eed92c9fc16c83520621`. The codebase first passed all 11 automated tests. The rerun then executed 120 synthetic simulations (four scheduling policies × three resource-data correlation levels × 10 seeds), a 120-run Intel Berkeley Lab grid, and a 120-run UCI HAR grid, for 360 HFL simulations in total. Each real-data grid evaluated </w:t>
      </w:r>
      <m:oMath xmlns:a="http://schemas.openxmlformats.org/drawingml/2006/main" xmlns:pic="http://schemas.openxmlformats.org/drawingml/2006/picture">
        <m:sSub>
          <m:e>
            <m:r>
              <m:t>η</m:t>
            </m:r>
          </m:e>
          <m:sub>
            <m:r>
              <m:t>R</m:t>
            </m:r>
          </m:sub>
        </m:sSub>
        <m:r>
          <m:rPr>
            <m:sty m:val="p"/>
          </m:rPr>
          <m:t>∈</m:t>
        </m:r>
        <m:r>
          <m:rPr>
            <m:sty m:val="p"/>
          </m:rPr>
          <m:t>{</m:t>
        </m:r>
        <m:r>
          <m:t>1</m:t>
        </m:r>
        <m:r>
          <m:rPr>
            <m:sty m:val="p"/>
          </m:rPr>
          <m:t>,</m:t>
        </m:r>
        <m:r>
          <m:t>2</m:t>
        </m:r>
        <m:r>
          <m:rPr>
            <m:sty m:val="p"/>
          </m:rPr>
          <m:t>,</m:t>
        </m:r>
        <m:r>
          <m:t>3</m:t>
        </m:r>
        <m:r>
          <m:rPr>
            <m:sty m:val="p"/>
          </m:rPr>
          <m:t>,</m:t>
        </m:r>
        <m:r>
          <m:t>5</m:t>
        </m:r>
        <m:r>
          <m:rPr>
            <m:sty m:val="p"/>
          </m:rPr>
          <m:t>}</m:t>
        </m:r>
      </m:oMath>
      <w:r>
        <w:rPr>
          <w:rFonts w:ascii="Times New Roman" w:hAnsi="Times New Roman"/>
        </w:rPr>
        <w:t xml:space="preserve"> and </w:t>
      </w:r>
      <m:oMath xmlns:a="http://schemas.openxmlformats.org/drawingml/2006/main" xmlns:pic="http://schemas.openxmlformats.org/drawingml/2006/picture">
        <m:r>
          <m:t>β</m:t>
        </m:r>
        <m:r>
          <m:rPr>
            <m:sty m:val="p"/>
          </m:rPr>
          <m:t>∈</m:t>
        </m:r>
        <m:r>
          <m:rPr>
            <m:sty m:val="p"/>
          </m:rPr>
          <m:t>{</m:t>
        </m:r>
        <m:r>
          <m:t>0.1</m:t>
        </m:r>
        <m:r>
          <m:rPr>
            <m:sty m:val="p"/>
          </m:rPr>
          <m:t>,</m:t>
        </m:r>
        <m:r>
          <m:t>0.2</m:t>
        </m:r>
        <m:r>
          <m:rPr>
            <m:sty m:val="p"/>
          </m:rPr>
          <m:t>,</m:t>
        </m:r>
        <m:r>
          <m:t>0.4</m:t>
        </m:r>
        <m:r>
          <m:rPr>
            <m:sty m:val="p"/>
          </m:rPr>
          <m:t>}</m:t>
        </m:r>
      </m:oMath>
      <w:r>
        <w:rPr>
          <w:rFonts w:ascii="Times New Roman" w:hAnsi="Times New Roman"/>
        </w:rPr>
        <w:t xml:space="preserve"> over the same 10 paired seeds. The implementation uses full-batch local gradient-descent client updates; it does not contain FedProx, FedAdam, or other server-optimizer-family baselines. Accordingly, “optimizer rerun” here refers to the implemented cross-layer controller and its frozen hyperparameter grid, not to a comparison among federated optimizer families.</w:t>
      </w:r>
    </w:p>
    <w:p>
      <w:r>
        <w:rPr>
          <w:rFonts w:ascii="Times New Roman" w:hAnsi="Times New Roman"/>
        </w:rPr>
        <w:t>The rerun left all tracked numerical result files unchanged relative to the frozen repository state. This provides a direct reproducibility check that the manuscript tables were not regenerated from a different seed set or post hoc parameter choice. Full commands, wall-clock timings, hashes, and selected operating-point values are recorded in `validation/OPTIMIZER_RERUN_REPORT.md`.</w:t>
      </w:r>
    </w:p>
    <w:p>
      <w:pPr>
        <w:pStyle w:val="Heading1"/>
      </w:pPr>
      <w:r>
        <w:t>6. Results</w:t>
      </w:r>
    </w:p>
    <w:p>
      <w:pPr>
        <w:pStyle w:val="Heading2"/>
      </w:pPr>
      <w:r>
        <w:t>6.1 Synthetic stress test</w:t>
      </w:r>
    </w:p>
    <w:p>
      <w:r>
        <w:rPr>
          <w:rFonts w:ascii="Times New Roman" w:hAnsi="Times New Roman"/>
        </w:rPr>
        <w:t xml:space="preserve">At correlation </w:t>
      </w:r>
      <m:oMath xmlns:a="http://schemas.openxmlformats.org/drawingml/2006/main" xmlns:pic="http://schemas.openxmlformats.org/drawingml/2006/picture">
        <m:r>
          <m:t>c</m:t>
        </m:r>
        <m:r>
          <m:rPr>
            <m:sty m:val="p"/>
          </m:rPr>
          <m:t>=</m:t>
        </m:r>
        <m:r>
          <m:t>0.9</m:t>
        </m:r>
      </m:oMath>
      <w:r>
        <w:rPr>
          <w:rFonts w:ascii="Times New Roman" w:hAnsi="Times New Roman"/>
        </w:rPr>
        <w:t>, resource-only scheduling reaches 93.63% accuracy with 1.544 M expected transmitted bits, 6.291 J modeled energy, and representation divergence 0.0744. The proposed controller reaches 93.64% accuracy with 0.544 M bits, 4.732 J, and representation divergence 0.0202. Thus the final tuned controller preserves the learning result while sharply reducing communication and representation mismatch.</w:t>
      </w:r>
    </w:p>
    <w:p>
      <w:pPr>
        <w:pStyle w:val="Heading2"/>
      </w:pPr>
      <w:r>
        <w:t>6.2 Intel WSN results</w:t>
      </w:r>
    </w:p>
    <w:p>
      <w:r>
        <w:rPr>
          <w:rFonts w:ascii="Times New Roman" w:hAnsi="Times New Roman"/>
        </w:rPr>
        <w:t xml:space="preserve">At </w:t>
      </w:r>
      <m:oMath xmlns:a="http://schemas.openxmlformats.org/drawingml/2006/main" xmlns:pic="http://schemas.openxmlformats.org/drawingml/2006/picture">
        <m:r>
          <m:t>c</m:t>
        </m:r>
        <m:r>
          <m:rPr>
            <m:sty m:val="p"/>
          </m:rPr>
          <m:t>=</m:t>
        </m:r>
        <m:r>
          <m:t>0.9</m:t>
        </m:r>
      </m:oMath>
      <w:r>
        <w:rPr>
          <w:rFonts w:ascii="Times New Roman" w:hAnsi="Times New Roman"/>
        </w:rPr>
        <w:t>, the Intel WSN experiment gives mean ± 95% confidence interval over 10 paired seeds:</w:t>
      </w:r>
    </w:p>
    <w:p>
      <w:pPr>
        <w:spacing w:before="120" w:after="60"/>
        <w:jc w:val="center"/>
      </w:pPr>
      <w:r>
        <w:rPr>
          <w:rFonts w:ascii="Times New Roman" w:hAnsi="Times New Roman"/>
          <w:b/>
          <w:sz w:val="18"/>
        </w:rPr>
        <w:t>Table 1. Intel Berkeley Lab WSN results at strong resource-data correlation (c = 0.9). Values are mean ± 95% confidence interval over 10 paired seeds.</w:t>
      </w:r>
    </w:p>
    <w:tbl>
      <w:tblPr>
        <w:tblStyle w:val="TableGrid"/>
        <w:tblW w:type="auto" w:w="0"/>
        <w:jc w:val="center"/>
        <w:tblLook w:firstColumn="1" w:firstRow="1" w:lastColumn="0" w:lastRow="0" w:noHBand="0" w:noVBand="1" w:val="04A0"/>
      </w:tblPr>
      <w:tblGrid>
        <w:gridCol w:w="1399"/>
        <w:gridCol w:w="1399"/>
        <w:gridCol w:w="1399"/>
        <w:gridCol w:w="1399"/>
        <w:gridCol w:w="1399"/>
        <w:gridCol w:w="1399"/>
        <w:gridCol w:w="1399"/>
      </w:tblGrid>
      <w:tr>
        <w:tc>
          <w:tcPr>
            <w:tcW w:type="dxa" w:w="1399"/>
            <w:vAlign w:val="center"/>
            <w:shd w:fill="17365D"/>
          </w:tcPr>
          <w:p>
            <w:r/>
            <w:r>
              <w:rPr>
                <w:rFonts w:ascii="Times New Roman" w:hAnsi="Times New Roman"/>
                <w:b/>
                <w:color w:val="FFFFFF"/>
                <w:sz w:val="17"/>
              </w:rPr>
              <w:t>Method</w:t>
            </w:r>
          </w:p>
        </w:tc>
        <w:tc>
          <w:tcPr>
            <w:tcW w:type="dxa" w:w="1399"/>
            <w:vAlign w:val="center"/>
            <w:shd w:fill="17365D"/>
          </w:tcPr>
          <w:p>
            <w:r/>
            <w:r>
              <w:rPr>
                <w:rFonts w:ascii="Times New Roman" w:hAnsi="Times New Roman"/>
                <w:b/>
                <w:color w:val="FFFFFF"/>
                <w:sz w:val="17"/>
              </w:rPr>
              <w:t>RMSE (°C) ↓</w:t>
            </w:r>
          </w:p>
        </w:tc>
        <w:tc>
          <w:tcPr>
            <w:tcW w:type="dxa" w:w="1399"/>
            <w:vAlign w:val="center"/>
            <w:shd w:fill="17365D"/>
          </w:tcPr>
          <w:p>
            <w:r/>
            <w:r>
              <w:rPr>
                <w:rFonts w:ascii="Times New Roman" w:hAnsi="Times New Roman"/>
                <w:b/>
                <w:color w:val="FFFFFF"/>
                <w:sz w:val="17"/>
              </w:rPr>
              <w:t>MAE (°C) ↓</w:t>
            </w:r>
          </w:p>
        </w:tc>
        <w:tc>
          <w:tcPr>
            <w:tcW w:type="dxa" w:w="1399"/>
            <w:vAlign w:val="center"/>
            <w:shd w:fill="17365D"/>
          </w:tcPr>
          <w:p>
            <w:r/>
            <w:r>
              <w:rPr>
                <w:rFonts w:ascii="Times New Roman" w:hAnsi="Times New Roman"/>
                <w:b/>
                <w:color w:val="FFFFFF"/>
                <w:sz w:val="17"/>
              </w:rPr>
              <w:t>Effective Mbit ↓</w:t>
            </w:r>
          </w:p>
        </w:tc>
        <w:tc>
          <w:tcPr>
            <w:tcW w:type="dxa" w:w="1399"/>
            <w:vAlign w:val="center"/>
            <w:shd w:fill="17365D"/>
          </w:tcPr>
          <w:p>
            <w:r/>
            <w:r>
              <w:rPr>
                <w:rFonts w:ascii="Times New Roman" w:hAnsi="Times New Roman"/>
                <w:b/>
                <w:color w:val="FFFFFF"/>
                <w:sz w:val="17"/>
              </w:rPr>
              <w:t>Energy (J) ↓</w:t>
            </w:r>
          </w:p>
        </w:tc>
        <w:tc>
          <w:tcPr>
            <w:tcW w:type="dxa" w:w="1399"/>
            <w:vAlign w:val="center"/>
            <w:shd w:fill="17365D"/>
          </w:tcPr>
          <w:p>
            <w:r/>
            <w:r>
              <w:rPr>
                <w:rFonts w:ascii="Times New Roman" w:hAnsi="Times New Roman"/>
                <w:b/>
                <w:color w:val="FFFFFF"/>
                <w:sz w:val="17"/>
              </w:rPr>
              <w:t>Max relay energy (J) ↓</w:t>
            </w:r>
          </w:p>
        </w:tc>
        <w:tc>
          <w:tcPr>
            <w:tcW w:type="dxa" w:w="1399"/>
            <w:vAlign w:val="center"/>
            <w:shd w:fill="17365D"/>
          </w:tcPr>
          <w:p>
            <w:r/>
            <w:r>
              <w:rPr>
                <w:rFonts w:ascii="Times New Roman" w:hAnsi="Times New Roman"/>
                <w:b/>
                <w:color w:val="FFFFFF"/>
                <w:sz w:val="17"/>
              </w:rPr>
              <w:t>Representation JS ↓</w:t>
            </w:r>
          </w:p>
        </w:tc>
      </w:tr>
      <w:tr>
        <w:tc>
          <w:tcPr>
            <w:tcW w:type="dxa" w:w="1399"/>
            <w:vAlign w:val="center"/>
          </w:tcPr>
          <w:p>
            <w:r/>
            <w:r>
              <w:rPr>
                <w:rFonts w:ascii="Times New Roman" w:hAnsi="Times New Roman"/>
                <w:b w:val="0"/>
                <w:sz w:val="17"/>
              </w:rPr>
              <w:t>Random</w:t>
            </w:r>
          </w:p>
        </w:tc>
        <w:tc>
          <w:tcPr>
            <w:tcW w:type="dxa" w:w="1399"/>
            <w:vAlign w:val="center"/>
          </w:tcPr>
          <w:p>
            <w:r/>
            <w:r>
              <w:rPr>
                <w:rFonts w:ascii="Times New Roman" w:hAnsi="Times New Roman"/>
                <w:b w:val="0"/>
                <w:sz w:val="17"/>
              </w:rPr>
              <w:t>1.7381 ± 0.0028</w:t>
            </w:r>
          </w:p>
        </w:tc>
        <w:tc>
          <w:tcPr>
            <w:tcW w:type="dxa" w:w="1399"/>
            <w:vAlign w:val="center"/>
          </w:tcPr>
          <w:p>
            <w:r/>
            <w:r>
              <w:rPr>
                <w:rFonts w:ascii="Times New Roman" w:hAnsi="Times New Roman"/>
                <w:b w:val="0"/>
                <w:sz w:val="17"/>
              </w:rPr>
              <w:t>0.8021 ± 0.0074</w:t>
            </w:r>
          </w:p>
        </w:tc>
        <w:tc>
          <w:tcPr>
            <w:tcW w:type="dxa" w:w="1399"/>
            <w:vAlign w:val="center"/>
          </w:tcPr>
          <w:p>
            <w:r/>
            <w:r>
              <w:rPr>
                <w:rFonts w:ascii="Times New Roman" w:hAnsi="Times New Roman"/>
                <w:b w:val="0"/>
                <w:sz w:val="17"/>
              </w:rPr>
              <w:t>2.515 ± 0.050</w:t>
            </w:r>
          </w:p>
        </w:tc>
        <w:tc>
          <w:tcPr>
            <w:tcW w:type="dxa" w:w="1399"/>
            <w:vAlign w:val="center"/>
          </w:tcPr>
          <w:p>
            <w:r/>
            <w:r>
              <w:rPr>
                <w:rFonts w:ascii="Times New Roman" w:hAnsi="Times New Roman"/>
                <w:b w:val="0"/>
                <w:sz w:val="17"/>
              </w:rPr>
              <w:t>6.986 ± 0.116</w:t>
            </w:r>
          </w:p>
        </w:tc>
        <w:tc>
          <w:tcPr>
            <w:tcW w:type="dxa" w:w="1399"/>
            <w:vAlign w:val="center"/>
          </w:tcPr>
          <w:p>
            <w:r/>
            <w:r>
              <w:rPr>
                <w:rFonts w:ascii="Times New Roman" w:hAnsi="Times New Roman"/>
                <w:b w:val="0"/>
                <w:sz w:val="17"/>
              </w:rPr>
              <w:t>0.2736 ± 0.0247</w:t>
            </w:r>
          </w:p>
        </w:tc>
        <w:tc>
          <w:tcPr>
            <w:tcW w:type="dxa" w:w="1399"/>
            <w:vAlign w:val="center"/>
          </w:tcPr>
          <w:p>
            <w:r/>
            <w:r>
              <w:rPr>
                <w:rFonts w:ascii="Times New Roman" w:hAnsi="Times New Roman"/>
                <w:b w:val="0"/>
                <w:sz w:val="17"/>
              </w:rPr>
              <w:t>0.0749 ± 0.0060</w:t>
            </w:r>
          </w:p>
        </w:tc>
      </w:tr>
      <w:tr>
        <w:tc>
          <w:tcPr>
            <w:tcW w:type="dxa" w:w="1399"/>
            <w:vAlign w:val="center"/>
          </w:tcPr>
          <w:p>
            <w:r/>
            <w:r>
              <w:rPr>
                <w:rFonts w:ascii="Times New Roman" w:hAnsi="Times New Roman"/>
                <w:b w:val="0"/>
                <w:sz w:val="17"/>
              </w:rPr>
              <w:t>Resource-only</w:t>
            </w:r>
          </w:p>
        </w:tc>
        <w:tc>
          <w:tcPr>
            <w:tcW w:type="dxa" w:w="1399"/>
            <w:vAlign w:val="center"/>
          </w:tcPr>
          <w:p>
            <w:r/>
            <w:r>
              <w:rPr>
                <w:rFonts w:ascii="Times New Roman" w:hAnsi="Times New Roman"/>
                <w:b w:val="0"/>
                <w:sz w:val="17"/>
              </w:rPr>
              <w:t>1.7451 ± 0.0030</w:t>
            </w:r>
          </w:p>
        </w:tc>
        <w:tc>
          <w:tcPr>
            <w:tcW w:type="dxa" w:w="1399"/>
            <w:vAlign w:val="center"/>
          </w:tcPr>
          <w:p>
            <w:r/>
            <w:r>
              <w:rPr>
                <w:rFonts w:ascii="Times New Roman" w:hAnsi="Times New Roman"/>
                <w:b w:val="0"/>
                <w:sz w:val="17"/>
              </w:rPr>
              <w:t>0.8297 ± 0.0087</w:t>
            </w:r>
          </w:p>
        </w:tc>
        <w:tc>
          <w:tcPr>
            <w:tcW w:type="dxa" w:w="1399"/>
            <w:vAlign w:val="center"/>
          </w:tcPr>
          <w:p>
            <w:r/>
            <w:r>
              <w:rPr>
                <w:rFonts w:ascii="Times New Roman" w:hAnsi="Times New Roman"/>
                <w:b w:val="0"/>
                <w:sz w:val="17"/>
              </w:rPr>
              <w:t>2.217 ± 0.014</w:t>
            </w:r>
          </w:p>
        </w:tc>
        <w:tc>
          <w:tcPr>
            <w:tcW w:type="dxa" w:w="1399"/>
            <w:vAlign w:val="center"/>
          </w:tcPr>
          <w:p>
            <w:r/>
            <w:r>
              <w:rPr>
                <w:rFonts w:ascii="Times New Roman" w:hAnsi="Times New Roman"/>
                <w:b w:val="0"/>
                <w:sz w:val="17"/>
              </w:rPr>
              <w:t>6.298 ± 0.031</w:t>
            </w:r>
          </w:p>
        </w:tc>
        <w:tc>
          <w:tcPr>
            <w:tcW w:type="dxa" w:w="1399"/>
            <w:vAlign w:val="center"/>
          </w:tcPr>
          <w:p>
            <w:r/>
            <w:r>
              <w:rPr>
                <w:rFonts w:ascii="Times New Roman" w:hAnsi="Times New Roman"/>
                <w:b w:val="0"/>
                <w:sz w:val="17"/>
              </w:rPr>
              <w:t>0.1393 ± 0.0060</w:t>
            </w:r>
          </w:p>
        </w:tc>
        <w:tc>
          <w:tcPr>
            <w:tcW w:type="dxa" w:w="1399"/>
            <w:vAlign w:val="center"/>
          </w:tcPr>
          <w:p>
            <w:r/>
            <w:r>
              <w:rPr>
                <w:rFonts w:ascii="Times New Roman" w:hAnsi="Times New Roman"/>
                <w:b w:val="0"/>
                <w:sz w:val="17"/>
              </w:rPr>
              <w:t>0.1231 ± 0.0068</w:t>
            </w:r>
          </w:p>
        </w:tc>
      </w:tr>
      <w:tr>
        <w:tc>
          <w:tcPr>
            <w:tcW w:type="dxa" w:w="1399"/>
            <w:vAlign w:val="center"/>
          </w:tcPr>
          <w:p>
            <w:r/>
            <w:r>
              <w:rPr>
                <w:rFonts w:ascii="Times New Roman" w:hAnsi="Times New Roman"/>
                <w:b w:val="0"/>
                <w:sz w:val="17"/>
              </w:rPr>
              <w:t>Utility-only</w:t>
            </w:r>
          </w:p>
        </w:tc>
        <w:tc>
          <w:tcPr>
            <w:tcW w:type="dxa" w:w="1399"/>
            <w:vAlign w:val="center"/>
          </w:tcPr>
          <w:p>
            <w:r/>
            <w:r>
              <w:rPr>
                <w:rFonts w:ascii="Times New Roman" w:hAnsi="Times New Roman"/>
                <w:b w:val="0"/>
                <w:sz w:val="17"/>
              </w:rPr>
              <w:t>1.7293 ± 0.0015</w:t>
            </w:r>
          </w:p>
        </w:tc>
        <w:tc>
          <w:tcPr>
            <w:tcW w:type="dxa" w:w="1399"/>
            <w:vAlign w:val="center"/>
          </w:tcPr>
          <w:p>
            <w:r/>
            <w:r>
              <w:rPr>
                <w:rFonts w:ascii="Times New Roman" w:hAnsi="Times New Roman"/>
                <w:b w:val="0"/>
                <w:sz w:val="17"/>
              </w:rPr>
              <w:t>0.7786 ± 0.0055</w:t>
            </w:r>
          </w:p>
        </w:tc>
        <w:tc>
          <w:tcPr>
            <w:tcW w:type="dxa" w:w="1399"/>
            <w:vAlign w:val="center"/>
          </w:tcPr>
          <w:p>
            <w:r/>
            <w:r>
              <w:rPr>
                <w:rFonts w:ascii="Times New Roman" w:hAnsi="Times New Roman"/>
                <w:b w:val="0"/>
                <w:sz w:val="17"/>
              </w:rPr>
              <w:t>2.692 ± 0.019</w:t>
            </w:r>
          </w:p>
        </w:tc>
        <w:tc>
          <w:tcPr>
            <w:tcW w:type="dxa" w:w="1399"/>
            <w:vAlign w:val="center"/>
          </w:tcPr>
          <w:p>
            <w:r/>
            <w:r>
              <w:rPr>
                <w:rFonts w:ascii="Times New Roman" w:hAnsi="Times New Roman"/>
                <w:b w:val="0"/>
                <w:sz w:val="17"/>
              </w:rPr>
              <w:t>7.392 ± 0.045</w:t>
            </w:r>
          </w:p>
        </w:tc>
        <w:tc>
          <w:tcPr>
            <w:tcW w:type="dxa" w:w="1399"/>
            <w:vAlign w:val="center"/>
          </w:tcPr>
          <w:p>
            <w:r/>
            <w:r>
              <w:rPr>
                <w:rFonts w:ascii="Times New Roman" w:hAnsi="Times New Roman"/>
                <w:b w:val="0"/>
                <w:sz w:val="17"/>
              </w:rPr>
              <w:t>0.3136 ± 0.0178</w:t>
            </w:r>
          </w:p>
        </w:tc>
        <w:tc>
          <w:tcPr>
            <w:tcW w:type="dxa" w:w="1399"/>
            <w:vAlign w:val="center"/>
          </w:tcPr>
          <w:p>
            <w:r/>
            <w:r>
              <w:rPr>
                <w:rFonts w:ascii="Times New Roman" w:hAnsi="Times New Roman"/>
                <w:b w:val="0"/>
                <w:sz w:val="17"/>
              </w:rPr>
              <w:t>0.0561 ± 0.0025</w:t>
            </w:r>
          </w:p>
        </w:tc>
      </w:tr>
      <w:tr>
        <w:tc>
          <w:tcPr>
            <w:tcW w:type="dxa" w:w="1399"/>
            <w:vAlign w:val="center"/>
          </w:tcPr>
          <w:p>
            <w:r/>
            <w:r>
              <w:rPr>
                <w:rFonts w:ascii="Times New Roman" w:hAnsi="Times New Roman"/>
                <w:b w:val="0"/>
                <w:sz w:val="17"/>
              </w:rPr>
              <w:t>Proposed</w:t>
            </w:r>
          </w:p>
        </w:tc>
        <w:tc>
          <w:tcPr>
            <w:tcW w:type="dxa" w:w="1399"/>
            <w:vAlign w:val="center"/>
          </w:tcPr>
          <w:p>
            <w:r/>
            <w:r>
              <w:rPr>
                <w:rFonts w:ascii="Times New Roman" w:hAnsi="Times New Roman"/>
                <w:b w:val="0"/>
                <w:sz w:val="17"/>
              </w:rPr>
              <w:t>1.7417 ± 0.0052</w:t>
            </w:r>
          </w:p>
        </w:tc>
        <w:tc>
          <w:tcPr>
            <w:tcW w:type="dxa" w:w="1399"/>
            <w:vAlign w:val="center"/>
          </w:tcPr>
          <w:p>
            <w:r/>
            <w:r>
              <w:rPr>
                <w:rFonts w:ascii="Times New Roman" w:hAnsi="Times New Roman"/>
                <w:b w:val="0"/>
                <w:sz w:val="17"/>
              </w:rPr>
              <w:t>0.7968 ± 0.0113</w:t>
            </w:r>
          </w:p>
        </w:tc>
        <w:tc>
          <w:tcPr>
            <w:tcW w:type="dxa" w:w="1399"/>
            <w:vAlign w:val="center"/>
          </w:tcPr>
          <w:p>
            <w:r/>
            <w:r>
              <w:rPr>
                <w:rFonts w:ascii="Times New Roman" w:hAnsi="Times New Roman"/>
                <w:b w:val="0"/>
                <w:sz w:val="17"/>
              </w:rPr>
              <w:t>0.983 ± 0.019</w:t>
            </w:r>
          </w:p>
        </w:tc>
        <w:tc>
          <w:tcPr>
            <w:tcW w:type="dxa" w:w="1399"/>
            <w:vAlign w:val="center"/>
          </w:tcPr>
          <w:p>
            <w:r/>
            <w:r>
              <w:rPr>
                <w:rFonts w:ascii="Times New Roman" w:hAnsi="Times New Roman"/>
                <w:b w:val="0"/>
                <w:sz w:val="17"/>
              </w:rPr>
              <w:t>3.460 ± 0.043</w:t>
            </w:r>
          </w:p>
        </w:tc>
        <w:tc>
          <w:tcPr>
            <w:tcW w:type="dxa" w:w="1399"/>
            <w:vAlign w:val="center"/>
          </w:tcPr>
          <w:p>
            <w:r/>
            <w:r>
              <w:rPr>
                <w:rFonts w:ascii="Times New Roman" w:hAnsi="Times New Roman"/>
                <w:b w:val="0"/>
                <w:sz w:val="17"/>
              </w:rPr>
              <w:t>0.0976 ± 0.0024</w:t>
            </w:r>
          </w:p>
        </w:tc>
        <w:tc>
          <w:tcPr>
            <w:tcW w:type="dxa" w:w="1399"/>
            <w:vAlign w:val="center"/>
          </w:tcPr>
          <w:p>
            <w:r/>
            <w:r>
              <w:rPr>
                <w:rFonts w:ascii="Times New Roman" w:hAnsi="Times New Roman"/>
                <w:b w:val="0"/>
                <w:sz w:val="17"/>
              </w:rPr>
              <w:t>0.0231 ± 0.0023</w:t>
            </w:r>
          </w:p>
        </w:tc>
      </w:tr>
    </w:tbl>
    <w:p/>
    <w:p>
      <w:r>
        <w:rPr>
          <w:rFonts w:ascii="Times New Roman" w:hAnsi="Times New Roman"/>
        </w:rPr>
        <w:t xml:space="preserve">Relative to resource-only scheduling, the proposed controller reduces expected communication by 55.67%, total modeled energy by 45.06%, maximum relay energy by 29.94%, and representation divergence by 81.21%. MAE improves by 3.96%; these five improvements remain significant after Holm correction (Holm-adjusted </w:t>
      </w:r>
      <m:oMath xmlns:a="http://schemas.openxmlformats.org/drawingml/2006/main" xmlns:pic="http://schemas.openxmlformats.org/drawingml/2006/picture">
        <m:r>
          <m:t>p</m:t>
        </m:r>
        <m:r>
          <m:rPr>
            <m:sty m:val="p"/>
          </m:rPr>
          <m:t>=</m:t>
        </m:r>
        <m:r>
          <m:t>0.0117</m:t>
        </m:r>
      </m:oMath>
      <w:r>
        <w:rPr>
          <w:rFonts w:ascii="Times New Roman" w:hAnsi="Times New Roman"/>
        </w:rPr>
        <w:t xml:space="preserve">). The RMSE difference is small (-0.19%) and is not statistically significant (exact paired sign-flip and Holm-adjusted </w:t>
      </w:r>
      <m:oMath xmlns:a="http://schemas.openxmlformats.org/drawingml/2006/main" xmlns:pic="http://schemas.openxmlformats.org/drawingml/2006/picture">
        <m:r>
          <m:t>p</m:t>
        </m:r>
        <m:r>
          <m:rPr>
            <m:sty m:val="p"/>
          </m:rPr>
          <m:t>=</m:t>
        </m:r>
        <m:r>
          <m:t>0.2246</m:t>
        </m:r>
      </m:oMath>
      <w:r>
        <w:rPr>
          <w:rFonts w:ascii="Times New Roman" w:hAnsi="Times New Roman"/>
        </w:rPr>
        <w:t>); it is therefore described as comparable rather than superior. Utility-only obtains the lowest RMSE but at markedly higher communication, total energy, and relay burden.</w:t>
      </w:r>
    </w:p>
    <w:p>
      <w:pPr>
        <w:jc w:val="center"/>
      </w:pPr>
      <w:r>
        <w:drawing>
          <wp:inline xmlns:a="http://schemas.openxmlformats.org/drawingml/2006/main" xmlns:pic="http://schemas.openxmlformats.org/drawingml/2006/picture">
            <wp:extent cx="5715000" cy="4286250"/>
            <wp:docPr id="3" name="Picture 3"/>
            <wp:cNvGraphicFramePr>
              <a:graphicFrameLocks noChangeAspect="1"/>
            </wp:cNvGraphicFramePr>
            <a:graphic>
              <a:graphicData uri="http://schemas.openxmlformats.org/drawingml/2006/picture">
                <pic:pic>
                  <pic:nvPicPr>
                    <pic:cNvPr id="0" name="07_intel_berkeley_results.png"/>
                    <pic:cNvPicPr/>
                  </pic:nvPicPr>
                  <pic:blipFill>
                    <a:blip r:embed="rId12"/>
                    <a:stretch>
                      <a:fillRect/>
                    </a:stretch>
                  </pic:blipFill>
                  <pic:spPr>
                    <a:xfrm>
                      <a:off x="0" y="0"/>
                      <a:ext cx="5715000" cy="4286250"/>
                    </a:xfrm>
                    <a:prstGeom prst="rect"/>
                  </pic:spPr>
                </pic:pic>
              </a:graphicData>
            </a:graphic>
          </wp:inline>
        </w:drawing>
      </w:r>
    </w:p>
    <w:p>
      <w:pPr>
        <w:jc w:val="center"/>
      </w:pPr>
      <w:r>
        <w:rPr>
          <w:rFonts w:ascii="Times New Roman" w:hAnsi="Times New Roman"/>
          <w:i/>
          <w:sz w:val="18"/>
        </w:rPr>
        <w:t>Figure 3. Intel Berkeley Lab comparison under strong resource-data correlation (c = 0.9). Exact values and 95% confidence intervals are reported in Table 1.</w:t>
      </w:r>
    </w:p>
    <w:p>
      <w:pPr>
        <w:pStyle w:val="Heading2"/>
      </w:pPr>
      <w:r>
        <w:t>6.3 UCI HAR results</w:t>
      </w:r>
    </w:p>
    <w:p>
      <w:r>
        <w:rPr>
          <w:rFonts w:ascii="Times New Roman" w:hAnsi="Times New Roman"/>
        </w:rPr>
        <w:t xml:space="preserve">At </w:t>
      </w:r>
      <m:oMath xmlns:a="http://schemas.openxmlformats.org/drawingml/2006/main" xmlns:pic="http://schemas.openxmlformats.org/drawingml/2006/picture">
        <m:r>
          <m:t>c</m:t>
        </m:r>
        <m:r>
          <m:rPr>
            <m:sty m:val="p"/>
          </m:rPr>
          <m:t>=</m:t>
        </m:r>
        <m:r>
          <m:t>0.9</m:t>
        </m:r>
      </m:oMath>
      <w:r>
        <w:rPr>
          <w:rFonts w:ascii="Times New Roman" w:hAnsi="Times New Roman"/>
        </w:rPr>
        <w:t>, mean ± 95% confidence interval over 10 paired seeds is:</w:t>
      </w:r>
    </w:p>
    <w:p>
      <w:pPr>
        <w:spacing w:before="120" w:after="60"/>
        <w:jc w:val="center"/>
      </w:pPr>
      <w:r>
        <w:rPr>
          <w:rFonts w:ascii="Times New Roman" w:hAnsi="Times New Roman"/>
          <w:b/>
          <w:sz w:val="18"/>
        </w:rPr>
        <w:t>Table 2. UCI HAR results at strong resource-data correlation (c = 0.9). Values are mean ± 95% confidence interval over 10 paired seeds.</w:t>
      </w:r>
    </w:p>
    <w:tbl>
      <w:tblPr>
        <w:tblStyle w:val="TableGrid"/>
        <w:tblW w:type="auto" w:w="0"/>
        <w:jc w:val="center"/>
        <w:tblLook w:firstColumn="1" w:firstRow="1" w:lastColumn="0" w:lastRow="0" w:noHBand="0" w:noVBand="1" w:val="04A0"/>
      </w:tblPr>
      <w:tblGrid>
        <w:gridCol w:w="1224"/>
        <w:gridCol w:w="1224"/>
        <w:gridCol w:w="1224"/>
        <w:gridCol w:w="1224"/>
        <w:gridCol w:w="1224"/>
        <w:gridCol w:w="1224"/>
        <w:gridCol w:w="1224"/>
        <w:gridCol w:w="1224"/>
      </w:tblGrid>
      <w:tr>
        <w:tc>
          <w:tcPr>
            <w:tcW w:type="dxa" w:w="1224"/>
            <w:vAlign w:val="center"/>
            <w:shd w:fill="17365D"/>
          </w:tcPr>
          <w:p>
            <w:r/>
            <w:r>
              <w:rPr>
                <w:rFonts w:ascii="Times New Roman" w:hAnsi="Times New Roman"/>
                <w:b/>
                <w:color w:val="FFFFFF"/>
                <w:sz w:val="17"/>
              </w:rPr>
              <w:t>Method</w:t>
            </w:r>
          </w:p>
        </w:tc>
        <w:tc>
          <w:tcPr>
            <w:tcW w:type="dxa" w:w="1224"/>
            <w:vAlign w:val="center"/>
            <w:shd w:fill="17365D"/>
          </w:tcPr>
          <w:p>
            <w:r/>
            <w:r>
              <w:rPr>
                <w:rFonts w:ascii="Times New Roman" w:hAnsi="Times New Roman"/>
                <w:b/>
                <w:color w:val="FFFFFF"/>
                <w:sz w:val="17"/>
              </w:rPr>
              <w:t>Accuracy ↑</w:t>
            </w:r>
          </w:p>
        </w:tc>
        <w:tc>
          <w:tcPr>
            <w:tcW w:type="dxa" w:w="1224"/>
            <w:vAlign w:val="center"/>
            <w:shd w:fill="17365D"/>
          </w:tcPr>
          <w:p>
            <w:r/>
            <w:r>
              <w:rPr>
                <w:rFonts w:ascii="Times New Roman" w:hAnsi="Times New Roman"/>
                <w:b/>
                <w:color w:val="FFFFFF"/>
                <w:sz w:val="17"/>
              </w:rPr>
              <w:t>Macro-F1 ↑</w:t>
            </w:r>
          </w:p>
        </w:tc>
        <w:tc>
          <w:tcPr>
            <w:tcW w:type="dxa" w:w="1224"/>
            <w:vAlign w:val="center"/>
            <w:shd w:fill="17365D"/>
          </w:tcPr>
          <w:p>
            <w:r/>
            <w:r>
              <w:rPr>
                <w:rFonts w:ascii="Times New Roman" w:hAnsi="Times New Roman"/>
                <w:b/>
                <w:color w:val="FFFFFF"/>
                <w:sz w:val="17"/>
              </w:rPr>
              <w:t>Worst-client accuracy ↑</w:t>
            </w:r>
          </w:p>
        </w:tc>
        <w:tc>
          <w:tcPr>
            <w:tcW w:type="dxa" w:w="1224"/>
            <w:vAlign w:val="center"/>
            <w:shd w:fill="17365D"/>
          </w:tcPr>
          <w:p>
            <w:r/>
            <w:r>
              <w:rPr>
                <w:rFonts w:ascii="Times New Roman" w:hAnsi="Times New Roman"/>
                <w:b/>
                <w:color w:val="FFFFFF"/>
                <w:sz w:val="17"/>
              </w:rPr>
              <w:t>Effective Mbit ↓</w:t>
            </w:r>
          </w:p>
        </w:tc>
        <w:tc>
          <w:tcPr>
            <w:tcW w:type="dxa" w:w="1224"/>
            <w:vAlign w:val="center"/>
            <w:shd w:fill="17365D"/>
          </w:tcPr>
          <w:p>
            <w:r/>
            <w:r>
              <w:rPr>
                <w:rFonts w:ascii="Times New Roman" w:hAnsi="Times New Roman"/>
                <w:b/>
                <w:color w:val="FFFFFF"/>
                <w:sz w:val="17"/>
              </w:rPr>
              <w:t>Energy (J) ↓</w:t>
            </w:r>
          </w:p>
        </w:tc>
        <w:tc>
          <w:tcPr>
            <w:tcW w:type="dxa" w:w="1224"/>
            <w:vAlign w:val="center"/>
            <w:shd w:fill="17365D"/>
          </w:tcPr>
          <w:p>
            <w:r/>
            <w:r>
              <w:rPr>
                <w:rFonts w:ascii="Times New Roman" w:hAnsi="Times New Roman"/>
                <w:b/>
                <w:color w:val="FFFFFF"/>
                <w:sz w:val="17"/>
              </w:rPr>
              <w:t>Max relay energy (J) ↓</w:t>
            </w:r>
          </w:p>
        </w:tc>
        <w:tc>
          <w:tcPr>
            <w:tcW w:type="dxa" w:w="1224"/>
            <w:vAlign w:val="center"/>
            <w:shd w:fill="17365D"/>
          </w:tcPr>
          <w:p>
            <w:r/>
            <w:r>
              <w:rPr>
                <w:rFonts w:ascii="Times New Roman" w:hAnsi="Times New Roman"/>
                <w:b/>
                <w:color w:val="FFFFFF"/>
                <w:sz w:val="17"/>
              </w:rPr>
              <w:t>Representation JS ↓</w:t>
            </w:r>
          </w:p>
        </w:tc>
      </w:tr>
      <w:tr>
        <w:tc>
          <w:tcPr>
            <w:tcW w:type="dxa" w:w="1224"/>
            <w:vAlign w:val="center"/>
          </w:tcPr>
          <w:p>
            <w:r/>
            <w:r>
              <w:rPr>
                <w:rFonts w:ascii="Times New Roman" w:hAnsi="Times New Roman"/>
                <w:b w:val="0"/>
                <w:sz w:val="17"/>
              </w:rPr>
              <w:t>Random</w:t>
            </w:r>
          </w:p>
        </w:tc>
        <w:tc>
          <w:tcPr>
            <w:tcW w:type="dxa" w:w="1224"/>
            <w:vAlign w:val="center"/>
          </w:tcPr>
          <w:p>
            <w:r/>
            <w:r>
              <w:rPr>
                <w:rFonts w:ascii="Times New Roman" w:hAnsi="Times New Roman"/>
                <w:b w:val="0"/>
                <w:sz w:val="17"/>
              </w:rPr>
              <w:t>0.8216 ± 0.0345</w:t>
            </w:r>
          </w:p>
        </w:tc>
        <w:tc>
          <w:tcPr>
            <w:tcW w:type="dxa" w:w="1224"/>
            <w:vAlign w:val="center"/>
          </w:tcPr>
          <w:p>
            <w:r/>
            <w:r>
              <w:rPr>
                <w:rFonts w:ascii="Times New Roman" w:hAnsi="Times New Roman"/>
                <w:b w:val="0"/>
                <w:sz w:val="17"/>
              </w:rPr>
              <w:t>0.7949 ± 0.0489</w:t>
            </w:r>
          </w:p>
        </w:tc>
        <w:tc>
          <w:tcPr>
            <w:tcW w:type="dxa" w:w="1224"/>
            <w:vAlign w:val="center"/>
          </w:tcPr>
          <w:p>
            <w:r/>
            <w:r>
              <w:rPr>
                <w:rFonts w:ascii="Times New Roman" w:hAnsi="Times New Roman"/>
                <w:b w:val="0"/>
                <w:sz w:val="17"/>
              </w:rPr>
              <w:t>0.6479 ± 0.0409</w:t>
            </w:r>
          </w:p>
        </w:tc>
        <w:tc>
          <w:tcPr>
            <w:tcW w:type="dxa" w:w="1224"/>
            <w:vAlign w:val="center"/>
          </w:tcPr>
          <w:p>
            <w:r/>
            <w:r>
              <w:rPr>
                <w:rFonts w:ascii="Times New Roman" w:hAnsi="Times New Roman"/>
                <w:b w:val="0"/>
                <w:sz w:val="17"/>
              </w:rPr>
              <w:t>41.416 ± 3.318</w:t>
            </w:r>
          </w:p>
        </w:tc>
        <w:tc>
          <w:tcPr>
            <w:tcW w:type="dxa" w:w="1224"/>
            <w:vAlign w:val="center"/>
          </w:tcPr>
          <w:p>
            <w:r/>
            <w:r>
              <w:rPr>
                <w:rFonts w:ascii="Times New Roman" w:hAnsi="Times New Roman"/>
                <w:b w:val="0"/>
                <w:sz w:val="17"/>
              </w:rPr>
              <w:t>70.83 ± 7.38</w:t>
            </w:r>
          </w:p>
        </w:tc>
        <w:tc>
          <w:tcPr>
            <w:tcW w:type="dxa" w:w="1224"/>
            <w:vAlign w:val="center"/>
          </w:tcPr>
          <w:p>
            <w:r/>
            <w:r>
              <w:rPr>
                <w:rFonts w:ascii="Times New Roman" w:hAnsi="Times New Roman"/>
                <w:b w:val="0"/>
                <w:sz w:val="17"/>
              </w:rPr>
              <w:t>3.812 ± 1.189</w:t>
            </w:r>
          </w:p>
        </w:tc>
        <w:tc>
          <w:tcPr>
            <w:tcW w:type="dxa" w:w="1224"/>
            <w:vAlign w:val="center"/>
          </w:tcPr>
          <w:p>
            <w:r/>
            <w:r>
              <w:rPr>
                <w:rFonts w:ascii="Times New Roman" w:hAnsi="Times New Roman"/>
                <w:b w:val="0"/>
                <w:sz w:val="17"/>
              </w:rPr>
              <w:t>0.0590 ± 0.0103</w:t>
            </w:r>
          </w:p>
        </w:tc>
      </w:tr>
      <w:tr>
        <w:tc>
          <w:tcPr>
            <w:tcW w:type="dxa" w:w="1224"/>
            <w:vAlign w:val="center"/>
          </w:tcPr>
          <w:p>
            <w:r/>
            <w:r>
              <w:rPr>
                <w:rFonts w:ascii="Times New Roman" w:hAnsi="Times New Roman"/>
                <w:b w:val="0"/>
                <w:sz w:val="17"/>
              </w:rPr>
              <w:t>Resource-only</w:t>
            </w:r>
          </w:p>
        </w:tc>
        <w:tc>
          <w:tcPr>
            <w:tcW w:type="dxa" w:w="1224"/>
            <w:vAlign w:val="center"/>
          </w:tcPr>
          <w:p>
            <w:r/>
            <w:r>
              <w:rPr>
                <w:rFonts w:ascii="Times New Roman" w:hAnsi="Times New Roman"/>
                <w:b w:val="0"/>
                <w:sz w:val="17"/>
              </w:rPr>
              <w:t>0.8754 ± 0.0196</w:t>
            </w:r>
          </w:p>
        </w:tc>
        <w:tc>
          <w:tcPr>
            <w:tcW w:type="dxa" w:w="1224"/>
            <w:vAlign w:val="center"/>
          </w:tcPr>
          <w:p>
            <w:r/>
            <w:r>
              <w:rPr>
                <w:rFonts w:ascii="Times New Roman" w:hAnsi="Times New Roman"/>
                <w:b w:val="0"/>
                <w:sz w:val="17"/>
              </w:rPr>
              <w:t>0.8724 ± 0.0226</w:t>
            </w:r>
          </w:p>
        </w:tc>
        <w:tc>
          <w:tcPr>
            <w:tcW w:type="dxa" w:w="1224"/>
            <w:vAlign w:val="center"/>
          </w:tcPr>
          <w:p>
            <w:r/>
            <w:r>
              <w:rPr>
                <w:rFonts w:ascii="Times New Roman" w:hAnsi="Times New Roman"/>
                <w:b w:val="0"/>
                <w:sz w:val="17"/>
              </w:rPr>
              <w:t>0.6814 ± 0.0173</w:t>
            </w:r>
          </w:p>
        </w:tc>
        <w:tc>
          <w:tcPr>
            <w:tcW w:type="dxa" w:w="1224"/>
            <w:vAlign w:val="center"/>
          </w:tcPr>
          <w:p>
            <w:r/>
            <w:r>
              <w:rPr>
                <w:rFonts w:ascii="Times New Roman" w:hAnsi="Times New Roman"/>
                <w:b w:val="0"/>
                <w:sz w:val="17"/>
              </w:rPr>
              <w:t>29.651 ± 1.154</w:t>
            </w:r>
          </w:p>
        </w:tc>
        <w:tc>
          <w:tcPr>
            <w:tcW w:type="dxa" w:w="1224"/>
            <w:vAlign w:val="center"/>
          </w:tcPr>
          <w:p>
            <w:r/>
            <w:r>
              <w:rPr>
                <w:rFonts w:ascii="Times New Roman" w:hAnsi="Times New Roman"/>
                <w:b w:val="0"/>
                <w:sz w:val="17"/>
              </w:rPr>
              <w:t>45.92 ± 1.80</w:t>
            </w:r>
          </w:p>
        </w:tc>
        <w:tc>
          <w:tcPr>
            <w:tcW w:type="dxa" w:w="1224"/>
            <w:vAlign w:val="center"/>
          </w:tcPr>
          <w:p>
            <w:r/>
            <w:r>
              <w:rPr>
                <w:rFonts w:ascii="Times New Roman" w:hAnsi="Times New Roman"/>
                <w:b w:val="0"/>
                <w:sz w:val="17"/>
              </w:rPr>
              <w:t>0.458 ± 0.091</w:t>
            </w:r>
          </w:p>
        </w:tc>
        <w:tc>
          <w:tcPr>
            <w:tcW w:type="dxa" w:w="1224"/>
            <w:vAlign w:val="center"/>
          </w:tcPr>
          <w:p>
            <w:r/>
            <w:r>
              <w:rPr>
                <w:rFonts w:ascii="Times New Roman" w:hAnsi="Times New Roman"/>
                <w:b w:val="0"/>
                <w:sz w:val="17"/>
              </w:rPr>
              <w:t>0.1634 ± 0.0302</w:t>
            </w:r>
          </w:p>
        </w:tc>
      </w:tr>
      <w:tr>
        <w:tc>
          <w:tcPr>
            <w:tcW w:type="dxa" w:w="1224"/>
            <w:vAlign w:val="center"/>
          </w:tcPr>
          <w:p>
            <w:r/>
            <w:r>
              <w:rPr>
                <w:rFonts w:ascii="Times New Roman" w:hAnsi="Times New Roman"/>
                <w:b w:val="0"/>
                <w:sz w:val="17"/>
              </w:rPr>
              <w:t>Utility-only</w:t>
            </w:r>
          </w:p>
        </w:tc>
        <w:tc>
          <w:tcPr>
            <w:tcW w:type="dxa" w:w="1224"/>
            <w:vAlign w:val="center"/>
          </w:tcPr>
          <w:p>
            <w:r/>
            <w:r>
              <w:rPr>
                <w:rFonts w:ascii="Times New Roman" w:hAnsi="Times New Roman"/>
                <w:b w:val="0"/>
                <w:sz w:val="17"/>
              </w:rPr>
              <w:t>0.7188 ± 0.0303</w:t>
            </w:r>
          </w:p>
        </w:tc>
        <w:tc>
          <w:tcPr>
            <w:tcW w:type="dxa" w:w="1224"/>
            <w:vAlign w:val="center"/>
          </w:tcPr>
          <w:p>
            <w:r/>
            <w:r>
              <w:rPr>
                <w:rFonts w:ascii="Times New Roman" w:hAnsi="Times New Roman"/>
                <w:b w:val="0"/>
                <w:sz w:val="17"/>
              </w:rPr>
              <w:t>0.6626 ± 0.0406</w:t>
            </w:r>
          </w:p>
        </w:tc>
        <w:tc>
          <w:tcPr>
            <w:tcW w:type="dxa" w:w="1224"/>
            <w:vAlign w:val="center"/>
          </w:tcPr>
          <w:p>
            <w:r/>
            <w:r>
              <w:rPr>
                <w:rFonts w:ascii="Times New Roman" w:hAnsi="Times New Roman"/>
                <w:b w:val="0"/>
                <w:sz w:val="17"/>
              </w:rPr>
              <w:t>0.5682 ± 0.0270</w:t>
            </w:r>
          </w:p>
        </w:tc>
        <w:tc>
          <w:tcPr>
            <w:tcW w:type="dxa" w:w="1224"/>
            <w:vAlign w:val="center"/>
          </w:tcPr>
          <w:p>
            <w:r/>
            <w:r>
              <w:rPr>
                <w:rFonts w:ascii="Times New Roman" w:hAnsi="Times New Roman"/>
                <w:b w:val="0"/>
                <w:sz w:val="17"/>
              </w:rPr>
              <w:t>42.334 ± 2.904</w:t>
            </w:r>
          </w:p>
        </w:tc>
        <w:tc>
          <w:tcPr>
            <w:tcW w:type="dxa" w:w="1224"/>
            <w:vAlign w:val="center"/>
          </w:tcPr>
          <w:p>
            <w:r/>
            <w:r>
              <w:rPr>
                <w:rFonts w:ascii="Times New Roman" w:hAnsi="Times New Roman"/>
                <w:b w:val="0"/>
                <w:sz w:val="17"/>
              </w:rPr>
              <w:t>72.35 ± 6.54</w:t>
            </w:r>
          </w:p>
        </w:tc>
        <w:tc>
          <w:tcPr>
            <w:tcW w:type="dxa" w:w="1224"/>
            <w:vAlign w:val="center"/>
          </w:tcPr>
          <w:p>
            <w:r/>
            <w:r>
              <w:rPr>
                <w:rFonts w:ascii="Times New Roman" w:hAnsi="Times New Roman"/>
                <w:b w:val="0"/>
                <w:sz w:val="17"/>
              </w:rPr>
              <w:t>5.036 ± 1.102</w:t>
            </w:r>
          </w:p>
        </w:tc>
        <w:tc>
          <w:tcPr>
            <w:tcW w:type="dxa" w:w="1224"/>
            <w:vAlign w:val="center"/>
          </w:tcPr>
          <w:p>
            <w:r/>
            <w:r>
              <w:rPr>
                <w:rFonts w:ascii="Times New Roman" w:hAnsi="Times New Roman"/>
                <w:b w:val="0"/>
                <w:sz w:val="17"/>
              </w:rPr>
              <w:t>0.0763 ± 0.0101</w:t>
            </w:r>
          </w:p>
        </w:tc>
      </w:tr>
      <w:tr>
        <w:tc>
          <w:tcPr>
            <w:tcW w:type="dxa" w:w="1224"/>
            <w:vAlign w:val="center"/>
          </w:tcPr>
          <w:p>
            <w:r/>
            <w:r>
              <w:rPr>
                <w:rFonts w:ascii="Times New Roman" w:hAnsi="Times New Roman"/>
                <w:b w:val="0"/>
                <w:sz w:val="17"/>
              </w:rPr>
              <w:t>Proposed</w:t>
            </w:r>
          </w:p>
        </w:tc>
        <w:tc>
          <w:tcPr>
            <w:tcW w:type="dxa" w:w="1224"/>
            <w:vAlign w:val="center"/>
          </w:tcPr>
          <w:p>
            <w:r/>
            <w:r>
              <w:rPr>
                <w:rFonts w:ascii="Times New Roman" w:hAnsi="Times New Roman"/>
                <w:b w:val="0"/>
                <w:sz w:val="17"/>
              </w:rPr>
              <w:t>0.9061 ± 0.0022</w:t>
            </w:r>
          </w:p>
        </w:tc>
        <w:tc>
          <w:tcPr>
            <w:tcW w:type="dxa" w:w="1224"/>
            <w:vAlign w:val="center"/>
          </w:tcPr>
          <w:p>
            <w:r/>
            <w:r>
              <w:rPr>
                <w:rFonts w:ascii="Times New Roman" w:hAnsi="Times New Roman"/>
                <w:b w:val="0"/>
                <w:sz w:val="17"/>
              </w:rPr>
              <w:t>0.9060 ± 0.0024</w:t>
            </w:r>
          </w:p>
        </w:tc>
        <w:tc>
          <w:tcPr>
            <w:tcW w:type="dxa" w:w="1224"/>
            <w:vAlign w:val="center"/>
          </w:tcPr>
          <w:p>
            <w:r/>
            <w:r>
              <w:rPr>
                <w:rFonts w:ascii="Times New Roman" w:hAnsi="Times New Roman"/>
                <w:b w:val="0"/>
                <w:sz w:val="17"/>
              </w:rPr>
              <w:t>0.7169 ± 0.0150</w:t>
            </w:r>
          </w:p>
        </w:tc>
        <w:tc>
          <w:tcPr>
            <w:tcW w:type="dxa" w:w="1224"/>
            <w:vAlign w:val="center"/>
          </w:tcPr>
          <w:p>
            <w:r/>
            <w:r>
              <w:rPr>
                <w:rFonts w:ascii="Times New Roman" w:hAnsi="Times New Roman"/>
                <w:b w:val="0"/>
                <w:sz w:val="17"/>
              </w:rPr>
              <w:t>11.639 ± 0.713</w:t>
            </w:r>
          </w:p>
        </w:tc>
        <w:tc>
          <w:tcPr>
            <w:tcW w:type="dxa" w:w="1224"/>
            <w:vAlign w:val="center"/>
          </w:tcPr>
          <w:p>
            <w:r/>
            <w:r>
              <w:rPr>
                <w:rFonts w:ascii="Times New Roman" w:hAnsi="Times New Roman"/>
                <w:b w:val="0"/>
                <w:sz w:val="17"/>
              </w:rPr>
              <w:t>20.03 ± 1.57</w:t>
            </w:r>
          </w:p>
        </w:tc>
        <w:tc>
          <w:tcPr>
            <w:tcW w:type="dxa" w:w="1224"/>
            <w:vAlign w:val="center"/>
          </w:tcPr>
          <w:p>
            <w:r/>
            <w:r>
              <w:rPr>
                <w:rFonts w:ascii="Times New Roman" w:hAnsi="Times New Roman"/>
                <w:b w:val="0"/>
                <w:sz w:val="17"/>
              </w:rPr>
              <w:t>1.415 ± 0.344</w:t>
            </w:r>
          </w:p>
        </w:tc>
        <w:tc>
          <w:tcPr>
            <w:tcW w:type="dxa" w:w="1224"/>
            <w:vAlign w:val="center"/>
          </w:tcPr>
          <w:p>
            <w:r/>
            <w:r>
              <w:rPr>
                <w:rFonts w:ascii="Times New Roman" w:hAnsi="Times New Roman"/>
                <w:b w:val="0"/>
                <w:sz w:val="17"/>
              </w:rPr>
              <w:t>0.0327 ± 0.0078</w:t>
            </w:r>
          </w:p>
        </w:tc>
      </w:tr>
    </w:tbl>
    <w:p/>
    <w:p>
      <w:r>
        <w:rPr>
          <w:rFonts w:ascii="Times New Roman" w:hAnsi="Times New Roman"/>
        </w:rPr>
        <w:t xml:space="preserve">Against resource-only scheduling, accuracy improves by 3.08 percentage points, Macro-F1 by 3.36 points, worst-client accuracy by 3.55 points, expected communication decreases by 60.75%, total modeled energy decreases by 56.38%, and representation divergence decreases by 79.97%. These differences remain significant after Holm correction (Holm-adjusted </w:t>
      </w:r>
      <m:oMath xmlns:a="http://schemas.openxmlformats.org/drawingml/2006/main" xmlns:pic="http://schemas.openxmlformats.org/drawingml/2006/picture">
        <m:r>
          <m:t>p</m:t>
        </m:r>
        <m:r>
          <m:rPr>
            <m:sty m:val="p"/>
          </m:rPr>
          <m:t>=</m:t>
        </m:r>
        <m:r>
          <m:t>0.0156</m:t>
        </m:r>
      </m:oMath>
      <w:r>
        <w:rPr>
          <w:rFonts w:ascii="Times New Roman" w:hAnsi="Times New Roman"/>
        </w:rPr>
        <w:t xml:space="preserve">). However, maximum relay energy increases from 0.458 J to 1.415 J, a 209.28% increase relative to resource-only (Holm-adjusted </w:t>
      </w:r>
      <m:oMath xmlns:a="http://schemas.openxmlformats.org/drawingml/2006/main" xmlns:pic="http://schemas.openxmlformats.org/drawingml/2006/picture">
        <m:r>
          <m:t>p</m:t>
        </m:r>
        <m:r>
          <m:rPr>
            <m:sty m:val="p"/>
          </m:rPr>
          <m:t>=</m:t>
        </m:r>
        <m:r>
          <m:t>0.0156</m:t>
        </m:r>
      </m:oMath>
      <w:r>
        <w:rPr>
          <w:rFonts w:ascii="Times New Roman" w:hAnsi="Times New Roman"/>
        </w:rPr>
        <w:t>). This negative trade-off is retained explicitly: resource-only scheduling minimizes the relay hotspot by strongly favoring cheap paths, whereas the proposed controller spends more relay energy to preserve statistical participation while still using substantially less relay energy than random or utility-only scheduling.</w:t>
      </w:r>
    </w:p>
    <w:p>
      <w:pPr>
        <w:jc w:val="center"/>
      </w:pPr>
      <w:r>
        <w:drawing>
          <wp:inline xmlns:a="http://schemas.openxmlformats.org/drawingml/2006/main" xmlns:pic="http://schemas.openxmlformats.org/drawingml/2006/picture">
            <wp:extent cx="5715000" cy="4286250"/>
            <wp:docPr id="4" name="Picture 4"/>
            <wp:cNvGraphicFramePr>
              <a:graphicFrameLocks noChangeAspect="1"/>
            </wp:cNvGraphicFramePr>
            <a:graphic>
              <a:graphicData uri="http://schemas.openxmlformats.org/drawingml/2006/picture">
                <pic:pic>
                  <pic:nvPicPr>
                    <pic:cNvPr id="0" name="06_uci_har_results.png"/>
                    <pic:cNvPicPr/>
                  </pic:nvPicPr>
                  <pic:blipFill>
                    <a:blip r:embed="rId13"/>
                    <a:stretch>
                      <a:fillRect/>
                    </a:stretch>
                  </pic:blipFill>
                  <pic:spPr>
                    <a:xfrm>
                      <a:off x="0" y="0"/>
                      <a:ext cx="5715000" cy="4286250"/>
                    </a:xfrm>
                    <a:prstGeom prst="rect"/>
                  </pic:spPr>
                </pic:pic>
              </a:graphicData>
            </a:graphic>
          </wp:inline>
        </w:drawing>
      </w:r>
    </w:p>
    <w:p>
      <w:pPr>
        <w:jc w:val="center"/>
      </w:pPr>
      <w:r>
        <w:rPr>
          <w:rFonts w:ascii="Times New Roman" w:hAnsi="Times New Roman"/>
          <w:i/>
          <w:sz w:val="18"/>
        </w:rPr>
        <w:t>Figure 4. UCI HAR comparison under strong resource-data correlation (c = 0.9). The resource-only policy minimizes the relay hotspot, whereas the proposed policy improves learning, communication, total modeled energy, and representation.</w:t>
      </w:r>
    </w:p>
    <w:p>
      <w:pPr>
        <w:pStyle w:val="Heading2"/>
      </w:pPr>
      <w:r>
        <w:t>6.4 Ablation</w:t>
      </w:r>
    </w:p>
    <w:p>
      <w:r>
        <w:rPr>
          <w:rFonts w:ascii="Times New Roman" w:hAnsi="Times New Roman"/>
        </w:rPr>
        <w:t>On Intel WSN, removing the representation-deficit term increases representation divergence from 0.0231 to 0.0401. Replacing adaptive compression with fixed 50% compression increases traffic from 0.983 M to 2.419 M bits and energy from 3.460 J to 6.763 J. Removing relay pressure increases maximum relay energy from 0.0976 J to 0.1089 J. Utility-aware staleness has a smaller effect in this dataset because most updates arrive with limited staleness.</w:t>
      </w:r>
    </w:p>
    <w:p>
      <w:r>
        <w:rPr>
          <w:rFonts w:ascii="Times New Roman" w:hAnsi="Times New Roman"/>
        </w:rPr>
        <w:t>On UCI HAR, removing the representation queue increases representation divergence from 0.0327 to 0.0665. Fixed compression reduces accuracy to 79.12% and increases traffic to 33.62 M bits. Removing relay pressure increases maximum relay energy from 1.415 J to 1.654 J. These ablations show that representation control, adaptive update fidelity, and relay pressure serve distinct functions.</w:t>
      </w:r>
    </w:p>
    <w:p>
      <w:pPr>
        <w:jc w:val="center"/>
      </w:pPr>
      <w:r>
        <w:drawing>
          <wp:inline xmlns:a="http://schemas.openxmlformats.org/drawingml/2006/main" xmlns:pic="http://schemas.openxmlformats.org/drawingml/2006/picture">
            <wp:extent cx="5715000" cy="4286250"/>
            <wp:docPr id="5" name="Picture 5"/>
            <wp:cNvGraphicFramePr>
              <a:graphicFrameLocks noChangeAspect="1"/>
            </wp:cNvGraphicFramePr>
            <a:graphic>
              <a:graphicData uri="http://schemas.openxmlformats.org/drawingml/2006/picture">
                <pic:pic>
                  <pic:nvPicPr>
                    <pic:cNvPr id="0" name="04_ablation.png"/>
                    <pic:cNvPicPr/>
                  </pic:nvPicPr>
                  <pic:blipFill>
                    <a:blip r:embed="rId14"/>
                    <a:stretch>
                      <a:fillRect/>
                    </a:stretch>
                  </pic:blipFill>
                  <pic:spPr>
                    <a:xfrm>
                      <a:off x="0" y="0"/>
                      <a:ext cx="5715000" cy="4286250"/>
                    </a:xfrm>
                    <a:prstGeom prst="rect"/>
                  </pic:spPr>
                </pic:pic>
              </a:graphicData>
            </a:graphic>
          </wp:inline>
        </w:drawing>
      </w:r>
    </w:p>
    <w:p>
      <w:pPr>
        <w:jc w:val="center"/>
      </w:pPr>
      <w:r>
        <w:rPr>
          <w:rFonts w:ascii="Times New Roman" w:hAnsi="Times New Roman"/>
          <w:i/>
          <w:sz w:val="18"/>
        </w:rPr>
        <w:t>Figure 5. Component ablation on the Intel WSN and UCI HAR experiments. Removing representation control, adaptive compression, or relay pressure changes different parts of the learning-network trade-off.</w:t>
      </w:r>
    </w:p>
    <w:p>
      <w:pPr>
        <w:pStyle w:val="Heading2"/>
      </w:pPr>
      <w:r>
        <w:t>6.5 ns-3 communication validation</w:t>
      </w:r>
    </w:p>
    <w:p>
      <w:r>
        <w:rPr>
          <w:rFonts w:ascii="Times New Roman" w:hAnsi="Times New Roman"/>
        </w:rPr>
        <w:t>Under the primary hop-equivalent dense-nominal condition, resource-only traffic obtains an 86.49% report delivery ratio with 37.45 ms mean delivered-report delay. The final proposed traffic profile obtains 99.47% delivery with 12.02 ms mean delay. At the scaled 24-sensor nominal condition, the proposed profile also remains markedly more deliverable because its compressed updates place substantially less offered load on the LR-WPAN channel. These results validate the communication consequences of the learned traffic profile, but they do not mean the Python HFL optimization itself is executed inside ns-3.</w:t>
      </w:r>
    </w:p>
    <w:p>
      <w:pPr>
        <w:jc w:val="center"/>
      </w:pPr>
      <w:r>
        <w:drawing>
          <wp:inline xmlns:a="http://schemas.openxmlformats.org/drawingml/2006/main" xmlns:pic="http://schemas.openxmlformats.org/drawingml/2006/picture">
            <wp:extent cx="5715000" cy="4286250"/>
            <wp:docPr id="6" name="Picture 6"/>
            <wp:cNvGraphicFramePr>
              <a:graphicFrameLocks noChangeAspect="1"/>
            </wp:cNvGraphicFramePr>
            <a:graphic>
              <a:graphicData uri="http://schemas.openxmlformats.org/drawingml/2006/picture">
                <pic:pic>
                  <pic:nvPicPr>
                    <pic:cNvPr id="0" name="03_ns3_validation.png"/>
                    <pic:cNvPicPr/>
                  </pic:nvPicPr>
                  <pic:blipFill>
                    <a:blip r:embed="rId15"/>
                    <a:stretch>
                      <a:fillRect/>
                    </a:stretch>
                  </pic:blipFill>
                  <pic:spPr>
                    <a:xfrm>
                      <a:off x="0" y="0"/>
                      <a:ext cx="5715000" cy="4286250"/>
                    </a:xfrm>
                    <a:prstGeom prst="rect"/>
                  </pic:spPr>
                </pic:pic>
              </a:graphicData>
            </a:graphic>
          </wp:inline>
        </w:drawing>
      </w:r>
    </w:p>
    <w:p>
      <w:pPr>
        <w:jc w:val="center"/>
      </w:pPr>
      <w:r>
        <w:rPr>
          <w:rFonts w:ascii="Times New Roman" w:hAnsi="Times New Roman"/>
          <w:i/>
          <w:sz w:val="18"/>
        </w:rPr>
        <w:t>Figure 6. ns-3.47 IEEE 802.15.4/LR-WPAN replay of the frozen traffic profiles. The replay validates communication consequences of the offered load; the HFL optimizer itself is not executed inside ns-3.</w:t>
      </w:r>
    </w:p>
    <w:p>
      <w:pPr>
        <w:pStyle w:val="Heading2"/>
      </w:pPr>
      <w:r>
        <w:t>6.6 Optimizer rerun verification</w:t>
      </w:r>
    </w:p>
    <w:p>
      <w:r>
        <w:rPr>
          <w:rFonts w:ascii="Times New Roman" w:hAnsi="Times New Roman"/>
        </w:rPr>
        <w:t xml:space="preserve">The independent full rerun reproduced the frozen shared operating point </w:t>
      </w:r>
      <m:oMath xmlns:a="http://schemas.openxmlformats.org/drawingml/2006/main" xmlns:pic="http://schemas.openxmlformats.org/drawingml/2006/picture">
        <m:sSub>
          <m:e>
            <m:r>
              <m:t>η</m:t>
            </m:r>
          </m:e>
          <m:sub>
            <m:r>
              <m:t>R</m:t>
            </m:r>
          </m:sub>
        </m:sSub>
        <m:r>
          <m:rPr>
            <m:sty m:val="p"/>
          </m:rPr>
          <m:t>=</m:t>
        </m:r>
        <m:r>
          <m:t>3</m:t>
        </m:r>
        <m:r>
          <m:rPr>
            <m:sty m:val="p"/>
          </m:rPr>
          <m:t>,</m:t>
        </m:r>
        <m:r>
          <m:t>β</m:t>
        </m:r>
        <m:r>
          <m:rPr>
            <m:sty m:val="p"/>
          </m:rPr>
          <m:t>=</m:t>
        </m:r>
        <m:r>
          <m:t>0.1</m:t>
        </m:r>
        <m:r>
          <m:rPr>
            <m:sty m:val="p"/>
          </m:rPr>
          <m:t>,</m:t>
        </m:r>
        <m:r>
          <m:t>V</m:t>
        </m:r>
        <m:r>
          <m:rPr>
            <m:sty m:val="p"/>
          </m:rPr>
          <m:t>=</m:t>
        </m:r>
        <m:r>
          <m:t>0.5</m:t>
        </m:r>
      </m:oMath>
      <w:r>
        <w:rPr>
          <w:rFonts w:ascii="Times New Roman" w:hAnsi="Times New Roman"/>
        </w:rPr>
        <w:t xml:space="preserve">. On Intel, that point again produced mean RMSE 1.74173 °C, 0.983 Mbit expected transmitted traffic, 3.460 J modeled energy, 0.09757 J maximum relay energy, and representation divergence 0.02314. On UCI HAR, it again produced 90.612% accuracy, 90.595% Macro-F1, 11.639 Mbit expected traffic, 20.030 J modeled energy, 1.415 J maximum relay energy, and representation divergence 0.03273. The 10-seed synthetic reference rerun at </w:t>
      </w:r>
      <m:oMath xmlns:a="http://schemas.openxmlformats.org/drawingml/2006/main" xmlns:pic="http://schemas.openxmlformats.org/drawingml/2006/picture">
        <m:r>
          <m:t>c</m:t>
        </m:r>
        <m:r>
          <m:rPr>
            <m:sty m:val="p"/>
          </m:rPr>
          <m:t>=</m:t>
        </m:r>
        <m:r>
          <m:t>0.9</m:t>
        </m:r>
      </m:oMath>
      <w:r>
        <w:rPr>
          <w:rFonts w:ascii="Times New Roman" w:hAnsi="Times New Roman"/>
        </w:rPr>
        <w:t xml:space="preserve"> likewise reproduced 93.64% accuracy and representation divergence 0.0202 for the proposed policy. No tracked result file changed after these reruns, so the reported operating point is a reproducibility result rather than a new round of tuning.</w:t>
      </w:r>
    </w:p>
    <w:p>
      <w:r>
        <w:rPr>
          <w:rFonts w:ascii="Times New Roman" w:hAnsi="Times New Roman"/>
        </w:rPr>
        <w:t>On the Apple M1 host used for the repository execution record, the explicit 10-seed synthetic run required 60.71 s, the Intel 12-point × 10-seed grid 65.22 s, and the HAR grid 96.26 s. These wall-clock measurements characterize the host implementation only and are not interpreted as sensor-node training or radio latency.</w:t>
      </w:r>
    </w:p>
    <w:p>
      <w:pPr>
        <w:pStyle w:val="Heading1"/>
      </w:pPr>
      <w:r>
        <w:t>7. Discussion</w:t>
      </w:r>
    </w:p>
    <w:p>
      <w:r>
        <w:rPr>
          <w:rFonts w:ascii="Times New Roman" w:hAnsi="Times New Roman"/>
        </w:rPr>
        <w:t>The experiments support the central premise that network-efficient clients and statistically valuable clients are not interchangeable. Resource-only scheduling consistently lowers some route costs, but it also produces substantially higher representation divergence in the real-data experiments. Utility-only selection has the opposite failure mode: it can overuse expensive routes and relays. The proposed controller operates between these extremes by introducing explicit pressure from participation deficit, route cost, relay queues, and compression distortion.</w:t>
      </w:r>
    </w:p>
    <w:p>
      <w:pPr>
        <w:jc w:val="center"/>
      </w:pPr>
      <w:r>
        <w:drawing>
          <wp:inline xmlns:a="http://schemas.openxmlformats.org/drawingml/2006/main" xmlns:pic="http://schemas.openxmlformats.org/drawingml/2006/picture">
            <wp:extent cx="5715000" cy="4286250"/>
            <wp:docPr id="7" name="Picture 7"/>
            <wp:cNvGraphicFramePr>
              <a:graphicFrameLocks noChangeAspect="1"/>
            </wp:cNvGraphicFramePr>
            <a:graphic>
              <a:graphicData uri="http://schemas.openxmlformats.org/drawingml/2006/picture">
                <pic:pic>
                  <pic:nvPicPr>
                    <pic:cNvPr id="0" name="05_learning_communication_tradeoff.png"/>
                    <pic:cNvPicPr/>
                  </pic:nvPicPr>
                  <pic:blipFill>
                    <a:blip r:embed="rId16"/>
                    <a:stretch>
                      <a:fillRect/>
                    </a:stretch>
                  </pic:blipFill>
                  <pic:spPr>
                    <a:xfrm>
                      <a:off x="0" y="0"/>
                      <a:ext cx="5715000" cy="4286250"/>
                    </a:xfrm>
                    <a:prstGeom prst="rect"/>
                  </pic:spPr>
                </pic:pic>
              </a:graphicData>
            </a:graphic>
          </wp:inline>
        </w:drawing>
      </w:r>
    </w:p>
    <w:p>
      <w:pPr>
        <w:jc w:val="center"/>
      </w:pPr>
      <w:r>
        <w:rPr>
          <w:rFonts w:ascii="Times New Roman" w:hAnsi="Times New Roman"/>
          <w:i/>
          <w:sz w:val="18"/>
        </w:rPr>
        <w:t>Figure 7. Learning-communication trade-off on the two real sensing datasets. Bubble size represents maximum relay energy and makes the relay-hotspot cost visible alongside model quality and traffic.</w:t>
      </w:r>
    </w:p>
    <w:p>
      <w:r>
        <w:rPr>
          <w:rFonts w:ascii="Times New Roman" w:hAnsi="Times New Roman"/>
        </w:rPr>
        <w:t>The Intel experiment is particularly useful because the proposed controller does not win the lowest regression error. Utility-only selection achieves slightly lower RMSE, but at substantially higher communication, energy, and relay burden. This prevents an inappropriate “best on every metric” claim and motivates a Pareto interpretation. In contrast, UCI HAR exhibits a regime in which the systems-learning coupling improves both learning quality and overall communication/energy efficiency, because the representation deficit prevents resource-only scheduling from repeatedly concentrating on a restricted client subset. The exception is maximum relay energy: resource-only scheduling achieves the lowest relay hotspot (0.458 J versus 1.415 J for the proposed controller). This is not contradictory to the objective; it exposes the cost of preserving statistically valuable participation instead of always choosing the cheapest routes.</w:t>
      </w:r>
    </w:p>
    <w:p>
      <w:r>
        <w:rPr>
          <w:rFonts w:ascii="Times New Roman" w:hAnsi="Times New Roman"/>
        </w:rPr>
        <w:t xml:space="preserve">The sensitivity study further shows that the relay-pressure coefficient and compression-distortion coefficient are genuine control parameters. Excessively high compression-distortion penalties increase traffic and energy, while too little relay pressure creates hotspot burden. A common operating point </w:t>
      </w:r>
      <m:oMath xmlns:a="http://schemas.openxmlformats.org/drawingml/2006/main" xmlns:pic="http://schemas.openxmlformats.org/drawingml/2006/picture">
        <m:d>
          <m:dPr>
            <m:begChr m:val="("/>
            <m:endChr m:val=")"/>
            <m:sepChr m:val=""/>
            <m:grow/>
          </m:dPr>
          <m:e>
            <m:sSub>
              <m:e>
                <m:r>
                  <m:t>η</m:t>
                </m:r>
              </m:e>
              <m:sub>
                <m:r>
                  <m:t>R</m:t>
                </m:r>
              </m:sub>
            </m:sSub>
            <m:r>
              <m:rPr>
                <m:sty m:val="p"/>
              </m:rPr>
              <m:t>,</m:t>
            </m:r>
            <m:r>
              <m:t>β</m:t>
            </m:r>
          </m:e>
        </m:d>
        <m:r>
          <m:rPr>
            <m:sty m:val="p"/>
          </m:rPr>
          <m:t>=</m:t>
        </m:r>
        <m:d>
          <m:dPr>
            <m:begChr m:val="("/>
            <m:endChr m:val=")"/>
            <m:sepChr m:val=""/>
            <m:grow/>
          </m:dPr>
          <m:e>
            <m:r>
              <m:t>3</m:t>
            </m:r>
            <m:r>
              <m:rPr>
                <m:sty m:val="p"/>
              </m:rPr>
              <m:t>,</m:t>
            </m:r>
            <m:r>
              <m:t>0.1</m:t>
            </m:r>
          </m:e>
        </m:d>
      </m:oMath>
      <w:r>
        <w:rPr>
          <w:rFonts w:ascii="Times New Roman" w:hAnsi="Times New Roman"/>
        </w:rPr>
        <w:t xml:space="preserve"> is frozen across datasets to avoid dataset-specific tuning.</w:t>
      </w:r>
    </w:p>
    <w:p>
      <w:pPr>
        <w:pStyle w:val="Heading1"/>
      </w:pPr>
      <w:r>
        <w:t>8. Limitations</w:t>
      </w:r>
    </w:p>
    <w:p>
      <w:r>
        <w:rPr>
          <w:rFonts w:ascii="Times New Roman" w:hAnsi="Times New Roman"/>
        </w:rPr>
        <w:t>The current evidence is stronger than the original simulation-only manuscript but remains incomplete in several respects. First, the host implementation runs on an Apple M1 computer; no physical IEEE 802.15.4 sensor mote was available during the experiment, so MCU training time, radio current draw, RSSI/LQI, and hardware PDR are not claimed. Second, the Intel dataset provides real historical connectivity but the FL process itself is a replay over those measurements rather than execution on the original Mica2Dot nodes. Third, the local models are intentionally lightweight linear predictors/classifiers; larger TinyML models should be tested before making model-complexity claims. Fourth, the theory provides exact finite-horizon virtual-queue bounds, a one-step drift inequality, finite-set compression optimality, top-k score optimality, and error-feedback conservation; however, a complete non-convex convergence proof jointly covering biased selection, Top-k error feedback, hierarchy, packet loss, and staleness remains future work. Fifth, the experimental baselines isolate scheduling choices within one implementation rather than reproducing every recent external HFL system. The current code also does not implement FedProx, FedAdam/FedOpt, or server-momentum variants, so the reported optimizer rerun should not be interpreted as an optimizer-family comparison. Direct re-implementations of stronger literature baselines under the same WSN budget remain an important next comparison.</w:t>
      </w:r>
    </w:p>
    <w:p>
      <w:pPr>
        <w:pStyle w:val="Heading1"/>
      </w:pPr>
      <w:r>
        <w:t>9. Conclusion</w:t>
      </w:r>
    </w:p>
    <w:p>
      <w:r>
        <w:rPr>
          <w:rFonts w:ascii="Times New Roman" w:hAnsi="Times New Roman"/>
        </w:rPr>
        <w:t>This study reframes communication-efficient HFL for WSN-IoT systems as a joint statistical-representation and network-resource problem. Instead of introducing another routing metric, the proposed controller uses route state as an input to learning orchestration and coordinates client participation, update fidelity, relay pressure, and staleness-aware aggregation. Real WSN data, real IoT sensing data, repeated statistical tests, ablations, sensitivity analysis, and ns-3 LR-WPAN replay show that the approach can substantially reduce communication and total modeled energy while preserving or improving learning quality and reducing representation mismatch. Relay-hotspot energy is also reduced in the Intel WSN experiment and relative to random/utility scheduling on UCI HAR, but it is not universally lower than the resource-only baseline. The remaining step for a complete systems paper is physical sensor-node validation and a full convergence treatment of the coupled learning dynamics.</w:t>
      </w:r>
    </w:p>
    <w:p>
      <w:pPr>
        <w:pStyle w:val="Heading1"/>
      </w:pPr>
      <w:r>
        <w:t>Resource availability</w:t>
      </w:r>
    </w:p>
    <w:p>
      <w:pPr>
        <w:pStyle w:val="Heading2"/>
      </w:pPr>
      <w:r>
        <w:t>Lead contact</w:t>
      </w:r>
    </w:p>
    <w:p>
      <w:r>
        <w:rPr>
          <w:rFonts w:ascii="Times New Roman" w:hAnsi="Times New Roman"/>
        </w:rPr>
        <w:t>Requests concerning the manuscript should be directed to the corresponding author, Abhishek Kumar Pandey (abhishek.pandey2@bennett.edu.in).</w:t>
      </w:r>
    </w:p>
    <w:p>
      <w:pPr>
        <w:pStyle w:val="Heading2"/>
      </w:pPr>
      <w:r>
        <w:t>Materials availability</w:t>
      </w:r>
    </w:p>
    <w:p>
      <w:r>
        <w:rPr>
          <w:rFonts w:ascii="Times New Roman" w:hAnsi="Times New Roman"/>
        </w:rPr>
        <w:t>This computational study did not generate new physical materials.</w:t>
      </w:r>
    </w:p>
    <w:p>
      <w:pPr>
        <w:pStyle w:val="Heading2"/>
      </w:pPr>
      <w:r>
        <w:t>Data and code availability</w:t>
      </w:r>
    </w:p>
    <w:p>
      <w:r>
        <w:rPr>
          <w:rFonts w:ascii="Times New Roman" w:hAnsi="Times New Roman"/>
        </w:rPr>
        <w:t>Code, experiment manifests, processed outputs, statistical analyses, and the frozen manuscript figures are available in the public project repository: https://github.com/DrShivamBhardwaj/Relevance_Aware_RE_ETX_/tree/wsn-hfl-crosslayer-final. The Intel Berkeley Research Lab sensor data and UCI Human Activity Recognition Using Smartphones data are publicly available from their original providers. The repository records the exact seeds and frozen controller parameters used for the reported results; the full 360-run reproducibility rerun, including hashes and host timings, is documented in validation/OPTIMIZER_RERUN_REPORT.md.</w:t>
      </w:r>
    </w:p>
    <w:p>
      <w:pPr>
        <w:pStyle w:val="Heading1"/>
      </w:pPr>
      <w:r>
        <w:t>References</w:t>
      </w:r>
    </w:p>
    <w:p>
      <w:r>
        <w:rPr>
          <w:rFonts w:ascii="Times New Roman" w:hAnsi="Times New Roman"/>
        </w:rPr>
        <w:t>[1] L. Liu, J. Zhang, S. H. Song, and K. B. Letaief, “Client-Edge-Cloud Hierarchical Federated Learning,” IEEE International Conference on Communications, 2020. DOI: 10.1109/ICC40277.2020.9148862.</w:t>
      </w:r>
    </w:p>
    <w:p>
      <w:r>
        <w:rPr>
          <w:rFonts w:ascii="Times New Roman" w:hAnsi="Times New Roman"/>
        </w:rPr>
        <w:t>[2] S. AbdulRahman, H. Tout, A. Mourad, and C. Talhi, “FedMCCS: Multicriteria Client Selection Model for Optimal IoT Federated Learning,” IEEE Internet of Things Journal, 8, 4723–4735, 2021. DOI: 10.1109/JIOT.2020.3028742.</w:t>
      </w:r>
    </w:p>
    <w:p>
      <w:r>
        <w:rPr>
          <w:rFonts w:ascii="Times New Roman" w:hAnsi="Times New Roman"/>
        </w:rPr>
        <w:t>[3] W. Y. B. Lim, J. S. Ng, Z. Xiong, D. Niyato, C. Miao, and D. I. Kim, “Dynamic Edge Association and Resource Allocation in Self-Organizing Hierarchical Federated Learning Networks,” IEEE Journal on Selected Areas in Communications, 39(12), 3640–3653, 2021. DOI: 10.1109/JSAC.2021.3118401.</w:t>
      </w:r>
    </w:p>
    <w:p>
      <w:r>
        <w:rPr>
          <w:rFonts w:ascii="Times New Roman" w:hAnsi="Times New Roman"/>
        </w:rPr>
        <w:t>[4] T. Huang, W. Lin, L. Shen, K. Li, and A. Y. Zomaya, “Stochastic Client Selection for Federated Learning With Volatile Clients,” IEEE Internet of Things Journal, 9(20), 20055–20070, 2022. DOI: 10.1109/JIOT.2022.3172113.</w:t>
      </w:r>
    </w:p>
    <w:p>
      <w:r>
        <w:rPr>
          <w:rFonts w:ascii="Times New Roman" w:hAnsi="Times New Roman"/>
        </w:rPr>
        <w:t>[5] X. Chen, T. Ouyang, Z. Zhou, X. Zhang, S. Yang, and J. Zhang, “HiFlash: Communication-Efficient Hierarchical Federated Learning With Adaptive Staleness Control and Heterogeneity-Aware Client-Edge Association,” IEEE Transactions on Parallel and Distributed Systems, 2023. DOI: 10.1109/TPDS.2023.3238049.</w:t>
      </w:r>
    </w:p>
    <w:p>
      <w:r>
        <w:rPr>
          <w:rFonts w:ascii="Times New Roman" w:hAnsi="Times New Roman"/>
        </w:rPr>
        <w:t>[6] Z. Jiang, Y. Xu, H.-Z. Xu, Z. Wang, and C. Qian, “Heterogeneity-Aware Federated Learning with Adaptive Client Selection and Gradient Compression,” IEEE INFOCOM, 2023. DOI: 10.1109/INFOCOM53939.2023.10229029.</w:t>
      </w:r>
    </w:p>
    <w:p>
      <w:r>
        <w:rPr>
          <w:rFonts w:ascii="Times New Roman" w:hAnsi="Times New Roman"/>
        </w:rPr>
        <w:t>[7] Y. Deng, F. Lyu, T. Xia, Y. Zhou, Y. Zhang, J. Ren, and Y. Yang, “A Communication-Efficient Hierarchical Federated Learning Framework via Shaping Data Distribution at Edge,” IEEE/ACM Transactions on Networking, 32(3), 2600–2615, 2024. DOI: 10.1109/TNET.2024.3363916.</w:t>
      </w:r>
    </w:p>
    <w:p>
      <w:r>
        <w:rPr>
          <w:rFonts w:ascii="Times New Roman" w:hAnsi="Times New Roman"/>
        </w:rPr>
        <w:t>[8] B. Wu, F. Fang, X. Wang, D. Cai, S. Fu, and Z. Ding, “Client Selection and Cost-Efficient Joint Optimization for NOMA-Enabled Hierarchical Federated Learning,” IEEE Transactions on Wireless Communications, 23(10), 14289–14303, 2024. DOI: 10.1109/TWC.2024.3411479.</w:t>
      </w:r>
    </w:p>
    <w:p>
      <w:r>
        <w:rPr>
          <w:rFonts w:ascii="Times New Roman" w:hAnsi="Times New Roman"/>
        </w:rPr>
        <w:t>[9] X. Chen, G. Zhu, Y. Deng, and Y. M. Fang, “Federated Learning Over Multihop Wireless Networks With In-Network Aggregation,” IEEE Transactions on Wireless Communications, 2022. DOI: 10.1109/TWC.2022.3168538.</w:t>
      </w:r>
    </w:p>
    <w:p>
      <w:r>
        <w:rPr>
          <w:rFonts w:ascii="Times New Roman" w:hAnsi="Times New Roman"/>
        </w:rPr>
        <w:t>[10] P. Pinyoanuntapong, P. Janakaraj, R. Balakrishnan, M. Lee, C. Chen, and P. Wang, “EdgeML: Towards Network-Accelerated Federated Learning over Wireless Edge,” Computer Networks, 218, 109396, 2022. DOI: 10.1016/j.comnet.2022.109396.</w:t>
      </w:r>
    </w:p>
    <w:p>
      <w:r>
        <w:rPr>
          <w:rFonts w:ascii="Times New Roman" w:hAnsi="Times New Roman"/>
        </w:rPr>
        <w:t>[11] T. V. Nguyen, N. D. Ho, H. T. Hoang, C. D. Do, and K.-S. Wong, “Toward Efficient Hierarchical Federated Learning Design Over Multi-Hop Wireless Communications Networks,” IEEE Access, 10, 111910–111922, 2022. DOI: 10.1109/ACCESS.2022.3215758.</w:t>
      </w:r>
    </w:p>
    <w:p>
      <w:r>
        <w:rPr>
          <w:rFonts w:ascii="Times New Roman" w:hAnsi="Times New Roman"/>
        </w:rPr>
        <w:t>[12] J. Wu, F. Dong, H. Leung, Z. Zhu, J. Zhou, and S. Drew, “Topology-Aware Federated Learning in Edge Computing: A Comprehensive Survey,” ACM Computing Surveys, 56(10), Article 262, 1–41, 2024. DOI: 10.1145/3659205.</w:t>
      </w:r>
    </w:p>
    <w:p>
      <w:r>
        <w:rPr>
          <w:rFonts w:ascii="Times New Roman" w:hAnsi="Times New Roman"/>
        </w:rPr>
        <w:t>[13] M. Alsofyani, I. Al-Turaiki, and H. Mathkour, “A Fairness Perspective on Client Selection and Aggregation Methods for Non-IID Mitigation in Federated Learning: A Survey,” Electronics, 2026. DOI: 10.3390/electronics15143178.</w:t>
      </w:r>
    </w:p>
    <w:p>
      <w:r>
        <w:rPr>
          <w:rFonts w:ascii="Times New Roman" w:hAnsi="Times New Roman"/>
        </w:rPr>
        <w:t>[14] M. J. Neely, Stochastic Network Optimization with Application to Communication and Queueing Systems, Morgan &amp; Claypool, 2010. DOI: 10.2200/S00271ED1V01Y201006CNT007.</w:t>
      </w:r>
    </w:p>
    <w:p>
      <w:r>
        <w:rPr>
          <w:rFonts w:ascii="Times New Roman" w:hAnsi="Times New Roman"/>
        </w:rPr>
        <w:t>[15] Intel Berkeley Research Lab sensor dataset. Available: https://db.csail.mit.edu/labdata/labdata.html.</w:t>
      </w:r>
    </w:p>
    <w:p>
      <w:r>
        <w:rPr>
          <w:rFonts w:ascii="Times New Roman" w:hAnsi="Times New Roman"/>
        </w:rPr>
        <w:t>[16] UCI Machine Learning Repository, “Human Activity Recognition Using Smartphones.” DOI: 10.24432/C54S4K.</w:t>
      </w:r>
    </w:p>
    <w:sectPr w:rsidR="00FC693F" w:rsidRPr="0006063C" w:rsidSect="00034616">
      <w:footerReference w:type="default" r:id="rId9"/>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4F81BD" w:themeColor="accent1"/>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17365D" w:themeColor="text2" w:themeShade="BF"/>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