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jc w:val="center"/>
              <w:rPr>
                <w:rFonts w:ascii="Times New Roman" w:hAnsi="Times New Roman"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2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hanging="0"/>
              <w:jc w:val="center"/>
              <w:rPr/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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/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ID="Прямая соединительная линия 2" stroked="t" o:allowincell="t" style="position:absolute;flip:y;mso-position-vertical:top">
                      <v:stroke color="black" weight="38160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Кафедра информационных технологий в атомной энергетике (ИТАЭ)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</w:rPr>
        <w:t>ОТЧЕТ ПО ПРАКТИЧЕСКОЙ РАБОТЕ 2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«Автоматизированные системы управления элементами промышленных и административных объектов»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</w:rPr>
        <w:t>АСУ П по подбору и продаже мультимедиа контента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ff"/>
        <w:tblW w:w="101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546"/>
        <w:gridCol w:w="4822"/>
        <w:gridCol w:w="1107"/>
        <w:gridCol w:w="556"/>
        <w:gridCol w:w="1106"/>
      </w:tblGrid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482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ИКБО-50-23, Враженко Д.О.</w:t>
            </w:r>
          </w:p>
        </w:tc>
        <w:tc>
          <w:tcPr>
            <w:tcW w:w="166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11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482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Щербаков К.В.</w:t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166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11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29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before="0" w:after="0"/>
              <w:ind w:firstLine="567"/>
              <w:jc w:val="star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Cs w:val="28"/>
        </w:rPr>
        <w:t>Москва 2026 г.</w:t>
      </w:r>
    </w:p>
    <w:p>
      <w:pPr>
        <w:pStyle w:val="Heading1"/>
        <w:numPr>
          <w:ilvl w:val="0"/>
          <w:numId w:val="0"/>
        </w:numPr>
        <w:ind w:hanging="0" w:start="0"/>
        <w:rPr>
          <w:lang w:val="en-US"/>
        </w:rPr>
      </w:pPr>
      <w:r>
        <w:rPr/>
        <w:t>ФУНКЦИОНАЛЬНЫЕ ТРЕБОВАНИЯ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  <w:tblLook w:firstRow="1" w:noVBand="1" w:lastRow="0" w:firstColumn="1" w:lastColumn="0" w:noHBand="0" w:val="04a0"/>
      </w:tblPr>
      <w:tblGrid>
        <w:gridCol w:w="437"/>
        <w:gridCol w:w="4370"/>
        <w:gridCol w:w="5830"/>
        <w:gridCol w:w="3932"/>
      </w:tblGrid>
      <w:tr>
        <w:trPr>
          <w:tblHeader w:val="true"/>
        </w:trPr>
        <w:tc>
          <w:tcPr>
            <w:tcW w:w="4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43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>
                <w:b/>
                <w:bCs/>
              </w:rPr>
            </w:pPr>
            <w:r>
              <w:rPr>
                <w:b/>
                <w:bCs/>
              </w:rPr>
              <w:t>Функциональное требование</w:t>
            </w:r>
          </w:p>
        </w:tc>
        <w:tc>
          <w:tcPr>
            <w:tcW w:w="58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>
                <w:b/>
                <w:bCs/>
              </w:rPr>
            </w:pPr>
            <w:r>
              <w:rPr>
                <w:b/>
                <w:bCs/>
              </w:rPr>
              <w:t>Обоснование (зачем это нужно)</w:t>
            </w:r>
          </w:p>
        </w:tc>
        <w:tc>
          <w:tcPr>
            <w:tcW w:w="39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>
                <w:b/>
                <w:bCs/>
              </w:rPr>
            </w:pPr>
            <w:r>
              <w:rPr>
                <w:b/>
                <w:bCs/>
              </w:rPr>
              <w:t>Примеры реализации / Источники</w:t>
            </w:r>
          </w:p>
        </w:tc>
      </w:tr>
      <w:tr>
        <w:trPr/>
        <w:tc>
          <w:tcPr>
            <w:tcW w:w="14569" w:type="dxa"/>
            <w:gridSpan w:val="4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>
                <w:b/>
                <w:bCs/>
              </w:rPr>
            </w:pPr>
            <w:r>
              <w:rPr>
                <w:b/>
                <w:bCs/>
              </w:rPr>
              <w:t>Подсистема взаимодействия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1.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Прием текстовых запросов на естественном языке в свободной форме.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Пользователь должен иметь возможность общаться с системой так же, как с человеком-менеджером, без необходимости изучения сложного синтаксиса поиска.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Реализовано в поисковых системах (Google, Яндекс), чат-ботах (ChatGPT).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2.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Поддержка голосового ввода запросов.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Обеспечение удобства для пользователей мобильных устройств и людей с ограниченными возможностями, расширение каналов ввода.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Реализовано в голосовых помощниках («Алиса», «Маруся»), приложениях (Shazam).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3.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Отображение результатов поиска в виде структурированного списка (карточки контента).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Обеспечение наглядности и удобства восприятия информации. Пользователь должен видеть название, тип, автора, уровень сложности и краткое описание.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Реализовано в интернет-магазинах (Ozon, Wildberries), онлайн-кинотеатрах (Кинопоиск).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4.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Фильтрация и сортировка выдачи по различным параметрам (тип контента, автор, дата, рейтинг, уровень сложности).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Предоставление пользователю возможности самостоятельно уточнить результаты, если автоматический подбор оказался недостаточно точен.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Реализовано в библиотечных каталогах, системах электронного обучения (Coursera).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5.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Ведение и отображение истории диалога и предыдущих запросов пользователя в личном кабинете.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Обеспечение контекста для уточняющих запросов, возможность вернуться к ранее найденным материалам без повторного поиска.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Реализовано в мессенджерах (Telegram) и системах поддержки пользователей (Zendesk).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6.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Сохранение выбранного контента в "Избранное" или "Мои материалы".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Реализация персонализации и возможности формирования пользователем собственной библиотеки для последующего доступа.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Стандартная функция для всех медиа-платформ (Spotify, YouTube, ЛитРес).</w:t>
            </w:r>
          </w:p>
        </w:tc>
      </w:tr>
      <w:tr>
        <w:trPr/>
        <w:tc>
          <w:tcPr>
            <w:tcW w:w="14569" w:type="dxa"/>
            <w:gridSpan w:val="4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>
                <w:b/>
                <w:bCs/>
              </w:rPr>
            </w:pPr>
            <w:r>
              <w:rPr>
                <w:b/>
                <w:bCs/>
              </w:rPr>
              <w:t>Подсистема семантического анализа на базе корпоративной нейросети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7.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Автоматический семантический анализ и распознавание сущностей из текста запроса.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Преобразование неструктурированной фразы ("хочу изучить Python для начинающих") в структурированные данные: {Тема: "Python", Уровень: "для начинающих", Цель: "изучить"}.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Реализовано в системах обработки естественного языка (BERT, GPT).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8.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Определение интента (намерения) пользователя на основе запроса и контекста.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Понимание цели запроса: купить, посмотреть, скачать, изучить, прослушать. Это критически важно для корректного подбора типа контента и действий системы.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Реализовано в чат-ботах технической поддержки и виртуальных ассистентах.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9.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Учет контекста предыдущих запросов из истории диалога при анализе текущего запроса.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Обработка уточнений ("нет, мне нужен продвинутый уровень по Go"), когда система должна помнить тему ("Go") и изменить только параметр уровня.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Реализовано в диалоговых системах (Google Duplex).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10.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Обеспечение круглосуточной доступности (24/7) сервиса семантического анализа.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Корпоративная нейросеть работает всегда, в отличие от человека-менеджера. Это главное преимущество автоматизации, обеспечивающее мгновенный ответ в любое время.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Стандартное требование к серверным решениям и облачным сервисам (SLA 99.9%).</w:t>
            </w:r>
          </w:p>
        </w:tc>
      </w:tr>
      <w:tr>
        <w:trPr/>
        <w:tc>
          <w:tcPr>
            <w:tcW w:w="14569" w:type="dxa"/>
            <w:gridSpan w:val="4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>
                <w:b/>
                <w:bCs/>
              </w:rPr>
            </w:pPr>
            <w:r>
              <w:rPr>
                <w:b/>
                <w:bCs/>
              </w:rPr>
              <w:t>Подсистема управления контентом и поиска</w:t>
            </w:r>
          </w:p>
        </w:tc>
      </w:tr>
      <w:tr>
        <w:trPr>
          <w:trHeight w:val="583" w:hRule="atLeast"/>
        </w:trPr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11.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Полнотекстовый поиск по метаданным и содержимому внутренней базы контента.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Обеспечение быстрого и релевантного поиска по всему массиву имеющихся материалов на основе формализованных параметров от нейросети.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Реализовано в системах управления базами данных с поддержкой полнотекстового индекса (Elasticsearch).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12.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Мультиформатный поиск: одновременный поиск по всем типам контента (книги, видео, аудио).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Пользователю не нужно указывать тип контента, система сама может предложить разные форматы по одной теме, предоставляя выбор.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Реализовано на агрегаторах контента (Google Книги, iTunes).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13.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Автоматическое определение недостаточности имеющегося контента для удовлетворения запроса.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Если по запросу "Продвинутое машинное обучение на TensorFlow" во внутренней базе ничего нет, система должна это понять и инициировать поиск вовне.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Реализовано в системах рекомендаций для пополнения каталога (Amazon, Netflix).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14.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Автоматическое формирование поискового запроса и обращение к API внешних источников (партнерские библиотеки, магазины контента).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Автоматизация процесса поиска нового, еще не приобретенного контента, для расширения базы под конкретную потребность пользователя.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Реализовано в системах сравнения цен и агрегаторах товаров (Яндекс.Маркет).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15.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Сбор и нормализация метаданных о внешнем контенте из различных источников.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Приведение информации из разных внешних систем (разные форматы данных) к единому внутреннему формату для удобного отображения пользователю.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Реализовано в ETL-процессах (Extract, Transform, Load) при интеграции данных.</w:t>
            </w:r>
          </w:p>
        </w:tc>
      </w:tr>
      <w:tr>
        <w:trPr/>
        <w:tc>
          <w:tcPr>
            <w:tcW w:w="14569" w:type="dxa"/>
            <w:gridSpan w:val="4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>
                <w:b/>
                <w:bCs/>
              </w:rPr>
            </w:pPr>
            <w:r>
              <w:rPr>
                <w:b/>
                <w:bCs/>
              </w:rPr>
              <w:t>Подсистема поддержки принятия решений и управления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16.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Ранжирование (сортировка) результатов поиска по степени релевантности запросу.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Наиболее подходящие материалы должны быть в начале списка, чтобы пользователь не пролистывал сотни нерелевантных позиций.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Реализовано во всех поисковых системах (на основе PageRank, TF-IDF и др.).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17.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Персонализация результатов на основе профиля и истории пользователя.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Пользователь, который постоянно слушает подкасты, должен видеть в выдаче подкасты выше, чем длинные видео, даже если формально они равны по релевантности.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Реализовано в рекомендательных системах (Spotify, Netflix).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18.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Автоматическое создание задачи контент-менеджеру на рассмотрение возможности приобретения нового контента из внешних источников.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Вовлечение человека в процесс на финальной стадии принятия решения о закупке, но без его участия в рутинном поиске и сборе информации.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Реализовано в системах Service Desk и workflow-системах (Jira, Trello).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19.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Учет прав доступа и лицензий на контент при выдаче результатов.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Система не должна предлагать пользователю контент, на который у организации нет прав для его предоставления данному пользователю.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Реализовано в системах управления цифровыми правами (DRM) и корпоративных библиотеках.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20.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Логирование всех действий системы и запросов пользователей для последующего анализа и дообучения нейросети.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Сбор данных о том, как пользователи формулируют запросы, на что они кликают, какие результаты считают хорошими. Это необходимо для улучшения работы нейросети.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Реализовано в системах сбора логов и аналитики (ELK stack, Splunk).</w:t>
            </w:r>
          </w:p>
        </w:tc>
      </w:tr>
    </w:tbl>
    <w:p>
      <w:pPr>
        <w:pStyle w:val="Normal"/>
        <w:widowControl/>
        <w:rPr>
          <w:rFonts w:ascii="Times New Roman" w:hAnsi="Times New Roman" w:eastAsia="Microsoft YaHei" w:cs="Lucida Sans"/>
          <w:b/>
          <w:bCs/>
          <w:sz w:val="32"/>
          <w:szCs w:val="36"/>
        </w:rPr>
      </w:pPr>
      <w:r>
        <w:rPr>
          <w:rFonts w:eastAsia="Microsoft YaHei" w:cs="Lucida Sans" w:ascii="Times New Roman" w:hAnsi="Times New Roman"/>
          <w:b/>
          <w:bCs/>
          <w:sz w:val="32"/>
          <w:szCs w:val="36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0"/>
        <w:ind w:hanging="0" w:start="0"/>
        <w:rPr/>
      </w:pPr>
      <w:r>
        <w:rPr/>
        <w:t>НЕФУНКЦИОНАЛЬНЫЕ ТРЕБОВАНИЯ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  <w:tblLook w:firstRow="1" w:noVBand="1" w:lastRow="0" w:firstColumn="1" w:lastColumn="0" w:noHBand="0" w:val="04a0"/>
      </w:tblPr>
      <w:tblGrid>
        <w:gridCol w:w="437"/>
        <w:gridCol w:w="4370"/>
        <w:gridCol w:w="5830"/>
        <w:gridCol w:w="3932"/>
      </w:tblGrid>
      <w:tr>
        <w:trPr>
          <w:tblHeader w:val="true"/>
        </w:trPr>
        <w:tc>
          <w:tcPr>
            <w:tcW w:w="4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43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>
                <w:b/>
                <w:bCs/>
              </w:rPr>
            </w:pPr>
            <w:r>
              <w:rPr>
                <w:b/>
                <w:bCs/>
              </w:rPr>
              <w:t>Нефункциональное требование (категория)</w:t>
            </w:r>
          </w:p>
        </w:tc>
        <w:tc>
          <w:tcPr>
            <w:tcW w:w="58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>
                <w:b/>
                <w:bCs/>
              </w:rPr>
            </w:pPr>
            <w:r>
              <w:rPr>
                <w:b/>
                <w:bCs/>
              </w:rPr>
              <w:t>Обоснование (зачем это нужно)</w:t>
            </w:r>
          </w:p>
        </w:tc>
        <w:tc>
          <w:tcPr>
            <w:tcW w:w="39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>
                <w:b/>
                <w:bCs/>
              </w:rPr>
            </w:pPr>
            <w:r>
              <w:rPr>
                <w:b/>
                <w:bCs/>
              </w:rPr>
              <w:t>Примеры реализации / Источники</w:t>
            </w:r>
          </w:p>
        </w:tc>
      </w:tr>
      <w:tr>
        <w:trPr/>
        <w:tc>
          <w:tcPr>
            <w:tcW w:w="14569" w:type="dxa"/>
            <w:gridSpan w:val="4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>
                <w:b/>
                <w:bCs/>
              </w:rPr>
            </w:pPr>
            <w:r>
              <w:rPr>
                <w:b/>
                <w:bCs/>
              </w:rPr>
              <w:t>Производительность и надежность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1.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Время обработки типового запроса и выдачи результата не должно превышать 2 секунд.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Пользователи ожидают мгновенного ответа от автоматизированной системы. Длительное ожидание приведет к негативному опыту и отказу от использования.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Источник: ГОСТ Р ИСО 9241-11 (требования к эргономике и производительности)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2.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Коэффициент готовности системы (доступность) должен быть не ниже 99.5% (не более 3.5 часов простоя в месяц).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Система является корпоративным сервисом и должна быть доступна практически всегда, заменяя человека 24/7. Длительные простои недопустимы.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Источник: ГОСТ Р ИСО/МЭК 20000-1 (требования к управлению услугами ИТ)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3.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Система должна обеспечивать одновременную работу не менее 1000 активных пользователей без деградации производительности.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На начальном этапе эксплуатации необходимо заложить запас прочности, чтобы выдержать пиковые нагрузки и рост числа пользователей.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Источник: ГОСТ Р ИСО/МЭК 25010 (модели качества и производительности)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4.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Время восстановления после сбоя (RTO - Recovery Time Objective) не должно превышать 1 часа.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В случае аварии (падение сервера, ошибка в коде) система должна быть быстро возвращена в строй, чтобы минимизировать ущерб от простоя.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>
                <w:lang w:val="en-US"/>
              </w:rPr>
            </w:pPr>
            <w:r>
              <w:rPr/>
              <w:t>Источник</w:t>
            </w:r>
            <w:r>
              <w:rPr>
                <w:lang w:val="en-US"/>
              </w:rPr>
              <w:t>: ISO 22301 (Security and resilience — Business continuity management systems)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5.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Система должна корректно обрабатывать пиковые нагрузки (например, начало учебного года) без потери запросов (должна быть предусмотрена автоматическая масштабируемость).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Обеспечение стабильной работы в периоды, когда количество запросов резко возрастает.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>
                <w:lang w:val="en-US"/>
              </w:rPr>
            </w:pPr>
            <w:r>
              <w:rPr/>
              <w:t>Источник</w:t>
            </w:r>
            <w:r>
              <w:rPr>
                <w:lang w:val="en-US"/>
              </w:rPr>
              <w:t>: ISO/IEC 10746 (Open Distributed Processing)</w:t>
            </w:r>
          </w:p>
        </w:tc>
      </w:tr>
      <w:tr>
        <w:trPr/>
        <w:tc>
          <w:tcPr>
            <w:tcW w:w="14569" w:type="dxa"/>
            <w:gridSpan w:val="4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>
                <w:b/>
                <w:bCs/>
              </w:rPr>
            </w:pPr>
            <w:r>
              <w:rPr>
                <w:b/>
                <w:bCs/>
              </w:rPr>
              <w:t>Безопасность и конфиденциальность</w:t>
            </w:r>
          </w:p>
        </w:tc>
      </w:tr>
      <w:tr>
        <w:trPr/>
        <w:tc>
          <w:tcPr>
            <w:tcW w:w="4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6.</w:t>
            </w:r>
          </w:p>
        </w:tc>
        <w:tc>
          <w:tcPr>
            <w:tcW w:w="43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Передача всех данных между клиентом и сервером должна осуществляться по протоколу HTTPS с шифрованием TLS 1.3.</w:t>
            </w:r>
          </w:p>
        </w:tc>
        <w:tc>
          <w:tcPr>
            <w:tcW w:w="58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Защита персональных данных пользователей и истории их запросов от перехвата в публичных сетях.</w:t>
            </w:r>
          </w:p>
        </w:tc>
        <w:tc>
          <w:tcPr>
            <w:tcW w:w="39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Источник: Федеральный закон №152-ФЗ «О персональных данных», ГОСТ 34.10 (криптографическая защита)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7.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Доступ к модели нейросети и данным для ее обучения должен быть строго ограничен на уровне инфраструктуры.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Корпоративная нейросеть является интеллектуальной собственностью компании. Необходимо защитить ее от кражи или несанкционированного доступа.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Источник: ИСО/МЭК 27001 (Информационная безопасность)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8.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Система должна обеспечивать разграничение прав доступа для разных ролей пользователей (пользователь, контент-менеджер, администратор).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Предотвращение случайных или намеренных изменений в системе неавторизованными лицами. Контент-менеджер не должен иметь доступ к настройке нейросети.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Источник: ГОСТ 34.601-90 (Автоматизированные системы. Стадии создания)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9.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Аутентификация пользователей должна быть надежной (например, с поддержкой двухфакторной аутентификации для сотрудников).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Снижение риска компрометации учетных записей пользователей и получения доступа к истории их запросов или (для сотрудников) к управлению системой.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Источник: Методика оценки угроз безопасности информации (ФСТЭК России, 2021)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10.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Система должна обеспечивать невозможность восстановления персональных данных пользователя из обезличенных логов для аналитики.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Выполнение требований по обезличиванию ПДн при их обработке для улучшения качества сервиса.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Источник: Разъяснения Роскомнадзора «О порядке обезличивания персональных данных» (2018)</w:t>
            </w:r>
          </w:p>
        </w:tc>
      </w:tr>
      <w:tr>
        <w:trPr/>
        <w:tc>
          <w:tcPr>
            <w:tcW w:w="14569" w:type="dxa"/>
            <w:gridSpan w:val="4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>
                <w:b/>
                <w:bCs/>
              </w:rPr>
            </w:pPr>
            <w:r>
              <w:rPr>
                <w:b/>
                <w:bCs/>
              </w:rPr>
              <w:t>Удобство использования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11.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Интерфейс системы должен быть интуитивно понятным и не требовать от пользователя предварительного обучения.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Система должна быть доступна широкому кругу пользователей с разным уровнем цифровой грамотности.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Источник: ГОСТ Р ИСО 9241-110 (Принципы взаимодействия человек-система)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12.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Интерфейс должен быть адаптивным (responsive) и корректно отображаться на всех типах устройств (ПК, планшет, смартфон).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Пользователи могут обращаться к системе с любых устройств, интерфейс должен подстраиваться под размер экрана.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>
                <w:lang w:val="en-US"/>
              </w:rPr>
            </w:pPr>
            <w:r>
              <w:rPr/>
              <w:t>Источник</w:t>
            </w:r>
            <w:r>
              <w:rPr>
                <w:lang w:val="en-US"/>
              </w:rPr>
              <w:t>: W3C Mobile Web Best Practices 1.0 (</w:t>
            </w:r>
            <w:r>
              <w:rPr/>
              <w:t>Рекомендации</w:t>
            </w:r>
            <w:r>
              <w:rPr>
                <w:lang w:val="en-US"/>
              </w:rPr>
              <w:t xml:space="preserve"> W3C)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13.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Система должна предоставлять пользователю понятные сообщения об ошибках (например, "Ничего не найдено по вашему запросу, попробуйте изменить формулировку").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Сообщения типа "Error 500" пугают и дезориентируют пользователя. Система должна "человеческим" языком объяснять, что пошло не так.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Источник: ГОСТ Р ИСО 9241-110 (Принципы диалога для обратной связи)</w:t>
            </w:r>
          </w:p>
        </w:tc>
      </w:tr>
      <w:tr>
        <w:trPr/>
        <w:tc>
          <w:tcPr>
            <w:tcW w:w="14569" w:type="dxa"/>
            <w:gridSpan w:val="4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>
                <w:b/>
                <w:bCs/>
              </w:rPr>
            </w:pPr>
            <w:r>
              <w:rPr>
                <w:b/>
                <w:bCs/>
              </w:rPr>
              <w:t>Технологические и архитектурные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14.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user5"/>
              <w:rPr/>
            </w:pPr>
            <w:r>
              <w:rPr/>
              <w:t>Модель нейросети должна быть развернута в контейнеризированной среде (например, Docker) для обеспечения воспроизводимости и простоты обновления.</w:t>
            </w:r>
          </w:p>
          <w:p>
            <w:pPr>
              <w:pStyle w:val="user5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Упрощение процесса развертывания новых версий модели, обеспечение независимости от окружения на сервере.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>
                <w:lang w:val="en-US"/>
              </w:rPr>
            </w:pPr>
            <w:r>
              <w:rPr/>
              <w:t>Источник</w:t>
            </w:r>
            <w:r>
              <w:rPr>
                <w:lang w:val="en-US"/>
              </w:rPr>
              <w:t>: Docker Documentation (docs.docker.com), Kubernetes Documentation (kubernetes.io)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15.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Система должна быть построена по микросервисной архитектуре для обеспечения независимости компонентов (анализ, поиск, интеграция).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Отказ одного микросервиса (например, внешнего поиска) не должен приводить к остановке всей системы (внутренний поиск продолжит работать). Легче масштабировать и обновлять компоненты по отдельности.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Источник: Фаулер М., «Микросервисы» (martinfowler.com), Ричардсон К. «Микросервисы. Паттерны разработки и рефакторинга»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16.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API для взаимодействия с внешними источниками контента должны быть стандартизированы (REST/gRPC).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Упрощение процесса подключения новых внешних источников в будущем.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>
                <w:lang w:val="en-US"/>
              </w:rPr>
            </w:pPr>
            <w:r>
              <w:rPr/>
              <w:t>Источник</w:t>
            </w:r>
            <w:r>
              <w:rPr>
                <w:lang w:val="en-US"/>
              </w:rPr>
              <w:t>: Fielding R. «Architectural Styles and the Design of Network-based Software Architectures» (</w:t>
            </w:r>
            <w:r>
              <w:rPr/>
              <w:t>диссертация</w:t>
            </w:r>
            <w:r>
              <w:rPr>
                <w:lang w:val="en-US"/>
              </w:rPr>
              <w:t>, 2000)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17.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Система должна вести подробное логирование всех внутренних операций для последующего анализа инцидентов и производительности.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Невозможно отладить работу сложной системы без детальных логов. Это требование для эксплуатации.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>
                <w:lang w:val="en-US"/>
              </w:rPr>
            </w:pPr>
            <w:r>
              <w:rPr/>
              <w:t xml:space="preserve">Источник: </w:t>
            </w:r>
            <w:r>
              <w:rPr>
                <w:lang w:val="en-US"/>
              </w:rPr>
              <w:t>Beyer</w:t>
            </w:r>
            <w:r>
              <w:rPr/>
              <w:t xml:space="preserve">, </w:t>
            </w:r>
            <w:r>
              <w:rPr>
                <w:lang w:val="en-US"/>
              </w:rPr>
              <w:t>B</w:t>
            </w:r>
            <w:r>
              <w:rPr/>
              <w:t xml:space="preserve">. </w:t>
            </w:r>
            <w:r>
              <w:rPr>
                <w:lang w:val="en-US"/>
              </w:rPr>
              <w:t>et</w:t>
            </w:r>
            <w:r>
              <w:rPr/>
              <w:t xml:space="preserve"> </w:t>
            </w:r>
            <w:r>
              <w:rPr>
                <w:lang w:val="en-US"/>
              </w:rPr>
              <w:t>al</w:t>
            </w:r>
            <w:r>
              <w:rPr/>
              <w:t xml:space="preserve">. </w:t>
            </w:r>
            <w:r>
              <w:rPr>
                <w:lang w:val="en-US"/>
              </w:rPr>
              <w:t>«Site Reliability Engineering: How Google Runs Production Systems» (O'Reilly, 2016)</w:t>
            </w:r>
          </w:p>
        </w:tc>
      </w:tr>
      <w:tr>
        <w:trPr/>
        <w:tc>
          <w:tcPr>
            <w:tcW w:w="14569" w:type="dxa"/>
            <w:gridSpan w:val="4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>
                <w:b/>
                <w:bCs/>
              </w:rPr>
            </w:pPr>
            <w:r>
              <w:rPr>
                <w:b/>
                <w:bCs/>
              </w:rPr>
              <w:t>Правовые и нормативные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18.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Хранение и обработка персональных данных пользователей (ФИО, email, история запросов) должны осуществляться на серверах, расположенных на территории РФ.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Выполнение требования федерального закона № 242-ФЗ о локализации баз данных персональных данных.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Источник: Федеральный закон №242-ФЗ «О внесении изменений в отдельные законодательные акты Российской Федерации в части уточнения порядка обработки персональных данных в информационно-телекоммуникационных сетях»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19.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Весь контент, предоставляемый пользователям, должен распространяться в соответствии с лицензионными договорами, система должна вести их учет.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Соблюдение авторских прав, предотвращение судебных исков и претензий от правообладателей.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Источник: Гражданский кодекс РФ, Часть четвертая, раздел VII «Права на результаты интеллектуальной деятельности и средства индивидуализации»</w:t>
            </w:r>
          </w:p>
        </w:tc>
      </w:tr>
      <w:tr>
        <w:trPr/>
        <w:tc>
          <w:tcPr>
            <w:tcW w:w="14569" w:type="dxa"/>
            <w:gridSpan w:val="4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>
                <w:b/>
                <w:bCs/>
              </w:rPr>
            </w:pPr>
            <w:r>
              <w:rPr>
                <w:b/>
                <w:bCs/>
              </w:rPr>
              <w:t>Эргономические</w:t>
            </w:r>
          </w:p>
        </w:tc>
      </w:tr>
      <w:tr>
        <w:trPr/>
        <w:tc>
          <w:tcPr>
            <w:tcW w:w="4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20.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Цветовая гамма и элементы интерфейса не должны вызывать быстрого утомления при длительной работе; рекомендуется использование светлого и темного режимов.</w:t>
            </w:r>
          </w:p>
        </w:tc>
        <w:tc>
          <w:tcPr>
            <w:tcW w:w="58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Обеспечение комфорта пользователей, которые могут проводить в системе много времени (например, студенты за подбором материалов для курсовой).</w:t>
            </w:r>
          </w:p>
        </w:tc>
        <w:tc>
          <w:tcPr>
            <w:tcW w:w="393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5"/>
              <w:rPr/>
            </w:pPr>
            <w:r>
              <w:rPr/>
              <w:t>Источник: СанПиН 1.2.3685-21 «Гигиенические нормативы и требования к обеспечению безопасности и (или) безвредности для человека факторов среды обитания», WCAG 2.1 (Web Content Accessibility Guidelines)</w:t>
            </w:r>
          </w:p>
        </w:tc>
      </w:tr>
    </w:tbl>
    <w:p>
      <w:pPr>
        <w:sectPr>
          <w:type w:val="nextPage"/>
          <w:pgSz w:orient="landscape" w:w="16838" w:h="11906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  <w:pStyle w:val="Normal"/>
        <w:rPr/>
      </w:pPr>
      <w:r>
        <w:rPr/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/>
        <w:t>ЗАКЛЮЧЕНИЕ</w:t>
      </w:r>
    </w:p>
    <w:p>
      <w:pPr>
        <w:pStyle w:val="BodyText"/>
        <w:rPr/>
      </w:pPr>
      <w:r>
        <w:rPr/>
        <w:t>В ходе выполнения практического занятия был проведен анализ и систематизация информации из открытых источников о типовых требованиях к автоматизированным системам, схожим по функционалу с проектируемой АСУ «Семантический подборщик».</w:t>
      </w:r>
    </w:p>
    <w:p>
      <w:pPr>
        <w:pStyle w:val="BodyText"/>
        <w:rPr/>
      </w:pPr>
      <w:r>
        <w:rPr/>
        <w:t>На основе этого анализа были сформированы и обоснованы 20 функциональных требований, описывающих, какие именно задачи должна решать система (от приема запроса до создания задачи на закупку контента). Также были определены 20 нефункциональных требований, задающих качественные характеристики системы: ее производительность, безопасность, удобство использования и соответствие законодательству РФ.</w:t>
      </w:r>
    </w:p>
    <w:p>
      <w:pPr>
        <w:pStyle w:val="BodyText"/>
        <w:rPr/>
      </w:pPr>
      <w:r>
        <w:rPr/>
        <w:t>Сформированный перечень требований является основой для дальнейшего проектирования системы, разработки технического задания и выбора технологического стека для реализации проекта.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0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Droid Sans Fallback" w:cs="FreeSans"/>
      <w:color w:val="auto"/>
      <w:kern w:val="2"/>
      <w:sz w:val="24"/>
      <w:szCs w:val="24"/>
      <w:lang w:eastAsia="zh-CN" w:bidi="hi-IN" w:val="ru-RU"/>
    </w:rPr>
  </w:style>
  <w:style w:type="paragraph" w:styleId="Heading1">
    <w:name w:val="heading 1"/>
    <w:basedOn w:val="Title"/>
    <w:next w:val="BodyText"/>
    <w:qFormat/>
    <w:pPr>
      <w:numPr>
        <w:ilvl w:val="0"/>
        <w:numId w:val="2"/>
      </w:numPr>
      <w:suppressLineNumbers/>
      <w:spacing w:lineRule="auto" w:line="360" w:before="0" w:after="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2"/>
      </w:numPr>
      <w:spacing w:lineRule="auto" w:line="360" w:before="0" w:after="0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user" w:customStyle="1">
    <w:name w:val="Символ нумерации (user)"/>
    <w:qFormat/>
    <w:rPr/>
  </w:style>
  <w:style w:type="character" w:styleId="Style14" w:customStyle="1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ser1" w:customStyle="1">
    <w:name w:val="Маркеры (user)"/>
    <w:qFormat/>
    <w:rPr>
      <w:rFonts w:ascii="OpenSymbol" w:hAnsi="OpenSymbol" w:eastAsia="OpenSymbol" w:cs="OpenSymbol"/>
    </w:rPr>
  </w:style>
  <w:style w:type="character" w:styleId="Style15" w:customStyle="1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6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2"/>
    <w:semiHidden/>
    <w:unhideWhenUsed/>
    <w:rsid w:val="00845a09"/>
    <w:pPr>
      <w:spacing w:lineRule="auto" w:line="36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Style17" w:customStyle="1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star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user2" w:customStyle="1">
    <w:name w:val="Рисунок (user)"/>
    <w:basedOn w:val="Caption"/>
    <w:qFormat/>
    <w:pPr>
      <w:keepLines/>
      <w:spacing w:before="0" w:after="119"/>
      <w:jc w:val="center"/>
    </w:pPr>
    <w:rPr>
      <w:rFonts w:ascii="Times New Roman" w:hAnsi="Times New Roman"/>
      <w:i w:val="false"/>
      <w:sz w:val="28"/>
    </w:rPr>
  </w:style>
  <w:style w:type="paragraph" w:styleId="Style18" w:customStyle="1">
    <w:name w:val="Содержимое врезки"/>
    <w:basedOn w:val="Normal"/>
    <w:qFormat/>
    <w:pPr/>
    <w:rPr/>
  </w:style>
  <w:style w:type="paragraph" w:styleId="Style19" w:customStyle="1">
    <w:name w:val="Рисунок"/>
    <w:basedOn w:val="Caption"/>
    <w:qFormat/>
    <w:pPr/>
    <w:rPr/>
  </w:style>
  <w:style w:type="paragraph" w:styleId="user3" w:customStyle="1">
    <w:name w:val="Содержимое врезки (user)"/>
    <w:basedOn w:val="Normal"/>
    <w:qFormat/>
    <w:pPr/>
    <w:rPr/>
  </w:style>
  <w:style w:type="paragraph" w:styleId="user4" w:customStyle="1">
    <w:name w:val="Таблица (user)"/>
    <w:basedOn w:val="Caption"/>
    <w:qFormat/>
    <w:pPr/>
    <w:rPr>
      <w:rFonts w:ascii="Times New Roman" w:hAnsi="Times New Roman"/>
    </w:rPr>
  </w:style>
  <w:style w:type="paragraph" w:styleId="user5" w:customStyle="1">
    <w:name w:val="Содержимое таблицы (user)"/>
    <w:basedOn w:val="Normal"/>
    <w:qFormat/>
    <w:pPr>
      <w:suppressLineNumbers/>
    </w:pPr>
    <w:rPr>
      <w:rFonts w:ascii="Times New Roman" w:hAnsi="Times New Roman"/>
    </w:rPr>
  </w:style>
  <w:style w:type="paragraph" w:styleId="user6" w:customStyle="1">
    <w:name w:val="Заголовок таблицы (user)"/>
    <w:basedOn w:val="user5"/>
    <w:qFormat/>
    <w:pPr>
      <w:jc w:val="center"/>
    </w:pPr>
    <w:rPr>
      <w:b/>
      <w:bCs/>
    </w:rPr>
  </w:style>
  <w:style w:type="paragraph" w:styleId="Style20" w:customStyle="1">
    <w:name w:val="Содержимое таблицы"/>
    <w:basedOn w:val="Normal"/>
    <w:qFormat/>
    <w:pPr>
      <w:suppressLineNumbers/>
    </w:pPr>
    <w:rPr>
      <w:rFonts w:ascii="Times New Roman" w:hAnsi="Times New Roman"/>
    </w:rPr>
  </w:style>
  <w:style w:type="paragraph" w:styleId="Style21" w:customStyle="1">
    <w:name w:val="Заголовок таблицы"/>
    <w:basedOn w:val="Style20"/>
    <w:qFormat/>
    <w:pPr>
      <w:jc w:val="center"/>
    </w:pPr>
    <w:rPr>
      <w:b/>
      <w:bCs/>
    </w:rPr>
  </w:style>
  <w:style w:type="paragraph" w:styleId="Style22" w:customStyle="1">
    <w:name w:val="Таблица"/>
    <w:basedOn w:val="Caption"/>
    <w:qFormat/>
    <w:pPr>
      <w:spacing w:before="57" w:after="57"/>
    </w:pPr>
    <w:rPr>
      <w:rFonts w:ascii="Times New Roman" w:hAnsi="Times New Roman"/>
    </w:rPr>
  </w:style>
  <w:style w:type="paragraph" w:styleId="Subtitle">
    <w:name w:val="Subtitle"/>
    <w:basedOn w:val="Title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Cs w:val="36"/>
    </w:rPr>
  </w:style>
  <w:style w:type="paragraph" w:styleId="Style23" w:customStyle="1">
    <w:name w:val="Фотография"/>
    <w:basedOn w:val="Normal"/>
    <w:next w:val="Style29"/>
    <w:qFormat/>
    <w:pPr>
      <w:keepNext w:val="true"/>
      <w:keepLines/>
      <w:jc w:val="center"/>
    </w:pPr>
    <w:rPr>
      <w:rFonts w:ascii="Times New Roman" w:hAnsi="Times New Roman"/>
      <w:sz w:val="28"/>
    </w:rPr>
  </w:style>
  <w:style w:type="paragraph" w:styleId="Style24" w:customStyle="1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5" w:customStyle="1">
    <w:name w:val="Загаловок_задание"/>
    <w:basedOn w:val="BodyText"/>
    <w:next w:val="BodyText"/>
    <w:qFormat/>
    <w:pPr>
      <w:keepNext w:val="true"/>
      <w:keepLines/>
    </w:pPr>
    <w:rPr>
      <w:b/>
    </w:rPr>
  </w:style>
  <w:style w:type="paragraph" w:styleId="Style26" w:customStyle="1">
    <w:name w:val="Листинг"/>
    <w:basedOn w:val="Caption"/>
    <w:qFormat/>
    <w:pPr>
      <w:keepNext w:val="true"/>
    </w:pPr>
    <w:rPr>
      <w:rFonts w:ascii="Times New Roman" w:hAnsi="Times New Roman"/>
      <w:sz w:val="28"/>
    </w:rPr>
  </w:style>
  <w:style w:type="paragraph" w:styleId="Style27" w:customStyle="1">
    <w:name w:val="Текст листинга"/>
    <w:basedOn w:val="user5"/>
    <w:qFormat/>
    <w:pPr/>
    <w:rPr>
      <w:rFonts w:ascii="Courier New" w:hAnsi="Courier New"/>
      <w:sz w:val="20"/>
    </w:rPr>
  </w:style>
  <w:style w:type="paragraph" w:styleId="Style28" w:customStyle="1">
    <w:name w:val="Фигура"/>
    <w:basedOn w:val="Caption"/>
    <w:qFormat/>
    <w:pPr/>
    <w:rPr/>
  </w:style>
  <w:style w:type="paragraph" w:styleId="Style29" w:customStyle="1">
    <w:name w:val="Название фотографии"/>
    <w:basedOn w:val="Style23"/>
    <w:next w:val="BodyText"/>
    <w:qFormat/>
    <w:pPr>
      <w:spacing w:before="0" w:after="85"/>
    </w:pPr>
    <w:rPr/>
  </w:style>
  <w:style w:type="numbering" w:styleId="Style30" w:customStyle="1">
    <w:name w:val="Без списка"/>
    <w:uiPriority w:val="99"/>
    <w:semiHidden/>
    <w:unhideWhenUsed/>
    <w:qFormat/>
  </w:style>
  <w:style w:type="numbering" w:styleId="user7" w:customStyle="1">
    <w:name w:val="Без списка (user)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6464</TotalTime>
  <Application>LibreOffice/25.2.7.2$Windows_X86_64 LibreOffice_project/5cbfd1ab6520636bb5f7b99185aa69bd7456825d</Application>
  <AppVersion>15.0000</AppVersion>
  <Pages>9</Pages>
  <Words>1785</Words>
  <Characters>13180</Characters>
  <CharactersWithSpaces>14767</CharactersWithSpaces>
  <Paragraphs>202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2025-11-16T22:15:43Z</dcterms:created>
  <dc:creator/>
  <dc:description/>
  <dc:language>ru-RU</dc:language>
  <cp:lastModifiedBy/>
  <cp:lastPrinted>2026-02-19T23:58:03Z</cp:lastPrinted>
  <dcterms:modified xsi:type="dcterms:W3CDTF">2026-03-06T13:56:36Z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