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635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Отчет по выполнению практической работы №1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Тема: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ПРОЕКТНАЯ ДОКУМЕНТАЦИЯ. ФОРМИРОВАНИЕ</w:t>
        <w:br/>
        <w:t>ТРЕБОВАНИЙ К ИТ-ИНФРАСТРУКТУРЕ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Дисциплина: «Информационно-технологическая инфраструктура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организаций атомной отрасли»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469"/>
        <w:gridCol w:w="1839"/>
      </w:tblGrid>
      <w:tr>
        <w:trPr/>
        <w:tc>
          <w:tcPr>
            <w:tcW w:w="2469" w:type="dxa"/>
            <w:tcBorders/>
          </w:tcPr>
          <w:p>
            <w:pPr>
              <w:pStyle w:val="user4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</w:tc>
        <w:tc>
          <w:tcPr>
            <w:tcW w:w="1839" w:type="dxa"/>
            <w:tcBorders/>
          </w:tcPr>
          <w:p>
            <w:pPr>
              <w:pStyle w:val="user4"/>
              <w:spacing w:lineRule="auto" w:line="360" w:before="0" w:after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user4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1839" w:type="dxa"/>
            <w:tcBorders/>
          </w:tcPr>
          <w:p>
            <w:pPr>
              <w:pStyle w:val="user4"/>
              <w:spacing w:lineRule="auto" w:line="360" w:before="0" w:after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2025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Нефункциональные требования</w:t>
      </w:r>
    </w:p>
    <w:tbl>
      <w:tblPr>
        <w:tblStyle w:val="a3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Требования Заказчика</w:t>
            </w:r>
          </w:p>
        </w:tc>
        <w:tc>
          <w:tcPr>
            <w:tcW w:w="4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Требования в ТЗ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 предусмотреть возможность оперативной модернизации оборудования – быстро добавлять новые физические серверы, дисковые массивы в Систему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Система должна поддерживать горизонтальное масштабирование (scale-out) с возможностью добавления физических серверов и дисковых массивов без остановки работы.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Службе эксплуатации требуется возможность с одного АРМ управлять большинством компонентов Системы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Система должна предоставлять единую централизованную консоль управления (например, на базе оркестратора Kubernetes, VMware vCenter или аналогичной платформы) для контроля всех компонентов.</w:t>
            </w:r>
          </w:p>
        </w:tc>
      </w:tr>
      <w:tr>
        <w:trPr>
          <w:trHeight w:val="986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 снизить время возможного простоя прикладного и системного ПО, сервисов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Система должна обеспечивать доступность сервисов на уровне не менее 99.9% (SLA) за счет кластеризации, автоматического восстановления и балансировки нагрузки.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Функциональные требования</w:t>
      </w:r>
    </w:p>
    <w:tbl>
      <w:tblPr>
        <w:tblStyle w:val="a3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Требования Заказчика</w:t>
            </w:r>
          </w:p>
        </w:tc>
        <w:tc>
          <w:tcPr>
            <w:tcW w:w="4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Требования в ТЗ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Отказ одного или нескольких физических или программных серверов не должен приводить к длительному простою прикладных и системных сервисов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Система должна реализовывать отказоустойчивость (failover) на уровне кластера с автоматическим переключением нагрузки на резервные узлы.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 предусмотреть роли пользователей Системы, надежный, защищенный вход по логину-паролю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Реализовать механизм RBAC (Role-Based Access Control) с аутентификацией через LDAP/Active Directory и поддержкой MFA (многофакторной аутентификации).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Службе эксплуатации требуется возможность оперативно обслуживать физические серверы, т.е. быстро переводить продуктивную нагрузку в виде ПО с одного сервера на остальные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Обеспечить live-миграцию виртуальных машин/контейнеров между физическими серверами без прерывания работы (например, через vMotion, KVM live migration).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Службе эксплуатации требуется возможность оперативно создавать новые экземпляры прикладного и системного ПО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Внедрить автоматизацию развертывания (CI/CD) с использованием контейнеризации (Docker) и оркестрации (Kubernetes) для мгновенного масштабирования экземпляров ПО.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Необходимо снизить риск негативного воздействия друг на друга прикладных сервисов по сети и ИБ в части сетевого доступа 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Реализовать микросегментацию сети с использованием фаерволов и политик Zero Trust для изоляции трафика между сервисами.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 снизить риск просадки производительности прикладных сервисов (ПО)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Внедрить мониторинг ресурсов (CPU, RAM, диск) в реальном времени с автоматическим масштабированием и балансировкой нагрузки (на базе Prometheus/Grafana, Elastic Stack).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Службе эксплуатации требуется возможность оперативно откатываться в предыдущее рабочее состояние при обслуживании системного ПО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Обеспечить механизм снапшотов (snapshots) для виртуальных машин/контейнеров и версионности конфигураций с возможностью мгновенного отката.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Необходимо предусмотреть сценарий катастрофоустойчивости для продуктивных прикладных сервисов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Реализовать аварийное восстановление (Disaster Recovery) с синхронной/асинхронной репликацией данных в географически распределенный ЦОД.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хранении продуктивных данных необходимо по возможности использовать технологии уменьшения занимаемого объема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Применить технологии сжатия данных (например, LZ4, Zstandard) и дедупликации (на уровне СХД или ПО).</w:t>
            </w:r>
          </w:p>
        </w:tc>
      </w:tr>
    </w:tbl>
    <w:p>
      <w:pPr>
        <w:pStyle w:val="Normal"/>
        <w:spacing w:before="0" w:after="15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59"/>
      <w:jc w:val="start"/>
    </w:pPr>
    <w:rPr>
      <w:rFonts w:ascii="Calibri" w:hAnsi="Calibri" w:eastAsia="NSimSun" w:cs="Lucida Sans"/>
      <w:color w:val="auto"/>
      <w:kern w:val="2"/>
      <w:sz w:val="22"/>
      <w:szCs w:val="24"/>
      <w:lang w:val="ru-RU" w:eastAsia="zh-CN" w:bidi="hi-IN"/>
    </w:rPr>
  </w:style>
  <w:style w:type="paragraph" w:styleId="Heading1">
    <w:name w:val="heading 1"/>
    <w:basedOn w:val="Title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ser" w:customStyle="1">
    <w:name w:val="Символ нумерации (user)"/>
    <w:qFormat/>
    <w:rPr/>
  </w:style>
  <w:style w:type="character" w:styleId="Strong">
    <w:name w:val="Strong"/>
    <w:qFormat/>
    <w:rPr>
      <w:b/>
      <w:bCs/>
    </w:rPr>
  </w:style>
  <w:style w:type="character" w:styleId="user1" w:customStyle="1">
    <w:name w:val="Маркеры (user)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0"/>
      <w:ind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i/>
      <w:iCs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i/>
      <w:iCs/>
    </w:rPr>
  </w:style>
  <w:style w:type="paragraph" w:styleId="BodyTextFirstIndent">
    <w:name w:val="Body Text First Indent"/>
    <w:basedOn w:val="Normal"/>
    <w:pPr>
      <w:ind w:firstLine="709"/>
      <w:jc w:val="both"/>
    </w:pPr>
    <w:rPr/>
  </w:style>
  <w:style w:type="paragraph" w:styleId="user4" w:customStyle="1">
    <w:name w:val="Содержимое таблицы (user)"/>
    <w:basedOn w:val="Normal"/>
    <w:qFormat/>
    <w:pPr>
      <w:suppressLineNumbers/>
      <w:spacing w:lineRule="auto" w:line="276"/>
      <w:jc w:val="center"/>
    </w:pPr>
    <w:rPr/>
  </w:style>
  <w:style w:type="paragraph" w:styleId="FontStyle" w:customStyle="1">
    <w:name w:val="FontStyle"/>
    <w:basedOn w:val="Normal"/>
    <w:qFormat/>
    <w:pPr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LibreOffice/25.2.2.2$Windows_X86_64 LibreOffice_project/7370d4be9e3cf6031a51beef54ff3bda878e3fac</Application>
  <AppVersion>15.0000</AppVersion>
  <Pages>3</Pages>
  <Words>409</Words>
  <Characters>3294</Characters>
  <CharactersWithSpaces>3664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2025-05-22T18:36:59Z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