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19200" cy="1219200"/>
            <wp:effectExtent l="0" t="0" r="0" b="0"/>
            <wp:wrapTopAndBottom/>
            <wp:docPr id="1" name="Изображение1 Копия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 Копия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lang w:val="ru-RU"/>
        </w:rPr>
        <w:t>МИНОБРНАУКИ РОССИИ</w:t>
      </w:r>
    </w:p>
    <w:p>
      <w:pPr>
        <w:pStyle w:val="Normal"/>
        <w:ind w:hanging="0"/>
        <w:jc w:val="center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Федеральное государственное бюджетное образовательное учреждение</w:t>
      </w:r>
    </w:p>
    <w:p>
      <w:pPr>
        <w:pStyle w:val="Normal"/>
        <w:ind w:hanging="0"/>
        <w:jc w:val="center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высшего образования</w:t>
      </w:r>
    </w:p>
    <w:p>
      <w:pPr>
        <w:pStyle w:val="Normal"/>
        <w:ind w:hanging="0"/>
        <w:jc w:val="center"/>
        <w:rPr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«МИРЭА </w:t>
      </w:r>
      <w:r>
        <w:rPr>
          <w:rFonts w:eastAsia="Times New Roman" w:cs="Times New Roman"/>
          <w:b/>
          <w:bCs/>
          <w:i/>
          <w:iCs/>
          <w:sz w:val="24"/>
          <w:szCs w:val="24"/>
        </w:rPr>
        <w:t>– Российский технологический университет</w:t>
      </w:r>
      <w:r>
        <w:rPr>
          <w:b/>
          <w:bCs/>
          <w:i/>
          <w:iCs/>
          <w:sz w:val="24"/>
          <w:szCs w:val="24"/>
        </w:rPr>
        <w:t>»</w:t>
      </w:r>
    </w:p>
    <w:p>
      <w:pPr>
        <w:pStyle w:val="Normal"/>
        <w:ind w:hang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РТУ МИРЭА</w:t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mc:AlternateContent>
          <mc:Choice Requires="wps">
            <w:drawing>
              <wp:anchor behindDoc="0" distT="635" distB="635" distL="635" distR="635" simplePos="0" locked="0" layoutInCell="1" allowOverlap="1" relativeHeight="3">
                <wp:simplePos x="0" y="0"/>
                <wp:positionH relativeFrom="column">
                  <wp:posOffset>557530</wp:posOffset>
                </wp:positionH>
                <wp:positionV relativeFrom="paragraph">
                  <wp:posOffset>-554990</wp:posOffset>
                </wp:positionV>
                <wp:extent cx="5013960" cy="0"/>
                <wp:effectExtent l="635" t="635" r="635" b="635"/>
                <wp:wrapNone/>
                <wp:docPr id="2" name="Горизонта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40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.9pt,-43.7pt" to="438.65pt,-43.7pt" ID="Горизонтальная линия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1" allowOverlap="1" relativeHeight="4">
                <wp:simplePos x="0" y="0"/>
                <wp:positionH relativeFrom="column">
                  <wp:posOffset>557530</wp:posOffset>
                </wp:positionH>
                <wp:positionV relativeFrom="paragraph">
                  <wp:posOffset>-520700</wp:posOffset>
                </wp:positionV>
                <wp:extent cx="5013960" cy="635"/>
                <wp:effectExtent l="635" t="635" r="635" b="635"/>
                <wp:wrapNone/>
                <wp:docPr id="3" name="Горизонтальная линия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408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.9pt,-41pt" to="438.65pt,-41pt" ID="Горизонтальная линия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Отчет по выполнению практической работы №</w:t>
      </w:r>
      <w:r>
        <w:rPr>
          <w:b w:val="false"/>
          <w:bCs w:val="false"/>
          <w:sz w:val="28"/>
          <w:szCs w:val="28"/>
          <w:lang w:val="en-US"/>
        </w:rPr>
        <w:t>3</w:t>
      </w:r>
    </w:p>
    <w:p>
      <w:pPr>
        <w:pStyle w:val="Normal"/>
        <w:ind w:hang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</w:p>
    <w:p>
      <w:pPr>
        <w:pStyle w:val="Normal"/>
        <w:ind w:hanging="0"/>
        <w:jc w:val="center"/>
        <w:rPr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  <w:lang w:val="ru-RU"/>
        </w:rPr>
        <w:t xml:space="preserve">СОЗДАНИЕ </w:t>
      </w:r>
      <w:r>
        <w:rPr>
          <w:b w:val="false"/>
          <w:bCs w:val="false"/>
          <w:sz w:val="28"/>
          <w:szCs w:val="28"/>
          <w:shd w:fill="auto" w:val="clear"/>
          <w:lang w:val="en-US"/>
        </w:rPr>
        <w:t>DFD</w:t>
      </w:r>
      <w:r>
        <w:rPr>
          <w:b w:val="false"/>
          <w:bCs w:val="false"/>
          <w:sz w:val="28"/>
          <w:szCs w:val="28"/>
          <w:shd w:fill="auto" w:val="clear"/>
          <w:lang w:val="ru-RU"/>
        </w:rPr>
        <w:t xml:space="preserve"> МОДЕЛИ</w:t>
      </w:r>
    </w:p>
    <w:p>
      <w:pPr>
        <w:pStyle w:val="Normal"/>
        <w:ind w:hanging="0"/>
        <w:jc w:val="center"/>
        <w:rPr/>
      </w:pPr>
      <w:r>
        <w:rPr/>
        <w:t>Дисциплина: «Проектирование баз данных»</w:t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4309" w:type="dxa"/>
        <w:jc w:val="start"/>
        <w:tblInd w:w="533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468"/>
        <w:gridCol w:w="1840"/>
      </w:tblGrid>
      <w:tr>
        <w:trPr/>
        <w:tc>
          <w:tcPr>
            <w:tcW w:w="2468" w:type="dxa"/>
            <w:tcBorders/>
          </w:tcPr>
          <w:p>
            <w:pPr>
              <w:pStyle w:val="Style17"/>
              <w:ind w:hanging="0"/>
              <w:rPr>
                <w:sz w:val="25"/>
                <w:szCs w:val="28"/>
              </w:rPr>
            </w:pPr>
            <w:r>
              <w:rPr>
                <w:szCs w:val="28"/>
              </w:rPr>
              <w:t>Выполнил студент:</w:t>
            </w:r>
          </w:p>
        </w:tc>
        <w:tc>
          <w:tcPr>
            <w:tcW w:w="1840" w:type="dxa"/>
            <w:tcBorders/>
          </w:tcPr>
          <w:p>
            <w:pPr>
              <w:pStyle w:val="Style17"/>
              <w:ind w:hanging="0"/>
              <w:jc w:val="start"/>
              <w:rPr>
                <w:sz w:val="25"/>
                <w:szCs w:val="28"/>
                <w:u w:val="single"/>
              </w:rPr>
            </w:pPr>
            <w:r>
              <w:rPr>
                <w:szCs w:val="28"/>
                <w:u w:val="single"/>
              </w:rPr>
              <w:t>Враженко Д.О.</w:t>
            </w:r>
          </w:p>
        </w:tc>
      </w:tr>
      <w:tr>
        <w:trPr/>
        <w:tc>
          <w:tcPr>
            <w:tcW w:w="2468" w:type="dxa"/>
            <w:tcBorders/>
          </w:tcPr>
          <w:p>
            <w:pPr>
              <w:pStyle w:val="Style17"/>
              <w:ind w:hanging="0"/>
              <w:rPr>
                <w:sz w:val="25"/>
                <w:szCs w:val="28"/>
              </w:rPr>
            </w:pPr>
            <w:r>
              <w:rPr>
                <w:szCs w:val="28"/>
              </w:rPr>
              <w:t>Группа:</w:t>
            </w:r>
          </w:p>
        </w:tc>
        <w:tc>
          <w:tcPr>
            <w:tcW w:w="1840" w:type="dxa"/>
            <w:tcBorders/>
          </w:tcPr>
          <w:p>
            <w:pPr>
              <w:pStyle w:val="Style17"/>
              <w:ind w:hanging="0"/>
              <w:jc w:val="start"/>
              <w:rPr>
                <w:sz w:val="25"/>
                <w:szCs w:val="28"/>
                <w:u w:val="single"/>
              </w:rPr>
            </w:pPr>
            <w:r>
              <w:rPr>
                <w:szCs w:val="28"/>
                <w:u w:val="single"/>
              </w:rPr>
              <w:t xml:space="preserve">  </w:t>
            </w:r>
            <w:r>
              <w:rPr>
                <w:szCs w:val="28"/>
                <w:u w:val="single"/>
              </w:rPr>
              <w:t>ИКБО-50-23</w:t>
            </w:r>
          </w:p>
        </w:tc>
      </w:tr>
    </w:tbl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Москва </w:t>
      </w:r>
      <w:r>
        <w:rPr>
          <w:rFonts w:eastAsia="Times New Roman" w:cs="Times New Roman"/>
          <w:b w:val="false"/>
          <w:bCs w:val="false"/>
          <w:sz w:val="28"/>
          <w:szCs w:val="28"/>
        </w:rPr>
        <w:t>–</w:t>
      </w:r>
      <w:r>
        <w:rPr>
          <w:b w:val="false"/>
          <w:bCs w:val="false"/>
          <w:sz w:val="28"/>
          <w:szCs w:val="28"/>
        </w:rPr>
        <w:t xml:space="preserve"> 2025</w:t>
      </w:r>
      <w:r>
        <w:br w:type="page"/>
      </w:r>
    </w:p>
    <w:p>
      <w:pPr>
        <w:pStyle w:val="Normal"/>
        <w:spacing w:before="0" w:after="0"/>
        <w:rPr/>
      </w:pPr>
      <w:r>
        <w:rPr>
          <w:b/>
          <w:bCs/>
        </w:rPr>
        <w:t>Цель</w:t>
      </w:r>
      <w:r>
        <w:rPr/>
        <w:t xml:space="preserve">: сформировать навык моделирования в нотации </w:t>
      </w:r>
      <w:r>
        <w:rPr>
          <w:lang w:val="en-US"/>
        </w:rPr>
        <w:t>DFD.</w:t>
      </w:r>
    </w:p>
    <w:p>
      <w:pPr>
        <w:pStyle w:val="Normal"/>
        <w:rPr/>
      </w:pPr>
      <w:r>
        <w:rPr>
          <w:b/>
          <w:bCs/>
        </w:rPr>
        <w:t>Постановка задачи</w:t>
      </w:r>
      <w:r>
        <w:rPr/>
        <w:t xml:space="preserve">: на основе практической работы №1 спроектируйте модель в нотации </w:t>
      </w:r>
      <w:r>
        <w:rPr>
          <w:lang w:val="en-US"/>
        </w:rPr>
        <w:t>DFD</w:t>
      </w:r>
      <w:r>
        <w:rPr>
          <w:lang w:val="ru-RU"/>
        </w:rPr>
        <w:t xml:space="preserve"> и опишите её. Построение модели выполняйте в </w:t>
      </w:r>
      <w:r>
        <w:rPr>
          <w:lang w:val="en-US"/>
        </w:rPr>
        <w:t>Ramus.</w:t>
      </w:r>
      <w:r>
        <w:br w:type="page"/>
      </w:r>
    </w:p>
    <w:p>
      <w:pPr>
        <w:pStyle w:val="Title"/>
        <w:spacing w:before="0" w:after="0"/>
        <w:rPr>
          <w:lang w:val="ru-RU"/>
        </w:rPr>
      </w:pPr>
      <w:r>
        <w:rPr>
          <w:lang w:val="ru-RU"/>
        </w:rPr>
        <w:t>ОСНОВНАЯ ЧАСТЬ</w:t>
      </w:r>
    </w:p>
    <w:p>
      <w:pPr>
        <w:pStyle w:val="BodyText"/>
        <w:spacing w:before="0" w:after="0"/>
        <w:rPr>
          <w:lang w:val="ru-RU"/>
        </w:rPr>
      </w:pPr>
      <w:r>
        <w:rPr>
          <w:lang w:val="ru-RU"/>
        </w:rPr>
        <w:t>В рамках практической работы для бизнес-процесса «Управление увольнениями» была построена DFD-модель, на которой отображены некоторые элементы: внешняя сущность, хранилище данных, процесс, потоки.</w:t>
      </w:r>
    </w:p>
    <w:p>
      <w:pPr>
        <w:pStyle w:val="Style20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— Описание элементов диаграммы для бизнес-процесса «Управление увольнениями»</w:t>
      </w:r>
    </w:p>
    <w:tbl>
      <w:tblPr>
        <w:tblW w:w="5000" w:type="pct"/>
        <w:jc w:val="start"/>
        <w:tblInd w:w="28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467"/>
        <w:gridCol w:w="2566"/>
        <w:gridCol w:w="5605"/>
      </w:tblGrid>
      <w:tr>
        <w:trPr/>
        <w:tc>
          <w:tcPr>
            <w:tcW w:w="146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Элемент</w:t>
            </w:r>
          </w:p>
        </w:tc>
        <w:tc>
          <w:tcPr>
            <w:tcW w:w="25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Наименование</w:t>
            </w:r>
          </w:p>
        </w:tc>
        <w:tc>
          <w:tcPr>
            <w:tcW w:w="56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Описание</w:t>
            </w:r>
          </w:p>
        </w:tc>
      </w:tr>
      <w:tr>
        <w:trPr/>
        <w:tc>
          <w:tcPr>
            <w:tcW w:w="1467" w:type="dxa"/>
            <w:vMerge w:val="restart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Хранилище данных</w:t>
            </w:r>
          </w:p>
        </w:tc>
        <w:tc>
          <w:tcPr>
            <w:tcW w:w="256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База сотрудников</w:t>
            </w:r>
          </w:p>
        </w:tc>
        <w:tc>
          <w:tcPr>
            <w:tcW w:w="560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Содержит информацию о сотрудниках: трудовые договоры, графики работы, текущий статус.</w:t>
            </w:r>
          </w:p>
        </w:tc>
      </w:tr>
      <w:tr>
        <w:trPr/>
        <w:tc>
          <w:tcPr>
            <w:tcW w:w="1467" w:type="dxa"/>
            <w:vMerge w:val="continue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56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Архив документов</w:t>
            </w:r>
          </w:p>
        </w:tc>
        <w:tc>
          <w:tcPr>
            <w:tcW w:w="560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Хранит документы, связанные с увольнением: заявления, приказы, акты передачи инвентаря.</w:t>
            </w:r>
          </w:p>
        </w:tc>
      </w:tr>
      <w:tr>
        <w:trPr/>
        <w:tc>
          <w:tcPr>
            <w:tcW w:w="1467" w:type="dxa"/>
            <w:vMerge w:val="continue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56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Финансовая система</w:t>
            </w:r>
          </w:p>
        </w:tc>
        <w:tc>
          <w:tcPr>
            <w:tcW w:w="560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Данные о зарплатах, компенсациях, выплатах для проведения финального расчёта.</w:t>
            </w:r>
          </w:p>
        </w:tc>
      </w:tr>
      <w:tr>
        <w:trPr/>
        <w:tc>
          <w:tcPr>
            <w:tcW w:w="1467" w:type="dxa"/>
            <w:vMerge w:val="restart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Внешняя сущность</w:t>
            </w:r>
          </w:p>
        </w:tc>
        <w:tc>
          <w:tcPr>
            <w:tcW w:w="256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Сотрудник</w:t>
            </w:r>
          </w:p>
        </w:tc>
        <w:tc>
          <w:tcPr>
            <w:tcW w:w="560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Инициирует процесс увольнения (подаёт заявление), сдаёт инвентарь, получает финальный расчёт.</w:t>
            </w:r>
          </w:p>
        </w:tc>
      </w:tr>
      <w:tr>
        <w:trPr/>
        <w:tc>
          <w:tcPr>
            <w:tcW w:w="1467" w:type="dxa"/>
            <w:vMerge w:val="continue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56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Руководитель</w:t>
            </w:r>
          </w:p>
        </w:tc>
        <w:tc>
          <w:tcPr>
            <w:tcW w:w="560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Принимает решение об увольнении, проводит беседу, утверждает документы и расчёты.</w:t>
            </w:r>
          </w:p>
        </w:tc>
      </w:tr>
      <w:tr>
        <w:trPr/>
        <w:tc>
          <w:tcPr>
            <w:tcW w:w="1467" w:type="dxa"/>
            <w:vMerge w:val="restart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Процесс</w:t>
            </w:r>
          </w:p>
        </w:tc>
        <w:tc>
          <w:tcPr>
            <w:tcW w:w="256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Инициировать увольнение</w:t>
            </w:r>
          </w:p>
        </w:tc>
        <w:tc>
          <w:tcPr>
            <w:tcW w:w="560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Запуск процесса: получение заявления сотрудника или решения руководителя.</w:t>
            </w:r>
          </w:p>
        </w:tc>
      </w:tr>
      <w:tr>
        <w:trPr/>
        <w:tc>
          <w:tcPr>
            <w:tcW w:w="1467" w:type="dxa"/>
            <w:vMerge w:val="continue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56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Провести беседу</w:t>
            </w:r>
          </w:p>
        </w:tc>
        <w:tc>
          <w:tcPr>
            <w:tcW w:w="560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Обсуждение причин увольнения, условий и возможных альтернатив.</w:t>
            </w:r>
          </w:p>
        </w:tc>
      </w:tr>
      <w:tr>
        <w:trPr/>
        <w:tc>
          <w:tcPr>
            <w:tcW w:w="1467" w:type="dxa"/>
            <w:vMerge w:val="continue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56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Оформить документы</w:t>
            </w:r>
          </w:p>
        </w:tc>
        <w:tc>
          <w:tcPr>
            <w:tcW w:w="560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Подготовка приказа об увольнении, актов передачи инвентаря и корпоративных ресурсов.</w:t>
            </w:r>
          </w:p>
        </w:tc>
      </w:tr>
      <w:tr>
        <w:trPr/>
        <w:tc>
          <w:tcPr>
            <w:tcW w:w="1467" w:type="dxa"/>
            <w:vMerge w:val="continue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56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Передать дела</w:t>
            </w:r>
          </w:p>
        </w:tc>
        <w:tc>
          <w:tcPr>
            <w:tcW w:w="560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Сотрудник сдаёт инвентарь, униформу, доступы к системам. Данные сохраняются в архив.</w:t>
            </w:r>
          </w:p>
        </w:tc>
      </w:tr>
      <w:tr>
        <w:trPr/>
        <w:tc>
          <w:tcPr>
            <w:tcW w:w="1467" w:type="dxa"/>
            <w:vMerge w:val="continue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56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Выполнить финальный расчёт</w:t>
            </w:r>
          </w:p>
        </w:tc>
        <w:tc>
          <w:tcPr>
            <w:tcW w:w="560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Руководитель рассчитывает итоговые выплаты (зарплата, компенсации) и передаёт данные в систему.</w:t>
            </w:r>
          </w:p>
        </w:tc>
      </w:tr>
      <w:tr>
        <w:trPr/>
        <w:tc>
          <w:tcPr>
            <w:tcW w:w="1467" w:type="dxa"/>
            <w:vMerge w:val="continue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56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Закрыть кадровое дело</w:t>
            </w:r>
          </w:p>
        </w:tc>
        <w:tc>
          <w:tcPr>
            <w:tcW w:w="560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Обновление базы сотрудников (удаление данных), архивирование документов.</w:t>
            </w:r>
          </w:p>
        </w:tc>
      </w:tr>
    </w:tbl>
    <w:p>
      <w:pPr>
        <w:pStyle w:val="BodyText"/>
        <w:spacing w:before="0" w:after="0"/>
        <w:rPr>
          <w:lang w:val="ru-RU"/>
        </w:rPr>
      </w:pPr>
      <w:r>
        <w:rPr/>
      </w:r>
    </w:p>
    <w:p>
      <w:pPr>
        <w:pStyle w:val="BodyText"/>
        <w:spacing w:before="0" w:after="0"/>
        <w:rPr/>
      </w:pPr>
      <w:r>
        <w:rPr>
          <w:lang w:val="ru-RU"/>
        </w:rPr>
        <w:t>На Рисунках 1-2 показана DFD-модель.</w:t>
      </w:r>
    </w:p>
    <w:p>
      <w:pPr>
        <w:pStyle w:val="BodyText"/>
        <w:spacing w:before="0" w:after="0"/>
        <w:ind w:hanging="0"/>
        <w:jc w:val="center"/>
        <w:rPr>
          <w:lang w:val="ru-RU"/>
        </w:rPr>
      </w:pPr>
      <w:r>
        <w:rPr>
          <w:lang w:val="ru-RU"/>
        </w:rPr>
      </w:r>
      <w:r>
        <mc:AlternateContent>
          <mc:Choice Requires="wps">
            <w:drawing>
              <wp:inline distT="0" distB="0" distL="0" distR="0">
                <wp:extent cx="6120130" cy="4243705"/>
                <wp:effectExtent l="0" t="0" r="0" b="0"/>
                <wp:docPr id="4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42437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6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669280" cy="3930015"/>
                                  <wp:effectExtent l="0" t="0" r="0" b="0"/>
                                  <wp:docPr id="5" name="Изображение2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2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69280" cy="39300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DFD-модель бизнес-процесса«Управление увольнениями», часть 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81.9pt;height:334.15pt;mso-wrap-distance-left:0pt;mso-wrap-distance-right:0pt;mso-wrap-distance-top:0pt;mso-wrap-distance-bottom:0pt;margin-top:-334.1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6"/>
                        <w:ind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669280" cy="3930015"/>
                            <wp:effectExtent l="0" t="0" r="0" b="0"/>
                            <wp:docPr id="6" name="Изображение2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2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69280" cy="39300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DFD-модель бизнес-процесса«Управление увольнениями», часть 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BodyText"/>
        <w:spacing w:before="0" w:after="0"/>
        <w:ind w:hanging="0"/>
        <w:jc w:val="center"/>
        <w:rPr>
          <w:lang w:val="ru-RU"/>
        </w:rPr>
      </w:pPr>
      <w:r>
        <w:rPr>
          <w:lang w:val="ru-RU"/>
        </w:rPr>
      </w:r>
      <w:r>
        <mc:AlternateContent>
          <mc:Choice Requires="wps">
            <w:drawing>
              <wp:inline distT="0" distB="0" distL="0" distR="0">
                <wp:extent cx="6120130" cy="4243705"/>
                <wp:effectExtent l="0" t="0" r="0" b="0"/>
                <wp:docPr id="7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42437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6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13730" cy="3961130"/>
                                  <wp:effectExtent l="0" t="0" r="0" b="0"/>
                                  <wp:docPr id="8" name="Изображение3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3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3730" cy="39611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DFD-модель бизнес-процесса«Управление увольнениями», часть 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81.9pt;height:334.15pt;mso-wrap-distance-left:0pt;mso-wrap-distance-right:0pt;mso-wrap-distance-top:0pt;mso-wrap-distance-bottom:0pt;margin-top:-334.1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6"/>
                        <w:ind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13730" cy="3961130"/>
                            <wp:effectExtent l="0" t="0" r="0" b="0"/>
                            <wp:docPr id="9" name="Изображение3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3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3730" cy="39611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DFD-модель бизнес-процесса«Управление увольнениями», часть 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>
      <w:footerReference w:type="default" r:id="rId7"/>
      <w:type w:val="nextPage"/>
      <w:pgSz w:w="11906" w:h="16838"/>
      <w:pgMar w:left="1134" w:right="1134" w:gutter="0" w:header="0" w:top="1134" w:footer="1134" w:bottom="1899"/>
      <w:pgNumType w:fmt="decimal"/>
      <w:formProt w:val="false"/>
      <w:titlePg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Times New Roman">
    <w:charset w:val="cc" w:characterSet="windows-1251"/>
    <w:family w:val="swiss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Liberation Serif">
    <w:altName w:val="Times New Roman"/>
    <w:charset w:val="cc" w:characterSet="windows-125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0" w:name="PageNumWizard_FOOTER_Базовый2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bookmarkEnd w:id="0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643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NSimSun" w:cs="Lucida Sans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Style14"/>
    <w:next w:val="Normal"/>
    <w:qFormat/>
    <w:pPr>
      <w:numPr>
        <w:ilvl w:val="0"/>
        <w:numId w:val="2"/>
      </w:numPr>
      <w:suppressAutoHyphens w:val="true"/>
      <w:spacing w:before="240" w:after="120"/>
      <w:ind w:start="709"/>
      <w:jc w:val="start"/>
      <w:outlineLvl w:val="0"/>
    </w:pPr>
    <w:rPr>
      <w:rFonts w:ascii="Times New Roman" w:hAnsi="Times New Roman"/>
      <w:b/>
      <w:bCs/>
      <w:i w:val="false"/>
      <w:sz w:val="36"/>
      <w:szCs w:val="36"/>
    </w:rPr>
  </w:style>
  <w:style w:type="paragraph" w:styleId="Heading2">
    <w:name w:val="Heading 2"/>
    <w:basedOn w:val="Style14"/>
    <w:next w:val="Normal"/>
    <w:qFormat/>
    <w:pPr>
      <w:numPr>
        <w:ilvl w:val="1"/>
        <w:numId w:val="2"/>
      </w:numPr>
      <w:suppressAutoHyphens w:val="true"/>
      <w:spacing w:before="119" w:after="0"/>
      <w:ind w:hanging="0" w:start="709"/>
      <w:jc w:val="start"/>
      <w:outlineLvl w:val="1"/>
    </w:pPr>
    <w:rPr>
      <w:rFonts w:ascii="Times New Roman" w:hAnsi="Times New Roman"/>
      <w:b/>
      <w:bCs/>
      <w:sz w:val="32"/>
      <w:szCs w:val="32"/>
    </w:rPr>
  </w:style>
  <w:style w:type="character" w:styleId="Style12">
    <w:name w:val="Символ нумерации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lineRule="auto" w:line="276" w:before="0" w:after="0"/>
    </w:pPr>
    <w:rPr>
      <w:rFonts w:cs="Lucida Sans"/>
      <w:i/>
      <w:iCs/>
      <w:sz w:val="28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Style16">
    <w:name w:val="Рисунок"/>
    <w:basedOn w:val="Caption"/>
    <w:qFormat/>
    <w:pPr>
      <w:spacing w:before="0" w:after="0"/>
    </w:pPr>
    <w:rPr>
      <w:b w:val="false"/>
      <w:i w:val="false"/>
    </w:rPr>
  </w:style>
  <w:style w:type="paragraph" w:styleId="Style17">
    <w:name w:val="Содержимое таблицы"/>
    <w:basedOn w:val="Normal"/>
    <w:qFormat/>
    <w:pPr>
      <w:widowControl w:val="false"/>
      <w:suppressLineNumbers/>
      <w:tabs>
        <w:tab w:val="clear" w:pos="643"/>
      </w:tabs>
      <w:spacing w:lineRule="auto" w:line="276"/>
      <w:ind w:hanging="0"/>
      <w:jc w:val="center"/>
    </w:pPr>
    <w:rPr/>
  </w:style>
  <w:style w:type="paragraph" w:styleId="Style18">
    <w:name w:val="Содержимое врезки"/>
    <w:basedOn w:val="Normal"/>
    <w:qFormat/>
    <w:pPr/>
    <w:rPr/>
  </w:style>
  <w:style w:type="paragraph" w:styleId="Title">
    <w:name w:val="Title"/>
    <w:basedOn w:val="Style14"/>
    <w:next w:val="BodyText"/>
    <w:qFormat/>
    <w:pPr>
      <w:spacing w:before="0" w:after="0"/>
      <w:ind w:hanging="0"/>
      <w:jc w:val="center"/>
    </w:pPr>
    <w:rPr>
      <w:rFonts w:ascii="Times New Roman" w:hAnsi="Times New Roman"/>
      <w:b/>
      <w:bCs/>
      <w:sz w:val="32"/>
      <w:szCs w:val="56"/>
    </w:rPr>
  </w:style>
  <w:style w:type="paragraph" w:styleId="Style19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20">
    <w:name w:val="Таблица"/>
    <w:basedOn w:val="Caption"/>
    <w:qFormat/>
    <w:pPr>
      <w:spacing w:lineRule="auto" w:line="240"/>
    </w:pPr>
    <w:rPr/>
  </w:style>
  <w:style w:type="paragraph" w:styleId="R">
    <w:name w:val="ТаблицаR"/>
    <w:basedOn w:val="Caption"/>
    <w:qFormat/>
    <w:pPr/>
    <w:rPr/>
  </w:style>
  <w:style w:type="paragraph" w:styleId="Style21">
    <w:name w:val="Колонтитул"/>
    <w:basedOn w:val="Normal"/>
    <w:qFormat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21"/>
    <w:pPr>
      <w:suppressLineNumbers/>
      <w:ind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1031</TotalTime>
  <Application>LibreOffice/7.6.7.2$Windows_X86_64 LibreOffice_project/dd47e4b30cb7dab30588d6c79c651f218165e3c5</Application>
  <AppVersion>15.0000</AppVersion>
  <Pages>4</Pages>
  <Words>250</Words>
  <Characters>1933</Characters>
  <CharactersWithSpaces>2139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2025-02-12T14:39:53Z</dcterms:created>
  <dc:creator/>
  <dc:description/>
  <dc:language>ru-RU</dc:language>
  <cp:lastModifiedBy/>
  <dcterms:modified xsi:type="dcterms:W3CDTF">2025-03-16T14:49:01Z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