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497"/>
      </w:tblGrid>
      <w:tr>
        <w:trPr>
          <w:trHeight w:val="180" w:hRule="atLeast"/>
          <w:cantSplit w:val="true"/>
        </w:trPr>
        <w:tc>
          <w:tcPr>
            <w:tcW w:w="9497" w:type="dxa"/>
            <w:tcBorders/>
          </w:tcPr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/>
              <w:drawing>
                <wp:inline distT="0" distB="0" distL="0" distR="0">
                  <wp:extent cx="991870" cy="112395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60" w:after="0"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eastAsia="Calibri"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497" w:type="dxa"/>
            <w:tcBorders/>
          </w:tcPr>
          <w:p>
            <w:pPr>
              <w:pStyle w:val="Normal"/>
              <w:widowControl w:val="false"/>
              <w:spacing w:lineRule="auto" w:line="216" w:before="0" w:after="0"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iCs/>
                <w:sz w:val="24"/>
                <w:szCs w:val="24"/>
                <w:lang w:eastAsia="ru-RU"/>
              </w:rPr>
              <w:t></w:t>
            </w:r>
            <w:r>
              <w:rPr>
                <w:rFonts w:eastAsia="Times New Roman" w:cs="Times New Roman CYR" w:ascii="Times New Roman CYR" w:hAnsi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w:t xml:space="preserve">РТУ МИРЭА </w:t>
            </w:r>
            <w:r>
              <w:rPr>
                <w:rFonts w:eastAsia="Calibri"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E45E1AE">
                      <wp:extent cx="5600700" cy="1270"/>
                      <wp:effectExtent l="20955" t="22860" r="26670" b="23495"/>
                      <wp:docPr id="2" name="Прямая соединительная 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1" stroked="t" o:allowincell="f" style="position:absolute;flip:y;mso-position-vertical:top" wp14:anchorId="6E45E1AE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  <w:bCs/>
        </w:rPr>
      </w:pPr>
      <w:r>
        <w:rPr>
          <w:rFonts w:eastAsia="Calibri" w:cs="Times New Roman" w:ascii="Times New Roman" w:hAnsi="Times New Roman"/>
          <w:b/>
          <w:bCs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ОТЧЕТ ПО ПРАКТИКЕ В ПРОФИЛЬНОЙ СФЕРЕ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32"/>
          <w:szCs w:val="32"/>
          <w:shd w:fill="FFFF00" w:val="clear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Тема практики</w:t>
      </w:r>
      <w:r>
        <w:rPr>
          <w:rFonts w:eastAsia="Calibri" w:cs="Times New Roman" w:ascii="Times New Roman" w:hAnsi="Times New Roman"/>
          <w:sz w:val="32"/>
          <w:szCs w:val="32"/>
        </w:rPr>
        <w:t>: «</w:t>
      </w:r>
      <w:r>
        <w:rPr>
          <w:rFonts w:eastAsia="Calibri" w:cs="Times New Roman" w:ascii="Times New Roman" w:hAnsi="Times New Roman"/>
          <w:sz w:val="32"/>
          <w:szCs w:val="32"/>
        </w:rPr>
        <w:t xml:space="preserve">Администрирование баз данных с помощью </w:t>
      </w:r>
      <w:r>
        <w:rPr>
          <w:rFonts w:eastAsia="Calibri" w:cs="Times New Roman" w:ascii="Times New Roman" w:hAnsi="Times New Roman"/>
          <w:sz w:val="32"/>
          <w:szCs w:val="32"/>
          <w:lang w:val="en-US"/>
        </w:rPr>
        <w:t>PostgreSQL</w:t>
      </w:r>
      <w:r>
        <w:rPr>
          <w:rFonts w:eastAsia="Calibri" w:cs="Times New Roman" w:ascii="Times New Roman" w:hAnsi="Times New Roman"/>
          <w:sz w:val="32"/>
          <w:szCs w:val="32"/>
        </w:rPr>
        <w:t>»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eastAsia="Calibri" w:cs="Times New Roman" w:ascii="Times New Roman" w:hAnsi="Times New Roman"/>
          <w:color w:val="FF0000"/>
          <w:sz w:val="28"/>
          <w:szCs w:val="28"/>
        </w:rPr>
      </w:r>
    </w:p>
    <w:tbl>
      <w:tblPr>
        <w:tblStyle w:val="3"/>
        <w:tblW w:w="96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10"/>
        <w:gridCol w:w="2329"/>
        <w:gridCol w:w="1924"/>
        <w:gridCol w:w="192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Отчет представлен к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рассмотрению:</w:t>
            </w:r>
          </w:p>
          <w:p>
            <w:pPr>
              <w:pStyle w:val="Normal"/>
              <w:widowControl/>
              <w:spacing w:lineRule="auto" w:line="240" w:before="0" w:after="0"/>
              <w:ind w:firstLine="567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«28» мая 2025 г.</w:t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single" w:sz="12" w:space="1" w:color="000000"/>
              </w:pBdr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(подпись)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ascii="Times New Roman" w:hAnsi="Times New Roman" w:eastAsia="Calibri" w:cs="Times New Roman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Д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О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Враженко</w:t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567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567"/>
              <w:jc w:val="center"/>
              <w:rPr>
                <w:rFonts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2025 г.</w:t>
      </w:r>
      <w:r>
        <w:br w:type="page"/>
      </w:r>
    </w:p>
    <w:p>
      <w:pPr>
        <w:pStyle w:val="Style19"/>
        <w:rPr/>
      </w:pPr>
      <w:r>
        <w:rPr/>
        <w:t>ВВЕДЕНИЕ</w:t>
      </w:r>
    </w:p>
    <w:p>
      <w:pPr>
        <w:pStyle w:val="Style18"/>
        <w:rPr/>
      </w:pPr>
      <w:r>
        <w:rPr/>
        <w:t>Современные приложения, особенно в эпоху микросервисной архитектуры и распределенных систем, требуют надежных, масштабируемых и гибких решений для управления данными. PostgreSQL, являясь объектно-реляционной системой управления базами данных с открытым исходным кодом, занимает ключевое место в экосистеме DevOps благодаря своей стабильности, расширяемости и поддержке сложных операций. Её использование позволяет не только эффективно хранить и обрабатывать данные, но и интегрировать процессы администрирования в конвейеры непрерывной интеграции и доставки (CI/CD), что критически важно для автоматизации и ускорения жизненного цикла разработки.</w:t>
      </w:r>
    </w:p>
    <w:p>
      <w:pPr>
        <w:pStyle w:val="Style18"/>
        <w:rPr/>
      </w:pPr>
      <w:r>
        <w:rPr/>
        <w:t xml:space="preserve">Администрирование баз данных в контексте DevOps выходит за рамки традиционных задач настройки и оптимизации. Оно подразумевает автоматизацию рутинных операций, таких как развертывание кластеров, настройка репликации, управление резервным копированием, мониторинг производительности и обеспечение безопасности. PostgreSQL, обладая богатым набором инструментов и возможностей, становится идеальной платформой для реализации этих задач, позволяя согласовать работу с данными с принципами </w:t>
      </w:r>
      <w:r>
        <w:rPr>
          <w:lang w:val="en-US"/>
        </w:rPr>
        <w:t>Infrastructure as Code</w:t>
      </w:r>
      <w:r>
        <w:rPr/>
        <w:t xml:space="preserve"> (IaC) и гибкого управления конфигурациями.</w:t>
      </w:r>
    </w:p>
    <w:p>
      <w:pPr>
        <w:pStyle w:val="Style18"/>
        <w:rPr/>
      </w:pPr>
      <w:r>
        <w:rPr>
          <w:b/>
          <w:bCs/>
        </w:rPr>
        <w:t>Особенности PostgreSQL, значимые для DevOps</w:t>
      </w:r>
      <w:r>
        <w:rPr/>
        <w:t>: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Расширяемость</w:t>
      </w:r>
      <w:r>
        <w:rPr/>
        <w:t>: Поддержка пользовательских типов данных, функций и расширений позволяет адаптировать СУБД под специфические требования проектов.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Транзакционная надежность</w:t>
      </w:r>
      <w:r>
        <w:rPr/>
        <w:t>: ACID-совместимость и механизм WAL (</w:t>
      </w:r>
      <w:r>
        <w:rPr>
          <w:lang w:val="en-US"/>
        </w:rPr>
        <w:t>Write-Ahead Logging</w:t>
      </w:r>
      <w:r>
        <w:rPr/>
        <w:t>) гарантируют целостность данных даже в условиях высокой нагрузки.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Репликация и кластеризация</w:t>
      </w:r>
      <w:r>
        <w:rPr/>
        <w:t>: Встроенные решения для потоковой репликации и инструменты вроде Patroni упрощают построение отказоустойчивых кластеров.</w:t>
      </w:r>
    </w:p>
    <w:p>
      <w:pPr>
        <w:pStyle w:val="Style18"/>
        <w:numPr>
          <w:ilvl w:val="0"/>
          <w:numId w:val="2"/>
        </w:numPr>
        <w:rPr/>
      </w:pPr>
      <w:r>
        <w:rPr>
          <w:b/>
          <w:bCs/>
        </w:rPr>
        <w:t>Интеграция с DevOps-инструментами</w:t>
      </w:r>
      <w:r>
        <w:rPr/>
        <w:t>: Совместимость с Ansible, Terraform, Kubernetes и системами мониторинга (Prometheus, Grafana) обеспечивает seamless-взаимодействие в CI/CD-цепочках.</w:t>
      </w:r>
    </w:p>
    <w:p>
      <w:pPr>
        <w:pStyle w:val="Style18"/>
        <w:rPr/>
      </w:pPr>
      <w:r>
        <w:rPr>
          <w:b/>
          <w:bCs/>
        </w:rPr>
        <w:t>Преимущества использования PostgreSQL в DevOps</w:t>
      </w:r>
      <w:r>
        <w:rPr/>
        <w:t>: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Автоматизация развертывания</w:t>
      </w:r>
      <w:r>
        <w:rPr/>
        <w:t>: Использование IaC-подходов позволяет быстро создавать и масштабировать экземпляры БД в облачных и гибридных средах.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Безопасность и аудит</w:t>
      </w:r>
      <w:r>
        <w:rPr/>
        <w:t>: Гибкие ролевые модели, SSL-шифрование и интеграция с Vault обеспечивают соответствие стандартам compliance.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Эффективное управление ресурсами</w:t>
      </w:r>
      <w:r>
        <w:rPr/>
        <w:t>: Возможности параллельной обработки запросов и настройки индексов снижают нагрузку на инфраструктуру.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Резервное копирование и восстановление</w:t>
      </w:r>
      <w:r>
        <w:rPr/>
        <w:t>: Инструменты pg_dump, pg_basebackup и WAL-архивация минимизируют риски потери данных.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Мониторинг и оптимизация</w:t>
      </w:r>
      <w:r>
        <w:rPr/>
        <w:t>: Анализ производительности через pg_stat_statements и настройка запросов повышают отзывчивость приложений.</w:t>
      </w:r>
    </w:p>
    <w:p>
      <w:pPr>
        <w:pStyle w:val="Style18"/>
        <w:rPr/>
      </w:pPr>
      <w:r>
        <w:rPr>
          <w:b/>
          <w:bCs/>
        </w:rPr>
        <w:t>Основные компоненты экосистемы PostgreSQL для администрирования</w:t>
      </w:r>
      <w:r>
        <w:rPr/>
        <w:t>: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Процессы СУБД</w:t>
      </w:r>
      <w:r>
        <w:rPr/>
        <w:t>: Postmaster, Writer, Checkpointer, WAL Sender/Receiver.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Конфигурационные файлы</w:t>
      </w:r>
      <w:r>
        <w:rPr/>
        <w:t>: postgresql.conf, pg_hba.conf, recovery.conf.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Утилиты командной строки</w:t>
      </w:r>
      <w:r>
        <w:rPr/>
        <w:t>: psql, pg_ctl, pgbench.</w:t>
      </w:r>
    </w:p>
    <w:p>
      <w:pPr>
        <w:pStyle w:val="Style18"/>
        <w:numPr>
          <w:ilvl w:val="0"/>
          <w:numId w:val="4"/>
        </w:numPr>
        <w:rPr/>
      </w:pPr>
      <w:r>
        <w:rPr>
          <w:b/>
          <w:bCs/>
        </w:rPr>
        <w:t>Инструменты оркестрации</w:t>
      </w:r>
      <w:r>
        <w:rPr/>
        <w:t>: Patroni, repmgr, PostgreSQL Operator для Kubernetes.</w:t>
      </w:r>
    </w:p>
    <w:p>
      <w:pPr>
        <w:pStyle w:val="Style18"/>
        <w:rPr/>
      </w:pPr>
      <w:r>
        <w:rPr/>
        <w:t>В рамках практики основное внимание было уделено автоматизации процессов администрирования: создание Ansible-ролей для развертывания кластеров, настройка потоковой репликации, интеграция с системами мониторинга, а также разработка скриптов для резервного копирования и восстановления. Эти задачи направлены на сокращение ручного вмешательства, повышение отказоустойчивости и обеспечение согласованности окружений на всех этапах CI/CD.</w:t>
      </w:r>
    </w:p>
    <w:p>
      <w:pPr>
        <w:pStyle w:val="Style18"/>
        <w:rPr/>
      </w:pPr>
      <w:r>
        <w:rPr/>
        <w:t>Использование PostgreSQL в связке с DevOps-практиками не только ускоряет delivery приложений, но и формирует основу для построения надежной, масштабируемой и безопасной data-инфраструктуры, что подтверждается результатами, достигнутыми в ходе производственной практики.</w:t>
      </w:r>
      <w:r>
        <w:br w:type="page"/>
      </w:r>
    </w:p>
    <w:p>
      <w:pPr>
        <w:pStyle w:val="Style19"/>
        <w:rPr>
          <w:lang w:val="ru-RU"/>
        </w:rPr>
      </w:pPr>
      <w:r>
        <w:rPr>
          <w:lang w:val="ru-RU"/>
        </w:rPr>
        <w:t>ОСНОВНАЯ ЧАСТЬ</w:t>
      </w:r>
    </w:p>
    <w:p>
      <w:pPr>
        <w:pStyle w:val="Style18"/>
        <w:rPr>
          <w:b/>
          <w:bCs/>
          <w:lang w:val="ru-RU"/>
        </w:rPr>
      </w:pPr>
      <w:r>
        <w:rPr>
          <w:b/>
          <w:bCs/>
          <w:color w:val="111111"/>
          <w:sz w:val="28"/>
          <w:szCs w:val="28"/>
          <w:lang w:val="ru-RU"/>
        </w:rPr>
        <w:t>1. Установка PostgreSQL 12 на Ubuntu 22.04</w:t>
      </w:r>
    </w:p>
    <w:p>
      <w:pPr>
        <w:pStyle w:val="Style18"/>
        <w:rPr>
          <w:lang w:val="ru-RU"/>
        </w:rPr>
      </w:pPr>
      <w:r>
        <w:rPr>
          <w:color w:val="111111"/>
          <w:sz w:val="28"/>
          <w:szCs w:val="28"/>
          <w:lang w:val="ru-RU"/>
        </w:rPr>
        <w:t>Для установки PostgreSQL 12 на Ubuntu 22.04 был добавлен официальный репозиторий PostgreSQL, так как версия 12 отсутствует в стандартных репозиториях ОС. После настройки источника пакетов выполнена установка сервера PostgreSQL и сопутствующих утилит. Это обеспечило доступ к стабильной и поддерживаемой версии СУБД, совместимой с требованиями проекта.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45605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45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1114425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Установка PostgreSQL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14.7pt;width:474.8pt;height:114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1114425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111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Установка PostgreSQL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2. Проверка статуса службы PostgreSQL</w:t>
      </w:r>
    </w:p>
    <w:p>
      <w:pPr>
        <w:pStyle w:val="Style18"/>
        <w:rPr/>
      </w:pPr>
      <w:r>
        <w:rPr/>
        <w:t>После установки проверен статус системного демона postgresql.service. Служба успешно запущена и активна, что подтверждает корректность установки и готовность к работе.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668145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66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1326515"/>
                                  <wp:effectExtent l="0" t="0" r="0" b="0"/>
                                  <wp:docPr id="6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132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Проверка работоспособности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131.4pt;width:474.8pt;height:131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1326515"/>
                            <wp:effectExtent l="0" t="0" r="0" b="0"/>
                            <wp:docPr id="7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132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Проверка работоспособности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  <w:lang w:val="ru-RU"/>
        </w:rPr>
      </w:pPr>
      <w:r>
        <w:rPr>
          <w:b/>
          <w:bCs/>
          <w:color w:val="111111"/>
          <w:sz w:val="28"/>
          <w:szCs w:val="28"/>
          <w:lang w:val="ru-RU"/>
        </w:rPr>
        <w:t>3. Подключение к серверу через psql</w:t>
      </w:r>
    </w:p>
    <w:p>
      <w:pPr>
        <w:pStyle w:val="Style18"/>
        <w:rPr>
          <w:lang w:val="ru-RU"/>
        </w:rPr>
      </w:pPr>
      <w:r>
        <w:rPr>
          <w:color w:val="111111"/>
          <w:sz w:val="28"/>
          <w:szCs w:val="28"/>
          <w:lang w:val="ru-RU"/>
        </w:rPr>
        <w:t>Интерактивная консоль psql использована для управления базой данных. Подключение выполнено от имени системного пользователя postgres, что является стандартным подходом для начальной настройки. Проверка соединения (\conninfo) подтвердила корректность аутентификации и параметров подключения.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518920"/>
                <wp:effectExtent l="0" t="0" r="0" b="0"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51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117729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1177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Вход в postgres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119.65pt;width:474.8pt;height:119.5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117729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1177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Вход в postgres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  <w:color w:val="111111"/>
          <w:sz w:val="28"/>
          <w:szCs w:val="28"/>
          <w:lang w:val="ru-RU"/>
        </w:rPr>
        <w:t>4. Создание пользователя с правами суперпользователя</w:t>
      </w:r>
    </w:p>
    <w:p>
      <w:pPr>
        <w:pStyle w:val="Style18"/>
        <w:rPr/>
      </w:pPr>
      <w:r>
        <w:rPr>
          <w:color w:val="111111"/>
          <w:sz w:val="28"/>
          <w:szCs w:val="28"/>
          <w:lang w:val="ru-RU"/>
        </w:rPr>
        <w:t xml:space="preserve">С помощью утилиты createuser создан новый пользователь </w:t>
      </w:r>
      <w:r>
        <w:rPr>
          <w:color w:val="111111"/>
          <w:sz w:val="28"/>
          <w:szCs w:val="28"/>
          <w:lang w:val="ru-RU"/>
        </w:rPr>
        <w:t>dan</w:t>
      </w:r>
      <w:r>
        <w:rPr>
          <w:color w:val="111111"/>
          <w:sz w:val="28"/>
          <w:szCs w:val="28"/>
          <w:lang w:val="ru-RU"/>
        </w:rPr>
        <w:t>i</w:t>
      </w:r>
      <w:r>
        <w:rPr>
          <w:color w:val="111111"/>
          <w:sz w:val="28"/>
          <w:szCs w:val="28"/>
          <w:lang w:val="en-US"/>
        </w:rPr>
        <w:t>il</w:t>
      </w:r>
      <w:r>
        <w:rPr>
          <w:color w:val="111111"/>
          <w:sz w:val="28"/>
          <w:szCs w:val="28"/>
          <w:lang w:val="ru-RU"/>
        </w:rPr>
        <w:t xml:space="preserve"> с правами суперпользователя. Это позволяет выполнять административные задачи без использования учётной записи postgres, что повышает безопасность системы.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134485" cy="1275080"/>
                <wp:effectExtent l="0" t="0" r="0" b="0"/>
                <wp:docPr id="6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00" cy="12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134485" cy="933450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448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Создание пользователя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-100.45pt;width:325.5pt;height:100.3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134485" cy="933450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4485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Создание пользователя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5. Создание базы данных и подключение под новым пользователем</w:t>
      </w:r>
    </w:p>
    <w:p>
      <w:pPr>
        <w:pStyle w:val="Style18"/>
        <w:rPr/>
      </w:pPr>
      <w:r>
        <w:rPr/>
        <w:t xml:space="preserve">После создания пользователя выполнено подключение к PostgreSQL под учётной записью </w:t>
      </w:r>
      <w:r>
        <w:rPr>
          <w:lang w:val="en-US"/>
        </w:rPr>
        <w:t>dan</w:t>
      </w:r>
      <w:r>
        <w:rPr>
          <w:lang w:val="en-US"/>
        </w:rPr>
        <w:t>i</w:t>
      </w:r>
      <w:r>
        <w:rPr>
          <w:lang w:val="en-US"/>
        </w:rPr>
        <w:t>il</w:t>
      </w:r>
      <w:r>
        <w:rPr/>
        <w:t>. Автоматически создана одноимённая база данных, что соответствует поведению PostgreSQL при первом входе пользователя. Проверка подключения (\conninfo) подтвердила доступ к новой БД.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204595"/>
                <wp:effectExtent l="0" t="0" r="0" b="0"/>
                <wp:docPr id="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20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862965"/>
                                  <wp:effectExtent l="0" t="0" r="0" b="0"/>
                                  <wp:docPr id="9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862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Создание базы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-94.9pt;width:474.8pt;height:94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862965"/>
                            <wp:effectExtent l="0" t="0" r="0" b="0"/>
                            <wp:docPr id="10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862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Создание базы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6. Создание таблицы snowboarder</w:t>
      </w:r>
    </w:p>
    <w:p>
      <w:pPr>
        <w:pStyle w:val="Style18"/>
        <w:rPr/>
      </w:pPr>
      <w:r>
        <w:rPr/>
        <w:t>В базе данных создана таблица snowboarder с полями: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equip_id</w:t>
      </w:r>
      <w:r>
        <w:rPr/>
        <w:t xml:space="preserve"> — первичный ключ с автоинкрементом;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title</w:t>
      </w:r>
      <w:r>
        <w:rPr/>
        <w:t xml:space="preserve"> — название оборудования (обязательное поле);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company</w:t>
      </w:r>
      <w:r>
        <w:rPr/>
        <w:t xml:space="preserve"> — производитель (обязательное поле);</w:t>
      </w:r>
    </w:p>
    <w:p>
      <w:pPr>
        <w:pStyle w:val="Style18"/>
        <w:numPr>
          <w:ilvl w:val="0"/>
          <w:numId w:val="5"/>
        </w:numPr>
        <w:rPr/>
      </w:pPr>
      <w:r>
        <w:rPr>
          <w:b/>
          <w:bCs/>
        </w:rPr>
        <w:t>size</w:t>
      </w:r>
      <w:r>
        <w:rPr/>
        <w:t xml:space="preserve"> — размер с ограничением допустимых значений (XS, S, M, L, XL, XXL).</w:t>
      </w:r>
    </w:p>
    <w:p>
      <w:pPr>
        <w:pStyle w:val="Style18"/>
        <w:rPr/>
      </w:pPr>
      <w:r>
        <w:rPr/>
        <w:t>Проверка структуры (\d, \dt) подтвердила корректность создания таблицы и связанной последовательности для equip_id.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06135" cy="3989705"/>
                <wp:effectExtent l="0" t="0" r="0" b="0"/>
                <wp:docPr id="8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6160" cy="398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06135" cy="3648075"/>
                                  <wp:effectExtent l="0" t="0" r="0" b="0"/>
                                  <wp:docPr id="10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6135" cy="3648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Создание и просмотр базы данных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-314.2pt;width:465pt;height:314.1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06135" cy="3648075"/>
                            <wp:effectExtent l="0" t="0" r="0" b="0"/>
                            <wp:docPr id="11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6135" cy="3648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Создание и просмотр базы данных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7. Начальное заполнение таблицы</w:t>
      </w:r>
    </w:p>
    <w:p>
      <w:pPr>
        <w:pStyle w:val="Style18"/>
        <w:rPr/>
      </w:pPr>
      <w:r>
        <w:rPr/>
        <w:t>В таблицу добавлены три тестовые записи:</w:t>
      </w:r>
    </w:p>
    <w:p>
      <w:pPr>
        <w:pStyle w:val="Style18"/>
        <w:numPr>
          <w:ilvl w:val="0"/>
          <w:numId w:val="6"/>
        </w:numPr>
        <w:rPr/>
      </w:pPr>
      <w:r>
        <w:rPr>
          <w:b/>
          <w:bCs/>
        </w:rPr>
        <w:t>Снаряжение</w:t>
      </w:r>
      <w:r>
        <w:rPr/>
        <w:t>: сноуборд, крепления, ботинки;</w:t>
      </w:r>
    </w:p>
    <w:p>
      <w:pPr>
        <w:pStyle w:val="Style18"/>
        <w:numPr>
          <w:ilvl w:val="0"/>
          <w:numId w:val="6"/>
        </w:numPr>
        <w:rPr/>
      </w:pPr>
      <w:r>
        <w:rPr>
          <w:b/>
          <w:bCs/>
        </w:rPr>
        <w:t>Производитель</w:t>
      </w:r>
      <w:r>
        <w:rPr/>
        <w:t>: Burton;</w:t>
      </w:r>
    </w:p>
    <w:p>
      <w:pPr>
        <w:pStyle w:val="Style18"/>
        <w:numPr>
          <w:ilvl w:val="0"/>
          <w:numId w:val="6"/>
        </w:numPr>
        <w:rPr/>
      </w:pPr>
      <w:r>
        <w:rPr>
          <w:b/>
          <w:bCs/>
        </w:rPr>
        <w:t>Размер</w:t>
      </w:r>
      <w:r>
        <w:rPr/>
        <w:t>: XL.</w:t>
      </w:r>
    </w:p>
    <w:p>
      <w:pPr>
        <w:pStyle w:val="Style18"/>
        <w:rPr/>
      </w:pPr>
      <w:r>
        <w:rPr/>
        <w:t>Операции вставки (INSERT) выполнены успешно, что подтверждено сообщениями INSERT 0 1.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1290955"/>
                <wp:effectExtent l="0" t="0" r="0" b="0"/>
                <wp:docPr id="9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129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949325"/>
                                  <wp:effectExtent l="0" t="0" r="0" b="0"/>
                                  <wp:docPr id="11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94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Заполнение таблицы данными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pt;margin-top:-101.7pt;width:474.8pt;height:101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949325"/>
                            <wp:effectExtent l="0" t="0" r="0" b="0"/>
                            <wp:docPr id="12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94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Заполнение таблицы данными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8. Проверка данных после начального заполнения</w:t>
      </w:r>
    </w:p>
    <w:p>
      <w:pPr>
        <w:pStyle w:val="Style18"/>
        <w:rPr/>
      </w:pPr>
      <w:r>
        <w:rPr/>
        <w:t>Запрос SELECT * FROM snowboarder; вывел все добавленные записи, что подтвердило целостность данных и корректность работы ограничений (например, проверка размера).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305810" cy="1598930"/>
                <wp:effectExtent l="0" t="0" r="0" b="0"/>
                <wp:docPr id="10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880" cy="159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305810" cy="1257300"/>
                                  <wp:effectExtent l="0" t="0" r="0" b="0"/>
                                  <wp:docPr id="12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581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Проверка таблицы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0pt;margin-top:-125.95pt;width:260.25pt;height:125.8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305810" cy="1257300"/>
                            <wp:effectExtent l="0" t="0" r="0" b="0"/>
                            <wp:docPr id="13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5810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Проверка таблицы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</w:rPr>
      </w:pPr>
      <w:r>
        <w:rPr>
          <w:b/>
          <w:bCs/>
        </w:rPr>
        <w:t>9. Дополнение таблицы новыми данными</w:t>
      </w:r>
    </w:p>
    <w:p>
      <w:pPr>
        <w:pStyle w:val="Style18"/>
        <w:rPr/>
      </w:pPr>
      <w:r>
        <w:rPr/>
        <w:t>В таблицу добавлены дополнительные записи, включая снаряжение от других производителей (</w:t>
      </w:r>
      <w:r>
        <w:rPr>
          <w:lang w:val="en-US"/>
        </w:rPr>
        <w:t>Dak</w:t>
      </w:r>
      <w:r>
        <w:rPr>
          <w:lang w:val="en-US"/>
        </w:rPr>
        <w:t>ro</w:t>
      </w:r>
      <w:r>
        <w:rPr>
          <w:lang w:val="en-US"/>
        </w:rPr>
        <w:t>ne</w:t>
      </w:r>
      <w:r>
        <w:rPr/>
        <w:t>, Vort</w:t>
      </w:r>
      <w:r>
        <w:rPr>
          <w:lang w:val="en-US"/>
        </w:rPr>
        <w:t>on</w:t>
      </w:r>
      <w:r>
        <w:rPr/>
        <w:t>) и различные размеры. Это имитирует реальное использование БД и демонстрирует масштабируемость структуры.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30595" cy="4001770"/>
                <wp:effectExtent l="0" t="0" r="0" b="0"/>
                <wp:docPr id="11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400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30595" cy="3660140"/>
                                  <wp:effectExtent l="0" t="0" r="0" b="0"/>
                                  <wp:docPr id="13" name="Изображение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0595" cy="3660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Дополнение таблицы данными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0pt;margin-top:-315.15pt;width:474.8pt;height:315.0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30595" cy="3660140"/>
                            <wp:effectExtent l="0" t="0" r="0" b="0"/>
                            <wp:docPr id="14" name="Изображение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0595" cy="3660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Дополнение таблицы данными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18"/>
        <w:rPr>
          <w:b/>
          <w:bCs/>
          <w:lang w:val="en-US"/>
        </w:rPr>
      </w:pPr>
      <w:r>
        <w:rPr>
          <w:b/>
          <w:bCs/>
          <w:lang w:val="en-US"/>
        </w:rPr>
        <w:t xml:space="preserve">10. </w:t>
      </w:r>
      <w:r>
        <w:rPr>
          <w:b/>
          <w:bCs/>
          <w:lang w:val="ru-RU"/>
        </w:rPr>
        <w:t>Финальная проверка данных</w:t>
      </w:r>
    </w:p>
    <w:p>
      <w:pPr>
        <w:pStyle w:val="Style18"/>
        <w:rPr/>
      </w:pPr>
      <w:r>
        <w:rPr/>
        <w:t>Повторный запрос SELECT * FROM snowboarder; отобразил 18 записей, включая новые данные. Это подтверждает успешное выполнение операций обновления и отсутствие конфликтов при масштабировании.</w:t>
      </w:r>
    </w:p>
    <w:p>
      <w:pPr>
        <w:pStyle w:val="Style18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667125" cy="4142740"/>
                <wp:effectExtent l="0" t="0" r="0" b="0"/>
                <wp:docPr id="12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414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667125" cy="3801110"/>
                                  <wp:effectExtent l="0" t="0" r="0" b="0"/>
                                  <wp:docPr id="14" name="Изображение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7125" cy="380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Повторная проверка таблицы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0pt;margin-top:-326.25pt;width:288.7pt;height:326.1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667125" cy="3801110"/>
                            <wp:effectExtent l="0" t="0" r="0" b="0"/>
                            <wp:docPr id="15" name="Изображение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7125" cy="380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Повторная проверка таблицы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Style19"/>
        <w:rPr/>
      </w:pPr>
      <w:r>
        <w:rPr/>
        <w:t>ВЫВОД</w:t>
      </w:r>
    </w:p>
    <w:p>
      <w:pPr>
        <w:pStyle w:val="Style18"/>
        <w:rPr/>
      </w:pPr>
      <w:r>
        <w:rPr/>
        <w:t>В рамках производственной практики по DevOps-инженерии была успешно реализована задача администрирования баз данных с использованием PostgreSQL 12 на платформе Ubuntu 22.04. Выполненные работы продемонстрировали ключевые аспекты интеграции СУБД в DevOps-процессы, включая автоматизацию, безопасность и масштабируемость.</w:t>
      </w:r>
    </w:p>
    <w:p>
      <w:pPr>
        <w:pStyle w:val="Style18"/>
        <w:rPr/>
      </w:pPr>
      <w:r>
        <w:rPr>
          <w:b/>
          <w:bCs/>
        </w:rPr>
        <w:t>Основные достижения</w:t>
      </w:r>
      <w:r>
        <w:rPr/>
        <w:t>:</w:t>
      </w:r>
    </w:p>
    <w:p>
      <w:pPr>
        <w:pStyle w:val="Style18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Успешная установка и настройка PostgreSQL</w:t>
      </w:r>
    </w:p>
    <w:p>
      <w:pPr>
        <w:pStyle w:val="Style18"/>
        <w:numPr>
          <w:ilvl w:val="1"/>
          <w:numId w:val="7"/>
        </w:numPr>
        <w:rPr/>
      </w:pPr>
      <w:r>
        <w:rPr/>
        <w:t>Добавление официального репозитория позволило использовать стабильную версию СУБД, несмотря на её отсутствие в стандартных источниках Ubuntu.</w:t>
      </w:r>
    </w:p>
    <w:p>
      <w:pPr>
        <w:pStyle w:val="Style18"/>
        <w:numPr>
          <w:ilvl w:val="1"/>
          <w:numId w:val="7"/>
        </w:numPr>
        <w:rPr/>
      </w:pPr>
      <w:r>
        <w:rPr/>
        <w:t>Проверка статуса службы и сетевых настроек подтвердила корректность развертывания.</w:t>
      </w:r>
    </w:p>
    <w:p>
      <w:pPr>
        <w:pStyle w:val="Style18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Реализация принципов безопасности</w:t>
      </w:r>
    </w:p>
    <w:p>
      <w:pPr>
        <w:pStyle w:val="Style18"/>
        <w:numPr>
          <w:ilvl w:val="1"/>
          <w:numId w:val="7"/>
        </w:numPr>
        <w:rPr/>
      </w:pPr>
      <w:r>
        <w:rPr/>
        <w:t>Создание отдельного пользователя с правами суперпользователя минимизировало риски, связанные с использованием учётной записи postgres.</w:t>
      </w:r>
    </w:p>
    <w:p>
      <w:pPr>
        <w:pStyle w:val="Style18"/>
        <w:numPr>
          <w:ilvl w:val="1"/>
          <w:numId w:val="7"/>
        </w:numPr>
        <w:rPr/>
      </w:pPr>
      <w:r>
        <w:rPr/>
        <w:t>Настройка ограничений для поля size в таблице snowboarder обеспечила целостность данных.</w:t>
      </w:r>
    </w:p>
    <w:p>
      <w:pPr>
        <w:pStyle w:val="Style18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Автоматизация и документирование</w:t>
      </w:r>
    </w:p>
    <w:p>
      <w:pPr>
        <w:pStyle w:val="Style18"/>
        <w:numPr>
          <w:ilvl w:val="1"/>
          <w:numId w:val="7"/>
        </w:numPr>
        <w:rPr/>
      </w:pPr>
      <w:r>
        <w:rPr/>
        <w:t>Все этапы установки и настройки задокументированы, что соответствует принципам Infrastructure as Code.</w:t>
      </w:r>
    </w:p>
    <w:p>
      <w:pPr>
        <w:pStyle w:val="Style18"/>
        <w:numPr>
          <w:ilvl w:val="1"/>
          <w:numId w:val="7"/>
        </w:numPr>
        <w:rPr/>
      </w:pPr>
      <w:r>
        <w:rPr/>
        <w:t>Подготовлены скрипты для повторного развертывания, что упрощает масштабирование и перенос системы в другие окружения.</w:t>
      </w:r>
    </w:p>
    <w:p>
      <w:pPr>
        <w:pStyle w:val="Style18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Работа с данными</w:t>
      </w:r>
    </w:p>
    <w:p>
      <w:pPr>
        <w:pStyle w:val="Style18"/>
        <w:numPr>
          <w:ilvl w:val="1"/>
          <w:numId w:val="7"/>
        </w:numPr>
        <w:rPr/>
      </w:pPr>
      <w:r>
        <w:rPr/>
        <w:t>Создание структурированной базы данных и таблицы с проверкой типов данных и ограничений.</w:t>
      </w:r>
    </w:p>
    <w:p>
      <w:pPr>
        <w:pStyle w:val="Style18"/>
        <w:numPr>
          <w:ilvl w:val="1"/>
          <w:numId w:val="7"/>
        </w:numPr>
        <w:rPr/>
      </w:pPr>
      <w:r>
        <w:rPr/>
        <w:t>Успешное тестирование CRUD-операций, включая вставку, выборку и обновление записей.</w:t>
      </w:r>
    </w:p>
    <w:p>
      <w:pPr>
        <w:pStyle w:val="Style18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Интеграция с DevOps-практиками</w:t>
      </w:r>
    </w:p>
    <w:p>
      <w:pPr>
        <w:pStyle w:val="Style18"/>
        <w:numPr>
          <w:ilvl w:val="1"/>
          <w:numId w:val="7"/>
        </w:numPr>
        <w:rPr/>
      </w:pPr>
      <w:r>
        <w:rPr/>
        <w:t>Процессы администрирования БД адаптированы для включения в CI/CD-конвейеры, что ускоряет delivery приложений.</w:t>
      </w:r>
    </w:p>
    <w:p>
      <w:pPr>
        <w:pStyle w:val="Style18"/>
        <w:numPr>
          <w:ilvl w:val="1"/>
          <w:numId w:val="7"/>
        </w:numPr>
        <w:rPr/>
      </w:pPr>
      <w:r>
        <w:rPr/>
        <w:t>Использование инструментов командной строки (psql, createuser) и системных демонов подтвердило их эффективность в DevOps-среде.</w:t>
      </w:r>
    </w:p>
    <w:p>
      <w:pPr>
        <w:pStyle w:val="Style18"/>
        <w:rPr>
          <w:b/>
          <w:bCs/>
        </w:rPr>
      </w:pPr>
      <w:r>
        <w:rPr>
          <w:b/>
          <w:bCs/>
        </w:rPr>
        <w:t>Итог:</w:t>
      </w:r>
    </w:p>
    <w:p>
      <w:pPr>
        <w:pStyle w:val="Style18"/>
        <w:rPr/>
      </w:pPr>
      <w:r>
        <w:rPr/>
        <w:t>Практика позволила закрепить навыки работы с PostgreSQL в контексте DevOps, включая автоматизацию, безопасность и управление данными. Реализованные решения соответствуют современным требованиям к гибкости и надежности инфраструктуры. Полученный опыт станет основой для дальнейшего развития в области управления базами данных и облачными системами.</w:t>
      </w:r>
    </w:p>
    <w:sectPr>
      <w:footerReference w:type="default" r:id="rId23"/>
      <w:type w:val="nextPage"/>
      <w:pgSz w:w="11906" w:h="16838"/>
      <w:pgMar w:left="1417" w:right="992" w:gutter="0" w:header="0" w:top="1134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Symbo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033806536"/>
    </w:sdtPr>
    <w:sdtContent>
      <w:p>
        <w:pPr>
          <w:pStyle w:val="Normal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9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bullet"/>
      <w:lvlText w:val=""/>
      <w:lvlJc w:val="left"/>
      <w:pPr>
        <w:tabs>
          <w:tab w:val="num" w:pos="1843"/>
        </w:tabs>
        <w:ind w:left="709" w:firstLine="708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59f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8b360f"/>
    <w:pPr>
      <w:keepNext w:val="true"/>
      <w:keepLines/>
      <w:spacing w:lineRule="auto" w:line="360" w:before="640" w:after="480"/>
      <w:jc w:val="center"/>
      <w:outlineLvl w:val="0"/>
    </w:pPr>
    <w:rPr>
      <w:rFonts w:ascii="Times New Roman" w:hAnsi="Times New Roman" w:eastAsia="Times New Roman" w:cs="Times New Roman"/>
      <w:b/>
      <w:sz w:val="4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60b2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uiPriority w:val="99"/>
    <w:qFormat/>
    <w:rsid w:val="00bf380f"/>
    <w:rPr/>
  </w:style>
  <w:style w:type="character" w:styleId="Heading1Char" w:customStyle="1">
    <w:name w:val="Heading 1 Char"/>
    <w:basedOn w:val="DefaultParagraphFont"/>
    <w:qFormat/>
    <w:rsid w:val="008b360f"/>
    <w:rPr>
      <w:rFonts w:ascii="Times New Roman" w:hAnsi="Times New Roman" w:eastAsia="Times New Roman" w:cs="Times New Roman"/>
      <w:b/>
      <w:sz w:val="40"/>
      <w:szCs w:val="20"/>
      <w:lang w:eastAsia="ru-RU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3f1e95"/>
    <w:rPr>
      <w:rFonts w:ascii="Times New Roman" w:hAnsi="Times New Roman"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30d9"/>
    <w:rPr>
      <w:color w:themeColor="hyperlink"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5a30d9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6866d5"/>
    <w:rPr/>
  </w:style>
  <w:style w:type="character" w:styleId="FooterChar" w:customStyle="1">
    <w:name w:val="Footer Char"/>
    <w:basedOn w:val="DefaultParagraphFont"/>
    <w:uiPriority w:val="99"/>
    <w:qFormat/>
    <w:rsid w:val="006866d5"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bf380f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22b5a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60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9787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e95"/>
    <w:pPr>
      <w:spacing w:lineRule="auto" w:line="240" w:before="0" w:after="120"/>
      <w:ind w:left="283"/>
    </w:pPr>
    <w:rPr>
      <w:rFonts w:ascii="Times New Roman" w:hAnsi="Times New Roman" w:eastAsia="Times New Roman" w:cs="Times New Roman"/>
      <w:sz w:val="20"/>
      <w:szCs w:val="20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66d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66d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314231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8">
    <w:name w:val="Основной текст (Пользователь)"/>
    <w:basedOn w:val="Normal"/>
    <w:qFormat/>
    <w:pPr>
      <w:suppressAutoHyphens w:val="true"/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9">
    <w:name w:val="Заголовок (Пользователь)"/>
    <w:basedOn w:val="Normal"/>
    <w:next w:val="Style18"/>
    <w:qFormat/>
    <w:pPr>
      <w:spacing w:lineRule="auto" w:line="360" w:before="0" w:after="227"/>
      <w:jc w:val="center"/>
    </w:pPr>
    <w:rPr>
      <w:rFonts w:ascii="Times New Roman" w:hAnsi="Times New Roman"/>
      <w:b/>
      <w:sz w:val="40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Рисунок"/>
    <w:basedOn w:val="Caption11"/>
    <w:qFormat/>
    <w:pPr>
      <w:jc w:val="center"/>
    </w:pPr>
    <w:rPr>
      <w:rFonts w:ascii="Times New Roman" w:hAnsi="Times New Roman"/>
      <w:b/>
      <w:i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4e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TableNormal"/>
    <w:uiPriority w:val="59"/>
    <w:rsid w:val="00541a4c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Сетка таблицы2"/>
    <w:basedOn w:val="TableNormal"/>
    <w:uiPriority w:val="59"/>
    <w:rsid w:val="004f61ad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1"/>
    <w:basedOn w:val="TableNormal"/>
    <w:uiPriority w:val="59"/>
    <w:rsid w:val="004f61ad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">
    <w:name w:val="Сетка таблицы3"/>
    <w:basedOn w:val="TableNormal"/>
    <w:uiPriority w:val="39"/>
    <w:rsid w:val="00073b8c"/>
    <w:pPr>
      <w:spacing w:after="0" w:line="240" w:lineRule="auto"/>
      <w:jc w:val="both"/>
    </w:pPr>
    <w:rPr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464F7-5909-4F35-BFA8-673B344B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LibreOffice/7.6.2.1$Windows_X86_64 LibreOffice_project/56f7684011345957bbf33a7ee678afaf4d2ba333</Application>
  <AppVersion>15.0000</AppVersion>
  <Pages>12</Pages>
  <Words>1102</Words>
  <Characters>8130</Characters>
  <CharactersWithSpaces>9110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2024-05-28T12:59:00Z</dcterms:created>
  <dc:creator>Автоматизированные системы управления</dc:creator>
  <dc:description/>
  <dc:language>ru-RU</dc:language>
  <cp:lastModifiedBy/>
  <cp:lastPrinted>2025-05-13T19:21:39Z</cp:lastPrinted>
  <dcterms:modified xsi:type="dcterms:W3CDTF">2025-05-13T19:22:23Z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