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firstRow="1" w:noVBand="1" w:lastRow="0" w:firstColumn="1" w:lastColumn="0" w:noHBand="0" w:val="04a0"/>
      </w:tblPr>
      <w:tblGrid>
        <w:gridCol w:w="9355"/>
      </w:tblGrid>
      <w:tr>
        <w:trPr>
          <w:trHeight w:val="180" w:hRule="atLeast"/>
          <w:cantSplit w:val="true"/>
        </w:trPr>
        <w:tc>
          <w:tcPr>
            <w:tcW w:w="9355" w:type="dxa"/>
            <w:tcBorders/>
          </w:tcPr>
          <w:p>
            <w:pPr>
              <w:pStyle w:val="Normal"/>
              <w:spacing w:lineRule="auto" w:line="360" w:before="60" w:after="0"/>
              <w:jc w:val="center"/>
              <w:rPr>
                <w:rFonts w:ascii="Times New Roman" w:hAnsi="Times New Roman"/>
              </w:rPr>
            </w:pPr>
            <w:r>
              <w:rPr/>
              <w:drawing>
                <wp:inline distT="0" distB="0" distL="0" distR="0">
                  <wp:extent cx="1066800" cy="1066800"/>
                  <wp:effectExtent l="0" t="0" r="0" b="0"/>
                  <wp:docPr id="1" name="Рисунок 3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3" descr="" titl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lineRule="auto" w:line="360" w:before="62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caps/>
              </w:rPr>
              <w:t>МИНОБРНАУКИ РОССИИ</w:t>
            </w:r>
          </w:p>
        </w:tc>
      </w:tr>
      <w:tr>
        <w:trPr>
          <w:trHeight w:val="1417" w:hRule="atLeast"/>
          <w:cantSplit w:val="true"/>
        </w:trPr>
        <w:tc>
          <w:tcPr>
            <w:tcW w:w="9355" w:type="dxa"/>
            <w:tcBorders/>
          </w:tcPr>
          <w:p>
            <w:pPr>
              <w:pStyle w:val="BodyText"/>
              <w:spacing w:lineRule="auto" w:line="216"/>
              <w:ind w:hanging="0"/>
              <w:jc w:val="center"/>
              <w:rPr/>
            </w:pPr>
            <w:r>
              <w:rPr/>
              <w:t>Федеральное государственное бюджетное образовательное учреждение</w:t>
              <w:br/>
              <w:t>высшего образования</w:t>
              <w:br/>
            </w:r>
            <w:r>
              <w:rPr>
                <w:rFonts w:cs="Times New Roman CYR"/>
                <w:b/>
                <w:bCs/>
              </w:rPr>
              <w:t xml:space="preserve">«МИРЭА </w:t>
            </w:r>
            <w:r>
              <w:rPr>
                <w:rFonts w:eastAsia="Symbol" w:cs="Symbol"/>
                <w:b/>
                <w:bCs/>
              </w:rPr>
              <w:t></w:t>
            </w:r>
            <w:r>
              <w:rPr>
                <w:rFonts w:cs="Times New Roman CYR"/>
                <w:b/>
                <w:bCs/>
              </w:rPr>
              <w:t xml:space="preserve"> Российский технологический университет»</w:t>
            </w:r>
          </w:p>
          <w:p>
            <w:pPr>
              <w:pStyle w:val="Normal"/>
              <w:spacing w:lineRule="auto" w:line="36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/>
                <w:b/>
                <w:sz w:val="32"/>
                <w:szCs w:val="32"/>
              </w:rPr>
              <w:t>РТУ МИРЭА</w:t>
            </w:r>
            <w:r>
              <w:rPr>
                <w:rFonts w:cs="Times New Roman" w:ascii="Times New Roman" w:hAnsi="Times New Roman"/>
                <w:b/>
                <w:sz w:val="32"/>
                <w:szCs w:val="32"/>
              </w:rPr>
              <w:t xml:space="preserve"> </w:t>
            </w:r>
            <w:r>
              <w:rPr>
                <w:rFonts w:cs="Times New Roman" w:ascii="Times New Roman" w:hAnsi="Times New Roman"/>
                <w:b/>
                <w:sz w:val="32"/>
                <w:szCs w:val="32"/>
              </w:rPr>
              <mc:AlternateContent>
                <mc:Choice Requires="wps">
                  <w:drawing>
                    <wp:inline distT="0" distB="0" distL="0" distR="0">
                      <wp:extent cx="5600700" cy="1270"/>
                      <wp:effectExtent l="114300" t="0" r="114300" b="0"/>
                      <wp:docPr id="2" name="Прямая соединительная линия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5600880" cy="1440"/>
                              </a:xfrm>
                              <a:prstGeom prst="line">
                                <a:avLst/>
                              </a:prstGeom>
                              <a:ln w="3816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_0" from="0pt,-0.15pt" to="440.95pt,-0.1pt" ID="Прямая соединительная линия 2" stroked="t" o:allowincell="f" style="position:absolute;flip:y;mso-position-vertical:top">
                      <v:stroke color="black" weight="38160" joinstyle="round" endcap="flat"/>
                      <v:fill o:detectmouseclick="t" on="false"/>
                      <w10:wrap type="square"/>
                    </v:line>
                  </w:pict>
                </mc:Fallback>
              </mc:AlternateContent>
            </w:r>
          </w:p>
        </w:tc>
      </w:tr>
    </w:tbl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28"/>
          <w:szCs w:val="28"/>
        </w:rPr>
        <w:t>Институт информационных технологий (ИИТ)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28"/>
          <w:szCs w:val="28"/>
        </w:rPr>
        <w:t>Кафедра информационных технологий в атомной энергетике (ИТАЭ)</w:t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32"/>
          <w:szCs w:val="32"/>
        </w:rPr>
        <w:t>ОТЧЕТ ПО ПРАКТИЧЕСКОЙ РАБОТЕ 2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 w:val="28"/>
          <w:szCs w:val="28"/>
        </w:rPr>
        <w:t>по дисциплине «Автоматизированные системы управления элементами промышленных и административных объектов»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32"/>
          <w:szCs w:val="32"/>
        </w:rPr>
        <w:t>АСУ П по подбору и продаже мультимедиа контента</w:t>
      </w:r>
    </w:p>
    <w:p>
      <w:pPr>
        <w:pStyle w:val="Normal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Style w:val="aff"/>
        <w:tblW w:w="1013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546"/>
        <w:gridCol w:w="4821"/>
        <w:gridCol w:w="1107"/>
        <w:gridCol w:w="557"/>
        <w:gridCol w:w="1106"/>
      </w:tblGrid>
      <w:tr>
        <w:trPr/>
        <w:tc>
          <w:tcPr>
            <w:tcW w:w="254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suppressAutoHyphens w:val="true"/>
              <w:spacing w:before="0" w:after="0"/>
              <w:jc w:val="star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Студент группы</w:t>
            </w:r>
          </w:p>
          <w:p>
            <w:pPr>
              <w:pStyle w:val="Normal"/>
              <w:suppressAutoHyphens w:val="true"/>
              <w:spacing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482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suppressAutoHyphens w:val="true"/>
              <w:spacing w:before="0" w:after="0"/>
              <w:jc w:val="star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i/>
                <w:iCs/>
                <w:sz w:val="28"/>
                <w:lang w:val="ru-RU"/>
              </w:rPr>
              <w:t>ИКБО-50-23, Враженко Д.О.</w:t>
            </w:r>
          </w:p>
        </w:tc>
        <w:tc>
          <w:tcPr>
            <w:tcW w:w="1664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10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/>
        <w:tc>
          <w:tcPr>
            <w:tcW w:w="254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suppressAutoHyphens w:val="true"/>
              <w:spacing w:before="0" w:after="0"/>
              <w:jc w:val="star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Преподаватель</w:t>
            </w:r>
          </w:p>
          <w:p>
            <w:pPr>
              <w:pStyle w:val="Normal"/>
              <w:suppressAutoHyphens w:val="true"/>
              <w:spacing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482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suppressAutoHyphens w:val="true"/>
              <w:spacing w:before="0" w:after="0"/>
              <w:jc w:val="star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i/>
                <w:iCs/>
                <w:sz w:val="28"/>
                <w:lang w:val="ru-RU"/>
              </w:rPr>
              <w:t>Щербаков К.В.</w:t>
            </w:r>
          </w:p>
          <w:p>
            <w:pPr>
              <w:pStyle w:val="Normal"/>
              <w:suppressAutoHyphens w:val="true"/>
              <w:spacing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664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10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/>
        <w:tc>
          <w:tcPr>
            <w:tcW w:w="254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suppressAutoHyphens w:val="true"/>
              <w:spacing w:before="0" w:after="0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star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Отчет представлен</w:t>
            </w:r>
          </w:p>
        </w:tc>
        <w:tc>
          <w:tcPr>
            <w:tcW w:w="5928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star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ind w:firstLine="567"/>
              <w:jc w:val="star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«___»________202__г.</w:t>
            </w:r>
          </w:p>
        </w:tc>
        <w:tc>
          <w:tcPr>
            <w:tcW w:w="1663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sectPr>
          <w:type w:val="nextPage"/>
          <w:pgSz w:w="11906" w:h="16838"/>
          <w:pgMar w:left="1701" w:right="850" w:gutter="0" w:header="0" w:top="1134" w:footer="0" w:bottom="1134"/>
          <w:pgNumType w:fmt="decimal"/>
          <w:formProt w:val="false"/>
          <w:textDirection w:val="lrTb"/>
          <w:docGrid w:type="default" w:linePitch="360" w:charSpace="0"/>
        </w:sect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Cs w:val="28"/>
        </w:rPr>
        <w:t>Москва 2026 г.</w:t>
      </w:r>
    </w:p>
    <w:p>
      <w:pPr>
        <w:pStyle w:val="Heading1"/>
        <w:numPr>
          <w:ilvl w:val="0"/>
          <w:numId w:val="0"/>
        </w:numPr>
        <w:spacing w:before="0" w:after="0"/>
        <w:ind w:hanging="0" w:start="0"/>
        <w:rPr>
          <w:lang w:val="en-US"/>
        </w:rPr>
      </w:pPr>
      <w:r>
        <w:rPr/>
        <w:t>ФУНКЦИОНАЛЬНЫЕ ТРЕБОВАНИЯ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437"/>
        <w:gridCol w:w="4370"/>
        <w:gridCol w:w="5830"/>
        <w:gridCol w:w="3932"/>
      </w:tblGrid>
      <w:tr>
        <w:trPr>
          <w:tblHeader w:val="true"/>
        </w:trPr>
        <w:tc>
          <w:tcPr>
            <w:tcW w:w="43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437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b/>
                <w:bCs/>
              </w:rPr>
            </w:pPr>
            <w:r>
              <w:rPr>
                <w:b/>
                <w:bCs/>
              </w:rPr>
              <w:t>Функциональное требование</w:t>
            </w:r>
          </w:p>
        </w:tc>
        <w:tc>
          <w:tcPr>
            <w:tcW w:w="58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b/>
                <w:bCs/>
              </w:rPr>
            </w:pPr>
            <w:r>
              <w:rPr>
                <w:b/>
                <w:bCs/>
              </w:rPr>
              <w:t>Обоснование (зачем это нужно)</w:t>
            </w:r>
          </w:p>
        </w:tc>
        <w:tc>
          <w:tcPr>
            <w:tcW w:w="393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>
                <w:b/>
                <w:bCs/>
              </w:rPr>
            </w:pPr>
            <w:r>
              <w:rPr>
                <w:b/>
                <w:bCs/>
              </w:rPr>
              <w:t>Примеры реализации / Источники</w:t>
            </w:r>
          </w:p>
        </w:tc>
      </w:tr>
      <w:tr>
        <w:trPr/>
        <w:tc>
          <w:tcPr>
            <w:tcW w:w="14569" w:type="dxa"/>
            <w:gridSpan w:val="4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>
                <w:b/>
                <w:bCs/>
              </w:rPr>
            </w:pPr>
            <w:r>
              <w:rPr>
                <w:b/>
                <w:bCs/>
              </w:rPr>
              <w:t>Подсистема взаимодействия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1.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Прием текстовых запросов на естественном языке в свободной форме.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Пользователь должен иметь возможность общаться с системой так же, как с человеком-менеджером, без необходимости изучения сложного синтаксиса поиска.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Реализовано в поисковых системах (Google, Яндекс), чат-ботах (ChatGPT). [Источник: Анализ интерфейсов современных поисковиков]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2.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Поддержка голосового ввода запросов.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Обеспечение удобства для пользователей мобильных устройств и людей с ограниченными возможностями, расширение каналов ввода.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Реализовано в голосовых помощниках ("Алиса", "Маруся"), приложениях (Shazam). [Источник: Требования к современным мобильным приложениям]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3.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Отображение результатов поиска в виде структурированного списка (карточки контента).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Обеспечение наглядности и удобства восприятия информации. Пользователь должен видеть название, тип, автора, уровень сложности и краткое описание.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Реализовано в интернет-магазинах (Ozon, Wildberries), онлайн-кинотеатрах (Кинопоиск). [Источник: Анализ UI/UX крупных маркетплейсов]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4.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Фильтрация и сортировка выдачи по различным параметрам (тип контента, автор, дата, рейтинг, уровень сложности).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Предоставление пользователю возможности самостоятельно уточнить результаты, если автоматический подбор оказался недостаточно точен.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Реализовано в библиотечных каталогах, системах электронного обучения (Coursera). [Источник: Функциональные требования к ЭБС]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5.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Ведение и отображение истории диалога и предыдущих запросов пользователя в личном кабинете.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Обеспечение контекста для уточняющих запросов, возможность вернуться к ранее найденным материалам без повторного поиска.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Реализовано в мессенджерах (Telegram) и поддержке пользователей (Zendesk). [Источник: CRM-системы, управление взаимодействием с клиентами]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6.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Сохранение выбранного контента в "Избранное" или "Мои материалы".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Реализация персонализации и возможности формирования пользователем собственной библиотеки для последующего доступа.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  <w:p>
            <w:pPr>
              <w:pStyle w:val="Style21"/>
              <w:rPr/>
            </w:pPr>
            <w:r>
              <w:rPr/>
              <w:t>Стандартная функция для всех медиа-платформ (Spotify, YouTube, ЛитРес). [Источник: Анализ функционала стриминговых сервисов]</w:t>
            </w:r>
          </w:p>
          <w:p>
            <w:pPr>
              <w:pStyle w:val="Style21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</w:tr>
      <w:tr>
        <w:trPr/>
        <w:tc>
          <w:tcPr>
            <w:tcW w:w="14569" w:type="dxa"/>
            <w:gridSpan w:val="4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>
                <w:b/>
                <w:bCs/>
              </w:rPr>
            </w:pPr>
            <w:r>
              <w:rPr>
                <w:b/>
                <w:bCs/>
              </w:rPr>
              <w:t>Подсистема семантического анализа на базе корпоративной нейросети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7.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Автоматический семантический анализ и распознавание сущностей из текста запроса.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Преобразование неструктурированной фразы ("хочу изучить Python для начинающих") в структурированные данные: {Тема: "Python", Уровень: "для начинающих", Цель: "изучить"}.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Реализовано в системах обработки естественного языка (BERT, GPT). [Источник: Научные статьи по NLP, материалы конференций по ИИ]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8.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Определение интента (намерения) пользователя на основе запроса и контекста.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Понимание цели запроса: купить, посмотреть, скачать, изучить, прослушать. Это критически важно для корректного подбора типа контента и действий системы.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Реализовано в чат-ботах технической поддержки и виртуальных ассистентах. [Источник: Документация по проектированию диалоговых систем]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9.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Учет контекста предыдущих запросов из истории диалога при анализе текущего запроса.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Обработка уточнений ("нет, мне нужен продвинутый уровень по Go"), когда система должна помнить тему ("Go") и изменить только параметр уровня.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Реализовано в диалоговых системах (Google Duplex). [Источник: Исследования в области многосессионных диалогов]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10.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Обеспечение круглосуточной доступности (24/7) сервиса семантического анализа.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Корпоративная нейросеть работает всегда, в отличие от человека-менеджера. Это главное преимущество автоматизации, обеспечивающее мгновенный ответ в любое время.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Стандартное требование к серверным решениям и облачным сервисам (SLA 99.9%). [Источник: ГОСТ Р ИСО/МЭК 20000-1, требования к доступности ИТ-услуг]</w:t>
            </w:r>
          </w:p>
        </w:tc>
      </w:tr>
      <w:tr>
        <w:trPr/>
        <w:tc>
          <w:tcPr>
            <w:tcW w:w="14569" w:type="dxa"/>
            <w:gridSpan w:val="4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>
                <w:b/>
                <w:bCs/>
              </w:rPr>
            </w:pPr>
            <w:r>
              <w:rPr>
                <w:b/>
                <w:bCs/>
              </w:rPr>
              <w:t>Подсистема управления контентом и поиска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11.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Полнотекстовый поиск по метаданным и содержимому внутренней базы контента.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Обеспечение быстрого и релевантного поиска по всему массиву имеющихся материалов на основе формализованных параметров от нейросети.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Реализовано в системах управления базами данных с поддержкой полнотекстового индекса (Elasticsearch). [Источник: Техническая документация СУБД]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12.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Мультиформатный поиск: одновременный поиск по всем типам контента (книги, видео, аудио).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Пользователю не нужно указывать тип контента, система сама может предложить разные форматы по одной теме, предоставляя выбор.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Реализовано на агрегаторах контента (Google Книги, iTunes). [Источник: Обзор мультимедийных платформ]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13.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Автоматическое определение недостаточности имеющегося контента для удовлетворения запроса.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Если по запросу "Продвинутое машинное обучение на TensorFlow" во внутренней базе ничего нет, система должна это понять и инициировать поиск вовне.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Реализовано в системах рекомендаций для пополнения каталога (Amazon, Netflix). [Источник: Описание работы рекомендательных систем]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14.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Автоматическое формирование поискового запроса и обращение к API внешних источников (партнерские библиотеки, магазины контента).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Автоматизация процесса поиска нового, еще не приобретенного контента, для расширения базы под конкретную потребность пользователя.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Реализовано в системах сравнения цен и агрегаторах товаров (Яндекс.Маркет). [Источник: Принципы работы API-интеграций]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15.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Сбор и нормализация метаданных о внешнем контенте из различных источников.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Приведение информации из разных внешних систем (разные форматы данных) к единому внутреннему формату для удобного отображения пользователю.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Реализовано в ETL-процессах (Extract, Transform, Load) при интеграции данных. [Источник: Курсы по интеграции информационных систем]</w:t>
            </w:r>
          </w:p>
        </w:tc>
      </w:tr>
      <w:tr>
        <w:trPr/>
        <w:tc>
          <w:tcPr>
            <w:tcW w:w="14569" w:type="dxa"/>
            <w:gridSpan w:val="4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>
                <w:b/>
                <w:bCs/>
              </w:rPr>
            </w:pPr>
            <w:r>
              <w:rPr>
                <w:b/>
                <w:bCs/>
              </w:rPr>
              <w:t>Подсистема поддержки принятия решений и управления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16.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Ранжирование (сортировка) результатов поиска по степени релевантности запросу.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Наиболее подходящие материалы должны быть в начале списка, чтобы пользователь не пролистывал сотни нерелевантных позиций.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Реализовано во всех поисковых системах (на основе PageRank, TF-IDF и др.). [Источник: Алгоритмы машинного обучения в информационном поиске]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17.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Персонализация результатов на основе профиля и истории пользователя.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Пользователь, который постоянно слушает подкасты, должен видеть в выдаче подкасты выше, чем длинные видео, даже если формально они равны по релевантности.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Реализовано в рекомендательных системах (Spotify, Netflix). [Источник: Патенты и публикации компаний о персонализации]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18.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Автоматическое создание задачи контент-менеджеру на рассмотрение возможности приобретения нового контента из внешних источников.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Вовлечение человека в процесс на финальной стадии принятия решения о закупке, но без его участия в рутинном поиске и сборе информации.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Реализовано в системах Service Desk и workflow-системах (Jira, Trello). [Источник: Функциональные требования к системам автоматизации бизнес-процессов]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19.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Учет прав доступа и лицензий на контент при выдаче результатов.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Система не должна предлагать пользователю контент, на который у организации нет прав для его предоставления данному пользователю.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Реализовано в системах управления цифровыми правами (DRM) и корпоративных библиотеках. [Источник: Требования информационной безопасности]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20.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Логирование всех действий системы и запросов пользователей для последующего анализа и дообучения нейросети.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Сбор данных о том, как пользователи формулируют запросы, на что они кликают, какие результаты считают хорошими. Это необходимо для улучшения работы нейросети.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Реализовано в системах сбора логов и аналитики (ELK stack, Splunk). [Источник: Методологии Data-Driven Development]</w:t>
            </w:r>
          </w:p>
        </w:tc>
      </w:tr>
    </w:tbl>
    <w:p>
      <w:pPr>
        <w:pStyle w:val="Heading1"/>
        <w:numPr>
          <w:ilvl w:val="0"/>
          <w:numId w:val="0"/>
        </w:numPr>
        <w:spacing w:before="0" w:after="0"/>
        <w:ind w:hanging="0" w:start="0"/>
        <w:rPr/>
      </w:pPr>
      <w:r>
        <w:rPr/>
        <w:t>НЕФУНКЦИОНАЛЬНЫЕ ТРЕБОВАНИЯ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437"/>
        <w:gridCol w:w="4370"/>
        <w:gridCol w:w="5830"/>
        <w:gridCol w:w="3932"/>
      </w:tblGrid>
      <w:tr>
        <w:trPr>
          <w:tblHeader w:val="true"/>
        </w:trPr>
        <w:tc>
          <w:tcPr>
            <w:tcW w:w="43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437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b/>
                <w:bCs/>
              </w:rPr>
            </w:pPr>
            <w:r>
              <w:rPr>
                <w:b/>
                <w:bCs/>
              </w:rPr>
              <w:t>Нефункциональное требование (категория)</w:t>
            </w:r>
          </w:p>
        </w:tc>
        <w:tc>
          <w:tcPr>
            <w:tcW w:w="58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b/>
                <w:bCs/>
              </w:rPr>
            </w:pPr>
            <w:r>
              <w:rPr>
                <w:b/>
                <w:bCs/>
              </w:rPr>
              <w:t>Обоснование (зачем это нужно)</w:t>
            </w:r>
          </w:p>
        </w:tc>
        <w:tc>
          <w:tcPr>
            <w:tcW w:w="393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>
                <w:b/>
                <w:bCs/>
              </w:rPr>
            </w:pPr>
            <w:r>
              <w:rPr>
                <w:b/>
                <w:bCs/>
              </w:rPr>
              <w:t>Примеры реализации / Источники</w:t>
            </w:r>
          </w:p>
        </w:tc>
      </w:tr>
      <w:tr>
        <w:trPr/>
        <w:tc>
          <w:tcPr>
            <w:tcW w:w="14569" w:type="dxa"/>
            <w:gridSpan w:val="4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>
                <w:b/>
                <w:bCs/>
              </w:rPr>
            </w:pPr>
            <w:r>
              <w:rPr>
                <w:b/>
                <w:bCs/>
              </w:rPr>
              <w:t>Производительность и надежность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1.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Время обработки типового запроса и выдачи результата не должно превышать 2 секунд.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Пользователи ожидают мгновенного ответа от автоматизированной системы. Длительное ожидание приведет к негативному опыту и отказу от использования.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Стандарты производительности веб-приложений (Google Core Web Vitals). [Источник: Исследования юзабилити, стандарты производительности]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2.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Коэффициент готовности системы (доступность) должен быть не ниже 99.5% (не более 3.5 часов простоя в месяц).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Система является корпоративным сервисом и должна быть доступна практически всегда, заменяя человека 24/7. Длительные простои недопустимы.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Стандарт для коммерческих SaaS-решений (SLA). [Источник: ГОСТ Р ИСО/МЭК 20000-1]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3.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Система должна обеспечивать одновременную работу не менее 1000 активных пользователей без деградации производительности.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На начальном этапе эксплуатации необходимо заложить запас прочности, чтобы выдержать пиковые нагрузки и рост числа пользователей.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Требования к нагрузочному тестированию. [Источник: Типовые требования к высоконагруженным системам]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4.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Время восстановления после сбоя (RTO - Recovery Time Objective) не должно превышать 1 часа.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В случае аварии (падение сервера, ошибка в коде) система должна быть быстро возвращена в строй, чтобы минимизировать ущерб от простоя.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Стандарты в области обеспечения непрерывности бизнеса (BCM). [Источник: ISO 22301]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5.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Система должна корректно обрабатывать пиковые нагрузки (например, начало учебного года) без потери запросов (должна быть предусмотрена автоматическая масштабируемость).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Обеспечение стабильной работы в периоды, когда количество запросов резко возрастает.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Принципы построения облачных архитектур (AWS Auto Scaling). [Источник: Архитектуры распределенных систем]</w:t>
            </w:r>
          </w:p>
        </w:tc>
      </w:tr>
      <w:tr>
        <w:trPr/>
        <w:tc>
          <w:tcPr>
            <w:tcW w:w="14569" w:type="dxa"/>
            <w:gridSpan w:val="4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>
                <w:b/>
                <w:bCs/>
              </w:rPr>
            </w:pPr>
            <w:r>
              <w:rPr>
                <w:b/>
                <w:bCs/>
              </w:rPr>
              <w:t>Безопасность и конфиденциальность</w:t>
            </w:r>
          </w:p>
        </w:tc>
      </w:tr>
      <w:tr>
        <w:trPr/>
        <w:tc>
          <w:tcPr>
            <w:tcW w:w="43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6.</w:t>
            </w:r>
          </w:p>
        </w:tc>
        <w:tc>
          <w:tcPr>
            <w:tcW w:w="437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Передача всех данных между клиентом и сервером должна осуществляться по протоколу HTTPS с шифрованием TLS 1.3.</w:t>
            </w:r>
          </w:p>
        </w:tc>
        <w:tc>
          <w:tcPr>
            <w:tcW w:w="583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Защита персональных данных пользователей и истории их запросов от перехвата в публичных сетях.</w:t>
            </w:r>
          </w:p>
        </w:tc>
        <w:tc>
          <w:tcPr>
            <w:tcW w:w="393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Закон "О персональных данных" (ФЗ-152), стандарты безопасности ПДн. [Источник: ФЗ-152, ГОСТ 34.10]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7.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Доступ к модели нейросети и данным для ее обучения должен быть строго ограничен на уровне инфраструктуры.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Корпоративная нейросеть является интеллектуальной собственностью компании. Необходимо защитить ее от кражи или несанкционированного доступа.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Стандарты управления доступом (RBAC - Role-Based Access Control). [Источник: ИСО/МЭК 27001]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8.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Система должна обеспечивать разграничение прав доступа для разных ролей пользователей (пользователь, контент-менеджер, администратор).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Предотвращение случайных или намеренных изменений в системе неавторизованными лицами. Контент-менеджер не должен иметь доступ к настройке нейросети.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Стандартный подход к проектированию корпоративных систем. [Источник: Требования к АСУ различного уровня]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9.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Аутентификация пользователей должна быть надежной (например, с поддержкой двухфакторной аутентификации для сотрудников).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Снижение риска компрометации учетных записей пользователей и получения доступа к истории их запросов или (для сотрудников) к управлению системой.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Рекомендации ФСТЭК и Минцифры по безопасности веб-приложений. [Источник: Методики оценки угроз безопасности]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10.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Система должна обеспечивать невозможность восстановления персональных данных пользователя из обезличенных логов для аналитики.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Выполнение требований по обезличиванию ПДн при их обработке для улучшения качества сервиса.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[Источник: Разъяснения Роскомнадзора по обезличиванию данных]</w:t>
            </w:r>
          </w:p>
        </w:tc>
      </w:tr>
      <w:tr>
        <w:trPr/>
        <w:tc>
          <w:tcPr>
            <w:tcW w:w="14569" w:type="dxa"/>
            <w:gridSpan w:val="4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>
                <w:b/>
                <w:bCs/>
              </w:rPr>
            </w:pPr>
            <w:r>
              <w:rPr>
                <w:b/>
                <w:bCs/>
              </w:rPr>
              <w:t>Удобство использования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11.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Интерфейс системы должен быть интуитивно понятным и не требовать от пользователя предварительного обучения.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Система должна быть доступна широкому кругу пользователей с разным уровнем цифровой грамотности.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Эвристики Якоба Нильсена. [Источник: Книги и статьи по юзабилити]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12.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Интерфейс должен быть адаптивным (responsive) и корректно отображаться на всех типах устройств (ПК, планшет, смартфон).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Пользователи могут обращаться к системе с любых устройств, интерфейс должен подстраиваться под размер экрана.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Требования к современной веб-разработке. [Источник: Best practices frontend-разработки]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13.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Система должна предоставлять пользователю понятные сообщения об ошибках (например, "Ничего не найдено по вашему запросу, попробуйте изменить формулировку").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Сообщения типа "Error 500" пугают и дезориентируют пользователя. Система должна "человеческим" языком объяснять, что пошло не так.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[Источник: Стандарты проектирования пользовательского опыта]</w:t>
            </w:r>
          </w:p>
        </w:tc>
      </w:tr>
      <w:tr>
        <w:trPr/>
        <w:tc>
          <w:tcPr>
            <w:tcW w:w="14569" w:type="dxa"/>
            <w:gridSpan w:val="4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>
                <w:b/>
                <w:bCs/>
              </w:rPr>
            </w:pPr>
            <w:r>
              <w:rPr>
                <w:b/>
                <w:bCs/>
              </w:rPr>
              <w:t>Технологические и архитектурные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14.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  <w:p>
            <w:pPr>
              <w:pStyle w:val="Style21"/>
              <w:rPr/>
            </w:pPr>
            <w:r>
              <w:rPr/>
              <w:t>Модель нейросети должна быть развернута в контейнеризированной среде (например, Docker) для обеспечения воспроизводимости и простоты обновления.</w:t>
            </w:r>
          </w:p>
          <w:p>
            <w:pPr>
              <w:pStyle w:val="Style21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Упрощение процесса развертывания новых версий модели, обеспечение независимости от окружения на сервере.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Современные практики DevOps и MLOps. [Источник: Документация Docker, Kubernetes]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15.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Система должна быть построена по микросервисной архитектуре для обеспечения независимости компонентов (анализ, поиск, интеграция).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Отказ одного микросервиса (например, внешнего поиска) не должен приводить к остановке всей системы (внутренний поиск продолжит работать). Легче масштабировать и обновлять компоненты по отдельности.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[Источник: "Микросервисы" Мартина Фаулера, паттерны архитектуры ПО]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16.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API для взаимодействия с внешними источниками контента должны быть стандартизированы (REST/gRPC).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Упрощение процесса подключения новых внешних источников в будущем.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[Источник: Принципы проектирования Web API]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17.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Система должна вести подробное логирование всех внутренних операций для последующего анализа инцидентов и производительности.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Невозможно отладить работу сложной системы без детальных логов. Это требование для эксплуатации.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[Источник: Практики Site Reliability Engineering (SRE)]</w:t>
            </w:r>
          </w:p>
        </w:tc>
      </w:tr>
      <w:tr>
        <w:trPr/>
        <w:tc>
          <w:tcPr>
            <w:tcW w:w="14569" w:type="dxa"/>
            <w:gridSpan w:val="4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>
                <w:b/>
                <w:bCs/>
              </w:rPr>
            </w:pPr>
            <w:r>
              <w:rPr>
                <w:b/>
                <w:bCs/>
              </w:rPr>
              <w:t>Правовые и нормативные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18.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Хранение и обработка персональных данных пользователей (ФИО, email, история запросов) должны осуществляться на серверах, расположенных на территории РФ.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Выполнение требования федерального закона № 242-ФЗ о локализации баз данных персональных данных.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[Источник: Федеральный закон №242-ФЗ]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19.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Весь контент, предоставляемый пользователям, должен распространяться в соответствии с лицензионными договорами, система должна вести их учет.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Соблюдение авторских прав, предотвращение судебных исков и претензий от правообладателей.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[Источник: Гражданский кодекс РФ, Часть 4]</w:t>
            </w:r>
          </w:p>
        </w:tc>
      </w:tr>
      <w:tr>
        <w:trPr/>
        <w:tc>
          <w:tcPr>
            <w:tcW w:w="14569" w:type="dxa"/>
            <w:gridSpan w:val="4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>
                <w:b/>
                <w:bCs/>
              </w:rPr>
            </w:pPr>
            <w:r>
              <w:rPr>
                <w:b/>
                <w:bCs/>
              </w:rPr>
              <w:t>Эргономические</w:t>
            </w:r>
          </w:p>
        </w:tc>
      </w:tr>
      <w:tr>
        <w:trPr/>
        <w:tc>
          <w:tcPr>
            <w:tcW w:w="437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20.</w:t>
            </w:r>
          </w:p>
        </w:tc>
        <w:tc>
          <w:tcPr>
            <w:tcW w:w="437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Цветовая гамма и элементы интерфейса не должны вызывать быстрого утомления при длительной работе; рекомендуется использование светлого и темного режимов.</w:t>
            </w:r>
          </w:p>
        </w:tc>
        <w:tc>
          <w:tcPr>
            <w:tcW w:w="583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Обеспечение комфорта пользователей, которые могут проводить в системе много времени (например, студенты за подбором материалов для курсовой).</w:t>
            </w:r>
          </w:p>
        </w:tc>
        <w:tc>
          <w:tcPr>
            <w:tcW w:w="393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1"/>
              <w:rPr/>
            </w:pPr>
            <w:r>
              <w:rPr/>
              <w:t>СанПиН 1.2.3685-21 "Гигиенические нормативы...", стандарты WCAG. [Источник: СанПиН 1.2.3685-21]</w:t>
            </w:r>
          </w:p>
        </w:tc>
      </w:tr>
    </w:tbl>
    <w:p>
      <w:pPr>
        <w:pStyle w:val="Normal"/>
        <w:rPr/>
      </w:pPr>
      <w:r>
        <w:rPr/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Tahoma">
    <w:charset w:val="cc" w:characterSet="windows-1251"/>
    <w:family w:val="swiss"/>
    <w:pitch w:val="variable"/>
  </w:font>
  <w:font w:name="OpenSymbol">
    <w:altName w:val="Arial Unicode MS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Courier New">
    <w:charset w:val="cc" w:characterSet="windows-125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53e07"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Droid Sans Fallback" w:cs="Free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Title"/>
    <w:next w:val="BodyText"/>
    <w:qFormat/>
    <w:pPr>
      <w:numPr>
        <w:ilvl w:val="0"/>
        <w:numId w:val="1"/>
      </w:numPr>
      <w:suppressLineNumbers/>
      <w:spacing w:lineRule="auto" w:line="360" w:before="0" w:after="0"/>
      <w:jc w:val="center"/>
      <w:outlineLvl w:val="0"/>
    </w:pPr>
    <w:rPr>
      <w:rFonts w:ascii="Times New Roman" w:hAnsi="Times New Roman"/>
      <w:b/>
      <w:bCs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1"/>
      </w:numPr>
      <w:spacing w:lineRule="auto" w:line="360" w:before="0" w:after="0"/>
      <w:ind w:firstLine="709"/>
      <w:outlineLvl w:val="1"/>
    </w:pPr>
    <w:rPr>
      <w:rFonts w:ascii="Times New Roman" w:hAnsi="Times New Roman"/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2" w:customStyle="1">
    <w:name w:val="Основной текст Знак"/>
    <w:basedOn w:val="DefaultParagraphFont"/>
    <w:semiHidden/>
    <w:qFormat/>
    <w:rsid w:val="00845a09"/>
    <w:rPr>
      <w:rFonts w:ascii="Liberation Serif" w:hAnsi="Liberation Serif" w:eastAsia="Droid Sans Fallback" w:cs="FreeSans"/>
      <w:kern w:val="2"/>
      <w:sz w:val="24"/>
      <w:szCs w:val="24"/>
      <w:lang w:eastAsia="zh-CN" w:bidi="hi-IN"/>
    </w:rPr>
  </w:style>
  <w:style w:type="character" w:styleId="4" w:customStyle="1">
    <w:name w:val="Основной текст (4)_"/>
    <w:basedOn w:val="DefaultParagraphFont"/>
    <w:qFormat/>
    <w:locked/>
    <w:rsid w:val="0084261a"/>
    <w:rPr>
      <w:rFonts w:ascii="Times New Roman" w:hAnsi="Times New Roman" w:eastAsia="Times New Roman" w:cs="Times New Roman"/>
      <w:shd w:fill="FFFFFF" w:val="clear"/>
    </w:rPr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c46684"/>
    <w:rPr>
      <w:rFonts w:ascii="Tahoma" w:hAnsi="Tahoma" w:eastAsia="Droid Sans Fallback" w:cs="Mangal"/>
      <w:kern w:val="2"/>
      <w:sz w:val="16"/>
      <w:szCs w:val="14"/>
      <w:lang w:eastAsia="zh-CN" w:bidi="hi-IN"/>
    </w:rPr>
  </w:style>
  <w:style w:type="character" w:styleId="Style14" w:customStyle="1">
    <w:name w:val="Символ нумерации"/>
    <w:qFormat/>
    <w:rPr/>
  </w:style>
  <w:style w:type="character" w:styleId="user" w:customStyle="1">
    <w:name w:val="Маркеры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tyle15" w:customStyle="1">
    <w:name w:val="Маркеры"/>
    <w:qFormat/>
    <w:rPr>
      <w:rFonts w:ascii="OpenSymbol" w:hAnsi="OpenSymbol" w:eastAsia="OpenSymbol" w:cs="OpenSymbol"/>
    </w:rPr>
  </w:style>
  <w:style w:type="character" w:styleId="user1" w:customStyle="1">
    <w:name w:val="Символ нумерации (user)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2"/>
    <w:semiHidden/>
    <w:unhideWhenUsed/>
    <w:rsid w:val="00845a09"/>
    <w:pPr>
      <w:spacing w:lineRule="auto" w:line="360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styleId="Style17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 w:customStyle="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 w:customStyle="1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a272ee"/>
    <w:pPr>
      <w:spacing w:before="0" w:after="0"/>
      <w:ind w:start="720"/>
      <w:contextualSpacing/>
    </w:pPr>
    <w:rPr>
      <w:rFonts w:cs="Mangal"/>
      <w:szCs w:val="21"/>
    </w:rPr>
  </w:style>
  <w:style w:type="paragraph" w:styleId="NormalWeb">
    <w:name w:val="Normal (Web)"/>
    <w:basedOn w:val="Normal"/>
    <w:uiPriority w:val="99"/>
    <w:semiHidden/>
    <w:unhideWhenUsed/>
    <w:qFormat/>
    <w:rsid w:val="00367bf0"/>
    <w:pPr>
      <w:widowControl/>
      <w:suppressAutoHyphens w:val="false"/>
      <w:spacing w:beforeAutospacing="1" w:afterAutospacing="1"/>
    </w:pPr>
    <w:rPr>
      <w:rFonts w:ascii="Times New Roman" w:hAnsi="Times New Roman" w:eastAsia="Times New Roman" w:cs="Times New Roman"/>
      <w:kern w:val="0"/>
      <w:lang w:eastAsia="ru-RU" w:bidi="ar-SA"/>
    </w:rPr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c46684"/>
    <w:pPr/>
    <w:rPr>
      <w:rFonts w:ascii="Tahoma" w:hAnsi="Tahoma" w:cs="Mangal"/>
      <w:sz w:val="16"/>
      <w:szCs w:val="14"/>
    </w:rPr>
  </w:style>
  <w:style w:type="paragraph" w:styleId="Style18" w:customStyle="1">
    <w:name w:val="Рисунок"/>
    <w:basedOn w:val="Caption"/>
    <w:qFormat/>
    <w:pPr>
      <w:keepLines/>
      <w:spacing w:before="0" w:after="119"/>
      <w:jc w:val="center"/>
    </w:pPr>
    <w:rPr>
      <w:rFonts w:ascii="Times New Roman" w:hAnsi="Times New Roman"/>
      <w:i w:val="false"/>
      <w:sz w:val="28"/>
    </w:rPr>
  </w:style>
  <w:style w:type="paragraph" w:styleId="user4" w:customStyle="1">
    <w:name w:val="Содержимое врезки (user)"/>
    <w:basedOn w:val="Normal"/>
    <w:qFormat/>
    <w:pPr/>
    <w:rPr/>
  </w:style>
  <w:style w:type="paragraph" w:styleId="user5" w:customStyle="1">
    <w:name w:val="Рисунок (user)"/>
    <w:basedOn w:val="Caption"/>
    <w:qFormat/>
    <w:pPr/>
    <w:rPr/>
  </w:style>
  <w:style w:type="paragraph" w:styleId="Style19" w:customStyle="1">
    <w:name w:val="Содержимое врезки"/>
    <w:basedOn w:val="Normal"/>
    <w:qFormat/>
    <w:pPr/>
    <w:rPr/>
  </w:style>
  <w:style w:type="paragraph" w:styleId="Style20" w:customStyle="1">
    <w:name w:val="Таблица"/>
    <w:basedOn w:val="Caption"/>
    <w:qFormat/>
    <w:pPr/>
    <w:rPr>
      <w:rFonts w:ascii="Times New Roman" w:hAnsi="Times New Roman"/>
    </w:rPr>
  </w:style>
  <w:style w:type="paragraph" w:styleId="Style21" w:customStyle="1">
    <w:name w:val="Содержимое таблицы"/>
    <w:basedOn w:val="Normal"/>
    <w:qFormat/>
    <w:pPr>
      <w:suppressLineNumbers/>
    </w:pPr>
    <w:rPr>
      <w:rFonts w:ascii="Times New Roman" w:hAnsi="Times New Roman"/>
    </w:rPr>
  </w:style>
  <w:style w:type="paragraph" w:styleId="Style22" w:customStyle="1">
    <w:name w:val="Заголовок таблицы"/>
    <w:basedOn w:val="Style21"/>
    <w:qFormat/>
    <w:pPr>
      <w:jc w:val="center"/>
    </w:pPr>
    <w:rPr>
      <w:b/>
      <w:bCs/>
    </w:rPr>
  </w:style>
  <w:style w:type="paragraph" w:styleId="user6" w:customStyle="1">
    <w:name w:val="Содержимое таблицы (user)"/>
    <w:basedOn w:val="Normal"/>
    <w:qFormat/>
    <w:pPr>
      <w:suppressLineNumbers/>
    </w:pPr>
    <w:rPr>
      <w:rFonts w:ascii="Times New Roman" w:hAnsi="Times New Roman"/>
    </w:rPr>
  </w:style>
  <w:style w:type="paragraph" w:styleId="user7" w:customStyle="1">
    <w:name w:val="Заголовок таблицы (user)"/>
    <w:basedOn w:val="user6"/>
    <w:qFormat/>
    <w:pPr>
      <w:jc w:val="center"/>
    </w:pPr>
    <w:rPr>
      <w:b/>
      <w:bCs/>
    </w:rPr>
  </w:style>
  <w:style w:type="paragraph" w:styleId="user8" w:customStyle="1">
    <w:name w:val="Таблица (user)"/>
    <w:basedOn w:val="Caption"/>
    <w:qFormat/>
    <w:pPr>
      <w:spacing w:before="57" w:after="57"/>
    </w:pPr>
    <w:rPr>
      <w:rFonts w:ascii="Times New Roman" w:hAnsi="Times New Roman"/>
    </w:rPr>
  </w:style>
  <w:style w:type="paragraph" w:styleId="Subtitle">
    <w:name w:val="Subtitle"/>
    <w:basedOn w:val="Title"/>
    <w:next w:val="BodyText"/>
    <w:qFormat/>
    <w:pPr>
      <w:spacing w:lineRule="auto" w:line="360" w:before="0" w:after="0"/>
      <w:ind w:firstLine="709"/>
      <w:jc w:val="both"/>
    </w:pPr>
    <w:rPr>
      <w:rFonts w:ascii="Times New Roman" w:hAnsi="Times New Roman"/>
      <w:szCs w:val="36"/>
    </w:rPr>
  </w:style>
  <w:style w:type="paragraph" w:styleId="Style23" w:customStyle="1">
    <w:name w:val="Фотография"/>
    <w:basedOn w:val="Normal"/>
    <w:next w:val="Style28"/>
    <w:qFormat/>
    <w:pPr>
      <w:keepNext w:val="true"/>
      <w:keepLines/>
      <w:jc w:val="center"/>
    </w:pPr>
    <w:rPr>
      <w:rFonts w:ascii="Times New Roman" w:hAnsi="Times New Roman"/>
      <w:sz w:val="28"/>
    </w:rPr>
  </w:style>
  <w:style w:type="paragraph" w:styleId="Style24" w:customStyle="1">
    <w:name w:val="Табличный текст"/>
    <w:basedOn w:val="Normal"/>
    <w:qFormat/>
    <w:pPr/>
    <w:rPr>
      <w:rFonts w:ascii="Times New Roman" w:hAnsi="Times New Roman"/>
      <w:sz w:val="28"/>
    </w:rPr>
  </w:style>
  <w:style w:type="paragraph" w:styleId="Style25" w:customStyle="1">
    <w:name w:val="Загаловок_задание"/>
    <w:basedOn w:val="BodyText"/>
    <w:next w:val="BodyText"/>
    <w:qFormat/>
    <w:pPr>
      <w:keepNext w:val="true"/>
      <w:keepLines/>
    </w:pPr>
    <w:rPr>
      <w:b/>
    </w:rPr>
  </w:style>
  <w:style w:type="paragraph" w:styleId="Style26" w:customStyle="1">
    <w:name w:val="Листинг"/>
    <w:basedOn w:val="Caption"/>
    <w:qFormat/>
    <w:pPr>
      <w:keepNext w:val="true"/>
    </w:pPr>
    <w:rPr>
      <w:rFonts w:ascii="Times New Roman" w:hAnsi="Times New Roman"/>
      <w:sz w:val="28"/>
    </w:rPr>
  </w:style>
  <w:style w:type="paragraph" w:styleId="Style27" w:customStyle="1">
    <w:name w:val="Текст листинга"/>
    <w:basedOn w:val="Style21"/>
    <w:qFormat/>
    <w:pPr/>
    <w:rPr>
      <w:rFonts w:ascii="Courier New" w:hAnsi="Courier New"/>
      <w:sz w:val="20"/>
    </w:rPr>
  </w:style>
  <w:style w:type="paragraph" w:styleId="user9" w:customStyle="1">
    <w:name w:val="Фигура (user)"/>
    <w:basedOn w:val="Caption"/>
    <w:qFormat/>
    <w:pPr/>
    <w:rPr/>
  </w:style>
  <w:style w:type="paragraph" w:styleId="Style28" w:customStyle="1">
    <w:name w:val="Название фотографии"/>
    <w:basedOn w:val="Style23"/>
    <w:next w:val="BodyText"/>
    <w:qFormat/>
    <w:pPr>
      <w:spacing w:before="0" w:after="85"/>
    </w:pPr>
    <w:rPr/>
  </w:style>
  <w:style w:type="numbering" w:styleId="user10" w:default="1">
    <w:name w:val="Без списка (user)"/>
    <w:uiPriority w:val="99"/>
    <w:semiHidden/>
    <w:unhideWhenUsed/>
    <w:qFormat/>
  </w:style>
  <w:style w:type="numbering" w:styleId="Style29" w:customStyle="1">
    <w:name w:val="Без списка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">
    <w:name w:val="Table Grid"/>
    <w:basedOn w:val="a3"/>
    <w:uiPriority w:val="59"/>
    <w:rsid w:val="00845a09"/>
    <w:pPr>
      <w:jc w:val="both"/>
    </w:pPr>
    <w:rPr>
      <w:sz w:val="28"/>
      <w:szCs w:val="2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6441</TotalTime>
  <Application>LibreOffice/25.2.7.2$Windows_X86_64 LibreOffice_project/5cbfd1ab6520636bb5f7b99185aa69bd7456825d</Application>
  <AppVersion>15.0000</AppVersion>
  <Pages>7</Pages>
  <Words>1754</Words>
  <Characters>13160</Characters>
  <CharactersWithSpaces>14719</CharactersWithSpaces>
  <Paragraphs>198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2025-11-16T22:15:43Z</dcterms:created>
  <dc:creator/>
  <dc:description/>
  <dc:language>ru-RU</dc:language>
  <cp:lastModifiedBy/>
  <cp:lastPrinted>2026-02-19T23:58:03Z</cp:lastPrinted>
  <dcterms:modified xsi:type="dcterms:W3CDTF">2026-02-27T13:29:41Z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