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firstRow="1" w:noVBand="1" w:lastRow="0" w:firstColumn="1" w:lastColumn="0" w:noHBand="0"/>
      </w:tblPr>
      <w:tblGrid>
        <w:gridCol w:w="9639"/>
      </w:tblGrid>
      <w:tr>
        <w:trPr>
          <w:trHeight w:val="180" w:hRule="atLeast"/>
          <w:cantSplit/>
        </w:trPr>
        <w:tc>
          <w:tcPr>
            <w:tcW w:w="9639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/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/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/>
        </w:trPr>
        <w:tc>
          <w:tcPr>
            <w:tcW w:w="9639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/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</w:rPr>
              <w:t xml:space="preserve">«МИРЭА </w:t>
            </w:r>
            <w:r>
              <w:rPr>
                <w:rFonts w:eastAsia="Symbol" w:cs="Symbol"/>
                <w:b/>
                <w:bCs/>
              </w:rPr>
              <w:t>–</w:t>
            </w:r>
            <w:r>
              <w:rPr>
                <w:rFonts w:cs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/>
            </w:pP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0C0B119B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 wp14:anchorId="0C0B119B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/>
      </w:pPr>
      <w:r>
        <w:rPr>
          <w:rFonts w:cs="Times New Roman"/>
          <w:b/>
          <w:szCs w:val="28"/>
        </w:rPr>
        <w:t>Институт информационных технологий (ИИТ)</w:t>
      </w:r>
    </w:p>
    <w:p>
      <w:pPr>
        <w:pStyle w:val="Normal"/>
        <w:jc w:val="center"/>
        <w:rPr/>
      </w:pPr>
      <w:r>
        <w:rPr>
          <w:rFonts w:cs="Times New Roman"/>
          <w:b/>
          <w:szCs w:val="28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cs="Times New Roman"/>
          <w:b/>
        </w:rPr>
      </w:pPr>
      <w:r>
        <w:rPr>
          <w:rFonts w:cs="Times New Roman"/>
          <w:b/>
        </w:rPr>
      </w:r>
    </w:p>
    <w:p>
      <w:pPr>
        <w:pStyle w:val="Normal"/>
        <w:jc w:val="center"/>
        <w:rPr>
          <w:rFonts w:cs="Times New Roman"/>
          <w:b/>
        </w:rPr>
      </w:pPr>
      <w:r>
        <w:rPr>
          <w:rFonts w:cs="Times New Roman"/>
          <w:b/>
        </w:rPr>
      </w:r>
    </w:p>
    <w:p>
      <w:pPr>
        <w:pStyle w:val="Normal"/>
        <w:jc w:val="center"/>
        <w:rPr/>
      </w:pPr>
      <w:r>
        <w:rPr>
          <w:rFonts w:cs="Times New Roman"/>
          <w:b/>
          <w:sz w:val="32"/>
          <w:szCs w:val="32"/>
        </w:rPr>
        <w:t>ПРАКТИЧЕСКАЯ РАБОТА 1</w:t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по дисциплине «Проектирование автоматизированных систем управления организаций атомной отрасли»</w:t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6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1013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34"/>
        <w:gridCol w:w="4834"/>
        <w:gridCol w:w="1640"/>
        <w:gridCol w:w="4"/>
        <w:gridCol w:w="1126"/>
      </w:tblGrid>
      <w:tr>
        <w:trPr/>
        <w:tc>
          <w:tcPr>
            <w:tcW w:w="2534" w:type="dxa"/>
            <w:tcBorders/>
          </w:tcPr>
          <w:p>
            <w:pPr>
              <w:pStyle w:val="Normal"/>
              <w:rPr/>
            </w:pPr>
            <w:r>
              <w:rPr>
                <w:rFonts w:cs="Times New Roman"/>
              </w:rPr>
              <w:t>Студент группы</w:t>
            </w:r>
          </w:p>
        </w:tc>
        <w:tc>
          <w:tcPr>
            <w:tcW w:w="4834" w:type="dxa"/>
            <w:tcBorders/>
          </w:tcPr>
          <w:p>
            <w:pPr>
              <w:pStyle w:val="Normal"/>
              <w:rPr/>
            </w:pPr>
            <w:r>
              <w:rPr>
                <w:rFonts w:cs="Times New Roman"/>
                <w:i/>
                <w:iCs/>
              </w:rPr>
              <w:t>ИКБО-50-23, Враженко Д.О.</w:t>
            </w:r>
          </w:p>
        </w:tc>
        <w:tc>
          <w:tcPr>
            <w:tcW w:w="1640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rPr>
                <w:rFonts w:cs="Times New Roman"/>
              </w:rPr>
            </w:pPr>
            <w:r>
              <w:rPr>
                <w:rFonts w:cs="Times New Roman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Times New Roman"/>
                <w:sz w:val="18"/>
                <w:szCs w:val="18"/>
              </w:rPr>
              <w:t>(подпись)</w:t>
            </w:r>
          </w:p>
          <w:p>
            <w:pPr>
              <w:pStyle w:val="Normal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130" w:type="dxa"/>
            <w:gridSpan w:val="2"/>
            <w:tcBorders/>
          </w:tcPr>
          <w:p>
            <w:pPr>
              <w:pStyle w:val="Normal"/>
              <w:ind w:firstLine="567"/>
              <w:jc w:val="both"/>
              <w:rPr/>
            </w:pPr>
            <w:r>
              <w:rPr/>
            </w:r>
          </w:p>
        </w:tc>
      </w:tr>
      <w:tr>
        <w:trPr/>
        <w:tc>
          <w:tcPr>
            <w:tcW w:w="2534" w:type="dxa"/>
            <w:tcBorders/>
          </w:tcPr>
          <w:p>
            <w:pPr>
              <w:pStyle w:val="Normal"/>
              <w:rPr/>
            </w:pPr>
            <w:r>
              <w:rPr>
                <w:rFonts w:cs="Times New Roman"/>
              </w:rPr>
              <w:t>Преподаватель</w:t>
            </w:r>
          </w:p>
        </w:tc>
        <w:tc>
          <w:tcPr>
            <w:tcW w:w="4834" w:type="dxa"/>
            <w:tcBorders/>
          </w:tcPr>
          <w:p>
            <w:pPr>
              <w:pStyle w:val="Normal"/>
              <w:rPr/>
            </w:pPr>
            <w:r>
              <w:rPr>
                <w:rFonts w:cs="Times New Roman"/>
                <w:i/>
                <w:iCs/>
              </w:rPr>
              <w:t>Волохов А.Н.</w:t>
            </w:r>
          </w:p>
        </w:tc>
        <w:tc>
          <w:tcPr>
            <w:tcW w:w="1640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rPr>
                <w:rFonts w:cs="Times New Roman"/>
              </w:rPr>
            </w:pPr>
            <w:r>
              <w:rPr>
                <w:rFonts w:cs="Times New Roman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Times New Roman"/>
                <w:sz w:val="18"/>
                <w:szCs w:val="18"/>
              </w:rPr>
              <w:t>(подпись)</w:t>
            </w:r>
          </w:p>
          <w:p>
            <w:pPr>
              <w:pStyle w:val="Normal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130" w:type="dxa"/>
            <w:gridSpan w:val="2"/>
            <w:tcBorders/>
          </w:tcPr>
          <w:p>
            <w:pPr>
              <w:pStyle w:val="Normal"/>
              <w:ind w:firstLine="567"/>
              <w:jc w:val="both"/>
              <w:rPr/>
            </w:pPr>
            <w:r>
              <w:rPr/>
            </w:r>
          </w:p>
        </w:tc>
      </w:tr>
      <w:tr>
        <w:trPr/>
        <w:tc>
          <w:tcPr>
            <w:tcW w:w="2534" w:type="dxa"/>
            <w:tcBorders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</w:r>
          </w:p>
          <w:p>
            <w:pPr>
              <w:pStyle w:val="Normal"/>
              <w:rPr/>
            </w:pPr>
            <w:r>
              <w:rPr>
                <w:rFonts w:cs="Times New Roman"/>
              </w:rPr>
              <w:t>От</w:t>
            </w:r>
            <w:r>
              <w:rPr>
                <w:rFonts w:cs="Times New Roman"/>
              </w:rPr>
              <w:t>в</w:t>
            </w:r>
            <w:r>
              <w:rPr>
                <w:rFonts w:cs="Times New Roman"/>
              </w:rPr>
              <w:t>ет представлен</w:t>
            </w:r>
          </w:p>
        </w:tc>
        <w:tc>
          <w:tcPr>
            <w:tcW w:w="6478" w:type="dxa"/>
            <w:gridSpan w:val="3"/>
            <w:tcBorders/>
          </w:tcPr>
          <w:p>
            <w:pPr>
              <w:pStyle w:val="Normal"/>
              <w:ind w:firstLine="567"/>
              <w:rPr>
                <w:rFonts w:cs="Times New Roman"/>
              </w:rPr>
            </w:pPr>
            <w:r>
              <w:rPr>
                <w:rFonts w:cs="Times New Roman"/>
              </w:rPr>
            </w:r>
          </w:p>
          <w:p>
            <w:pPr>
              <w:pStyle w:val="Normal"/>
              <w:ind w:firstLine="567"/>
              <w:rPr/>
            </w:pPr>
            <w:r>
              <w:rPr>
                <w:rFonts w:cs="Times New Roman"/>
              </w:rPr>
              <w:t>«___»________202__г.</w:t>
            </w:r>
          </w:p>
        </w:tc>
        <w:tc>
          <w:tcPr>
            <w:tcW w:w="1126" w:type="dxa"/>
            <w:tcBorders/>
          </w:tcPr>
          <w:p>
            <w:pPr>
              <w:pStyle w:val="Normal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</w:r>
          </w:p>
          <w:p>
            <w:pPr>
              <w:pStyle w:val="Normal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Москва 2026 г.</w:t>
      </w:r>
      <w:r>
        <w:br w:type="page"/>
      </w:r>
    </w:p>
    <w:p>
      <w:pPr>
        <w:pStyle w:val="BodyText"/>
        <w:spacing w:before="0" w:after="0"/>
        <w:rPr/>
      </w:pPr>
      <w:r>
        <w:rPr/>
        <w:t>Контрольный вопрос 1</w:t>
      </w:r>
    </w:p>
    <w:p>
      <w:pPr>
        <w:pStyle w:val="BodyText"/>
        <w:rPr/>
      </w:pPr>
      <w:r>
        <w:rPr/>
        <w:t xml:space="preserve">Система </w:t>
      </w:r>
      <w:r>
        <w:rPr>
          <w:rFonts w:eastAsia="Times New Roman" w:cs="Times New Roman"/>
        </w:rPr>
        <w:t>−</w:t>
      </w:r>
      <w:r>
        <w:rPr/>
        <w:t xml:space="preserve"> совокупность взаимосвязанных элементов, объединённых общей целью и функционирующих как единое целое.</w:t>
      </w:r>
    </w:p>
    <w:p>
      <w:pPr>
        <w:pStyle w:val="BodyText"/>
        <w:rPr/>
      </w:pPr>
      <w:r>
        <w:rPr/>
        <w:t xml:space="preserve">Автоматизированная система (АС) </w:t>
      </w:r>
      <w:r>
        <w:rPr>
          <w:rFonts w:eastAsia="Times New Roman" w:cs="Times New Roman"/>
        </w:rPr>
        <w:t>−</w:t>
      </w:r>
      <w:r>
        <w:rPr/>
        <w:t xml:space="preserve"> организационно-техническая система, включающая комплекс средств автоматизации и персонал для реализации установленных функций.</w:t>
      </w:r>
    </w:p>
    <w:p>
      <w:pPr>
        <w:pStyle w:val="BodyText"/>
        <w:rPr/>
      </w:pPr>
      <w:r>
        <w:rPr/>
        <w:t xml:space="preserve">Автоматизированная система управления (АСУ) </w:t>
      </w:r>
      <w:r>
        <w:rPr>
          <w:rFonts w:eastAsia="Times New Roman" w:cs="Times New Roman"/>
        </w:rPr>
        <w:t>−</w:t>
      </w:r>
      <w:r>
        <w:rPr/>
        <w:t xml:space="preserve"> комплекс технических, программных средств и персонала для управления различными процессами в рамках технологического процесса, производства или предприятия.</w:t>
      </w:r>
    </w:p>
    <w:p>
      <w:pPr>
        <w:pStyle w:val="BodyText"/>
        <w:rPr/>
      </w:pPr>
      <w:r>
        <w:rPr/>
        <w:t>Основные разновидности АСУ:</w:t>
      </w:r>
    </w:p>
    <w:p>
      <w:pPr>
        <w:pStyle w:val="BodyText"/>
        <w:numPr>
          <w:ilvl w:val="0"/>
          <w:numId w:val="1"/>
        </w:numPr>
        <w:rPr/>
      </w:pPr>
      <w:r>
        <w:rPr/>
        <w:t xml:space="preserve">АСУТП </w:t>
      </w:r>
      <w:r>
        <w:rPr>
          <w:rFonts w:eastAsia="Times New Roman" w:cs="Times New Roman"/>
        </w:rPr>
        <w:t>−</w:t>
      </w:r>
      <w:r>
        <w:rPr/>
        <w:t xml:space="preserve"> автоматизированная система управления технологическим процессом;</w:t>
      </w:r>
    </w:p>
    <w:p>
      <w:pPr>
        <w:pStyle w:val="BodyText"/>
        <w:numPr>
          <w:ilvl w:val="0"/>
          <w:numId w:val="1"/>
        </w:numPr>
        <w:rPr/>
      </w:pPr>
      <w:r>
        <w:rPr/>
        <w:t xml:space="preserve">АСУП </w:t>
      </w:r>
      <w:r>
        <w:rPr>
          <w:rFonts w:eastAsia="Times New Roman" w:cs="Times New Roman"/>
        </w:rPr>
        <w:t>−</w:t>
      </w:r>
      <w:r>
        <w:rPr/>
        <w:t xml:space="preserve"> автоматизированная система управления предприятием;</w:t>
      </w:r>
    </w:p>
    <w:p>
      <w:pPr>
        <w:pStyle w:val="BodyText"/>
        <w:numPr>
          <w:ilvl w:val="0"/>
          <w:numId w:val="1"/>
        </w:numPr>
        <w:rPr/>
      </w:pPr>
      <w:r>
        <w:rPr/>
        <w:t xml:space="preserve">ОАСУ </w:t>
      </w:r>
      <w:r>
        <w:rPr>
          <w:rFonts w:eastAsia="Times New Roman" w:cs="Times New Roman"/>
        </w:rPr>
        <w:t>−</w:t>
      </w:r>
      <w:r>
        <w:rPr/>
        <w:t xml:space="preserve"> отраслевая автоматизированная система управления.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6120130" cy="45466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7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</w:t>
      </w:r>
      <w:r>
        <w:rPr>
          <w:rFonts w:eastAsia="Times New Roman" w:cs="Times New Roman"/>
        </w:rPr>
        <w:t>−</w:t>
      </w:r>
      <w:r>
        <w:rPr/>
        <w:t xml:space="preserve"> Общая схема АС</w:t>
      </w:r>
    </w:p>
    <w:p>
      <w:pPr>
        <w:pStyle w:val="BodyText"/>
        <w:rPr/>
      </w:pPr>
      <w:r>
        <w:rPr/>
        <w:t>Особенности разновидностей:</w:t>
      </w:r>
    </w:p>
    <w:p>
      <w:pPr>
        <w:pStyle w:val="BodyText"/>
        <w:numPr>
          <w:ilvl w:val="0"/>
          <w:numId w:val="1"/>
        </w:numPr>
        <w:rPr/>
      </w:pPr>
      <w:r>
        <w:rPr/>
        <w:t>АСУТП</w:t>
      </w:r>
    </w:p>
    <w:p>
      <w:pPr>
        <w:pStyle w:val="BodyText"/>
        <w:numPr>
          <w:ilvl w:val="1"/>
          <w:numId w:val="1"/>
        </w:numPr>
        <w:rPr/>
      </w:pPr>
      <w:r>
        <w:rPr/>
        <w:t>Управление технологическими процессами в реальном времени;</w:t>
      </w:r>
    </w:p>
    <w:p>
      <w:pPr>
        <w:pStyle w:val="BodyText"/>
        <w:numPr>
          <w:ilvl w:val="1"/>
          <w:numId w:val="1"/>
        </w:numPr>
        <w:rPr/>
      </w:pPr>
      <w:r>
        <w:rPr/>
        <w:t>Работа с физическими параметрами;</w:t>
      </w:r>
    </w:p>
    <w:p>
      <w:pPr>
        <w:pStyle w:val="BodyText"/>
        <w:numPr>
          <w:ilvl w:val="1"/>
          <w:numId w:val="1"/>
        </w:numPr>
        <w:rPr/>
      </w:pPr>
      <w:r>
        <w:rPr/>
        <w:t>Быстрое реагирование на изменения.</w:t>
      </w:r>
    </w:p>
    <w:p>
      <w:pPr>
        <w:pStyle w:val="BodyText"/>
        <w:numPr>
          <w:ilvl w:val="0"/>
          <w:numId w:val="1"/>
        </w:numPr>
        <w:rPr/>
      </w:pPr>
      <w:r>
        <w:rPr/>
        <w:t>АСУП</w:t>
      </w:r>
    </w:p>
    <w:p>
      <w:pPr>
        <w:pStyle w:val="BodyText"/>
        <w:numPr>
          <w:ilvl w:val="1"/>
          <w:numId w:val="1"/>
        </w:numPr>
        <w:rPr/>
      </w:pPr>
      <w:r>
        <w:rPr/>
        <w:t>Управление предприятием в целом;</w:t>
      </w:r>
    </w:p>
    <w:p>
      <w:pPr>
        <w:pStyle w:val="BodyText"/>
        <w:numPr>
          <w:ilvl w:val="1"/>
          <w:numId w:val="1"/>
        </w:numPr>
        <w:rPr/>
      </w:pPr>
      <w:r>
        <w:rPr/>
        <w:t>Решение экономических и организационных задач;</w:t>
      </w:r>
    </w:p>
    <w:p>
      <w:pPr>
        <w:pStyle w:val="BodyText"/>
        <w:numPr>
          <w:ilvl w:val="1"/>
          <w:numId w:val="1"/>
        </w:numPr>
        <w:rPr/>
      </w:pPr>
      <w:r>
        <w:rPr/>
        <w:t>Планирование и контроль производства.</w:t>
      </w:r>
    </w:p>
    <w:p>
      <w:pPr>
        <w:pStyle w:val="BodyText"/>
        <w:numPr>
          <w:ilvl w:val="0"/>
          <w:numId w:val="1"/>
        </w:numPr>
        <w:rPr/>
      </w:pPr>
      <w:r>
        <w:rPr/>
        <w:t>ОАСУ</w:t>
      </w:r>
    </w:p>
    <w:p>
      <w:pPr>
        <w:pStyle w:val="BodyText"/>
        <w:numPr>
          <w:ilvl w:val="1"/>
          <w:numId w:val="1"/>
        </w:numPr>
        <w:rPr/>
      </w:pPr>
      <w:r>
        <w:rPr/>
        <w:t>Управление на уровне отрасли;</w:t>
      </w:r>
    </w:p>
    <w:p>
      <w:pPr>
        <w:pStyle w:val="BodyText"/>
        <w:numPr>
          <w:ilvl w:val="1"/>
          <w:numId w:val="1"/>
        </w:numPr>
        <w:rPr/>
      </w:pPr>
      <w:r>
        <w:rPr/>
        <w:t>Стратегическое планирование;</w:t>
      </w:r>
    </w:p>
    <w:p>
      <w:pPr>
        <w:pStyle w:val="BodyText"/>
        <w:numPr>
          <w:ilvl w:val="1"/>
          <w:numId w:val="1"/>
        </w:numPr>
        <w:rPr/>
      </w:pPr>
      <w:r>
        <w:rPr/>
        <w:t>Координация работы предприятий.</w:t>
      </w:r>
    </w:p>
    <w:p>
      <w:pPr>
        <w:pStyle w:val="Style20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. Ключевые отличия</w:t>
      </w:r>
    </w:p>
    <w:tbl>
      <w:tblPr>
        <w:tblW w:w="796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1282"/>
        <w:gridCol w:w="3244"/>
        <w:gridCol w:w="3434"/>
      </w:tblGrid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Вид АСУ</w:t>
            </w:r>
          </w:p>
        </w:tc>
        <w:tc>
          <w:tcPr>
            <w:tcW w:w="3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Масштаб управления</w:t>
            </w:r>
          </w:p>
        </w:tc>
        <w:tc>
          <w:tcPr>
            <w:tcW w:w="3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Основные задачи</w:t>
            </w:r>
          </w:p>
        </w:tc>
      </w:tr>
      <w:tr>
        <w:trPr/>
        <w:tc>
          <w:tcPr>
            <w:tcW w:w="12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АСУТП</w:t>
            </w:r>
          </w:p>
        </w:tc>
        <w:tc>
          <w:tcPr>
            <w:tcW w:w="3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Технологический процесс</w:t>
            </w:r>
          </w:p>
        </w:tc>
        <w:tc>
          <w:tcPr>
            <w:tcW w:w="3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Оперативное управление</w:t>
            </w:r>
          </w:p>
        </w:tc>
      </w:tr>
      <w:tr>
        <w:trPr/>
        <w:tc>
          <w:tcPr>
            <w:tcW w:w="12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АСУП</w:t>
            </w:r>
          </w:p>
        </w:tc>
        <w:tc>
          <w:tcPr>
            <w:tcW w:w="3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Предприятие</w:t>
            </w:r>
          </w:p>
        </w:tc>
        <w:tc>
          <w:tcPr>
            <w:tcW w:w="3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Планирование и контроль</w:t>
            </w:r>
          </w:p>
        </w:tc>
      </w:tr>
      <w:tr>
        <w:trPr/>
        <w:tc>
          <w:tcPr>
            <w:tcW w:w="12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ОАСУ</w:t>
            </w:r>
          </w:p>
        </w:tc>
        <w:tc>
          <w:tcPr>
            <w:tcW w:w="32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Отрасль</w:t>
            </w:r>
          </w:p>
        </w:tc>
        <w:tc>
          <w:tcPr>
            <w:tcW w:w="3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Стратегическое управление</w:t>
            </w:r>
          </w:p>
        </w:tc>
      </w:tr>
    </w:tbl>
    <w:p>
      <w:pPr>
        <w:pStyle w:val="BodyText"/>
        <w:rPr/>
      </w:pPr>
      <w:r>
        <w:rPr/>
        <w:t>Все системы образуют иерархическую структуру, где данные передаются от нижнего уровня к верхнему для принятия более глобальных решений.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rPr/>
      </w:pPr>
      <w:r>
        <w:rPr/>
        <w:t>Контрольный вопрос 2</w:t>
      </w:r>
    </w:p>
    <w:p>
      <w:pPr>
        <w:pStyle w:val="Style20"/>
        <w:rPr/>
      </w:pPr>
      <w:r>
        <w:rPr/>
        <w:t>Таблица 1. Технические средства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1596"/>
        <w:gridCol w:w="1920"/>
        <w:gridCol w:w="1991"/>
        <w:gridCol w:w="4132"/>
      </w:tblGrid>
      <w:tr>
        <w:trPr>
          <w:tblHeader w:val="true"/>
        </w:trPr>
        <w:tc>
          <w:tcPr>
            <w:tcW w:w="1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Тип оборудования</w:t>
            </w:r>
          </w:p>
        </w:tc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Производитель</w:t>
            </w:r>
          </w:p>
        </w:tc>
        <w:tc>
          <w:tcPr>
            <w:tcW w:w="1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Модели/Серии</w:t>
            </w:r>
          </w:p>
        </w:tc>
        <w:tc>
          <w:tcPr>
            <w:tcW w:w="4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1596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Серверы</w:t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  <w:lang w:val="en-US"/>
              </w:rPr>
            </w:pPr>
            <w:r>
              <w:rPr/>
              <w:t>Yadro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VEGMAN R100, VEGMAN R220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Высокопроизводительные серверы на базе процессоров Intel Xeon для ЦОД, поддерживают масштабирование до 2 сокетов, горячую замену компонентов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  <w:lang w:val="en-US"/>
              </w:rPr>
            </w:pPr>
            <w:r>
              <w:rPr/>
              <w:t>DEPO Computers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  <w:lang w:val="en-US"/>
              </w:rPr>
            </w:pPr>
            <w:r>
              <w:rPr/>
              <w:t>DEPO Storm 3450, DEPO Storm 4450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Корпоративные серверные платформы с поддержкой виртуализации, горячей замены дисков и блоков питания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iRU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Rock G2212IG6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Сервер на базе процессоров Intel Xeon 6-го поколения, оптимизирован для высоконагруженных вычислений и виртуализации</w:t>
            </w:r>
          </w:p>
        </w:tc>
      </w:tr>
      <w:tr>
        <w:trPr/>
        <w:tc>
          <w:tcPr>
            <w:tcW w:w="1596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Коммутаторы</w:t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QTECH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QSW-2800, QSW-3750, QSW-4600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Управляемые коммутаторы L2/L3 для построения корпоративных сетей, поддерживают статическую и динамическую маршрутизацию, агрегацию каналов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ELTEX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MES2300, MES2424, MES3324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Линейка управляемых коммутаторов доступа и агрегации с поддержкой PoE, L3-маршрутизации, стекирования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Морион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КРМ-5960-28F, КАМ-5960-28Т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Сертифицированные коммутаторы с поддержкой мандатного доступа, ACL, шифрования по ГОСТ, предназначены для защищённых инфраструктур</w:t>
            </w:r>
          </w:p>
        </w:tc>
      </w:tr>
      <w:tr>
        <w:trPr/>
        <w:tc>
          <w:tcPr>
            <w:tcW w:w="1596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АРМ</w:t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DEPO Computers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Пересвет (серия АРМ)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Линейка АРМ российского производства: ультракомпактные ПК, настольные ПК и моноблоки, совместимы с Astra Linux и РЕД ОС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Аквариус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Серверные и офисные платформы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АРМ на базе процессоров Intel с предустановленной ОС Astra Linux, встроенными средствами защиты информации</w:t>
            </w:r>
          </w:p>
        </w:tc>
      </w:tr>
      <w:tr>
        <w:trPr/>
        <w:tc>
          <w:tcPr>
            <w:tcW w:w="1596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</w:r>
          </w:p>
        </w:tc>
        <w:tc>
          <w:tcPr>
            <w:tcW w:w="19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Бештау</w:t>
            </w:r>
          </w:p>
        </w:tc>
        <w:tc>
          <w:tcPr>
            <w:tcW w:w="19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>
                <w:rFonts w:cs="Times New Roman"/>
              </w:rPr>
            </w:pPr>
            <w:r>
              <w:rPr/>
              <w:t>PC1200/670-01</w:t>
            </w:r>
          </w:p>
        </w:tc>
        <w:tc>
          <w:tcPr>
            <w:tcW w:w="41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АРМ на базе процессоров Intel Core i5/i7 с поддержкой Astra Linux Special Edition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Style20"/>
        <w:rPr/>
      </w:pPr>
      <w:r>
        <w:rPr/>
        <w:t>Таблица 2. Программные средства (СУБД)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79"/>
        <w:gridCol w:w="2220"/>
        <w:gridCol w:w="5440"/>
      </w:tblGrid>
      <w:tr>
        <w:trPr>
          <w:tblHeader w:val="true"/>
        </w:trPr>
        <w:tc>
          <w:tcPr>
            <w:tcW w:w="1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keepNext w:val="true"/>
              <w:rPr/>
            </w:pPr>
            <w:r>
              <w:rPr/>
              <w:t>СУБД</w:t>
            </w:r>
          </w:p>
        </w:tc>
        <w:tc>
          <w:tcPr>
            <w:tcW w:w="22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Разработчик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9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19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keepNext w:val="true"/>
              <w:rPr/>
            </w:pPr>
            <w:r>
              <w:rPr/>
              <w:t>Tantor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Группа Астра</w:t>
            </w:r>
          </w:p>
        </w:tc>
        <w:tc>
          <w:tcPr>
            <w:tcW w:w="5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Корпоративная СУБД на базе PostgreSQL с расширенными функциями безопасности, аудита, резервного копирования и мониторинга производительности</w:t>
            </w:r>
          </w:p>
        </w:tc>
      </w:tr>
      <w:tr>
        <w:trPr/>
        <w:tc>
          <w:tcPr>
            <w:tcW w:w="19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keepNext w:val="true"/>
              <w:rPr/>
            </w:pPr>
            <w:r>
              <w:rPr/>
              <w:t>PostgreSQL Pro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Postgres Professional</w:t>
            </w:r>
          </w:p>
        </w:tc>
        <w:tc>
          <w:tcPr>
            <w:tcW w:w="5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Профессиональная СУБД на базе PostgreSQL с оптимизацией для высоконагруженных корпоративных систем, поддержкой кластеризации и репликации</w:t>
            </w:r>
          </w:p>
        </w:tc>
      </w:tr>
      <w:tr>
        <w:trPr/>
        <w:tc>
          <w:tcPr>
            <w:tcW w:w="19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РЕД База Данных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РЕД СОФТ</w:t>
            </w:r>
          </w:p>
        </w:tc>
        <w:tc>
          <w:tcPr>
            <w:tcW w:w="5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rPr/>
            </w:pPr>
            <w:r>
              <w:rPr/>
              <w:t>Российская СУБД для создания и управления базами данных в корпоративных системах с поддержкой высоких нагрузок и стандартов безопасности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rPr/>
      </w:pPr>
      <w:r>
        <w:rPr/>
        <w:t>Контрольный вопрос 3</w:t>
      </w:r>
    </w:p>
    <w:p>
      <w:pPr>
        <w:pStyle w:val="BodyText"/>
        <w:spacing w:before="0" w:after="0"/>
        <w:rPr/>
      </w:pPr>
      <w:r>
        <w:rPr/>
        <w:t>Я, Враженко Даниил Олегович, студент 4 курса РТУ МИРЭА.</w:t>
      </w:r>
    </w:p>
    <w:p>
      <w:pPr>
        <w:pStyle w:val="BodyText"/>
        <w:spacing w:before="0" w:after="0"/>
        <w:rPr/>
      </w:pPr>
      <w:r>
        <w:rPr/>
        <w:t>Формирующее подразделение: «Институт информационных технологий».</w:t>
      </w:r>
    </w:p>
    <w:p>
      <w:pPr>
        <w:pStyle w:val="BodyText"/>
        <w:spacing w:before="0" w:after="0"/>
        <w:rPr/>
      </w:pPr>
      <w:r>
        <w:rPr/>
        <w:t>Выпускающее подразделение: «Кафедра информационных технологий в атомной энергетике».</w:t>
      </w:r>
    </w:p>
    <w:p>
      <w:pPr>
        <w:pStyle w:val="BodyText"/>
        <w:spacing w:before="0" w:after="0"/>
        <w:rPr/>
      </w:pPr>
      <w:r>
        <w:rPr/>
        <w:t>Направление подготовки (специальность): «Программная инженерия (Информационные технологии в атомной отрасли)».</w:t>
      </w:r>
    </w:p>
    <w:p>
      <w:pPr>
        <w:pStyle w:val="BodyText"/>
        <w:spacing w:before="0" w:after="0"/>
        <w:rPr/>
      </w:pPr>
      <w:r>
        <w:rPr/>
        <w:t xml:space="preserve">Программированием начал интересоваться в детстве, когда от крёстного достался старый компьютер, и там исследовал файлы игр, редактирую различные значения. Позже в школе познакомился со своим учителем информатики, которая по рекомендации моей матери взяла меня на дополнительные занятия по программированию. Соответственно, с 7 класса начал писать на языке программирования (далее </w:t>
      </w:r>
      <w:r>
        <w:rPr>
          <w:rFonts w:eastAsia="Times New Roman" w:cs="Times New Roman"/>
        </w:rPr>
        <w:t>−</w:t>
      </w:r>
      <w:r>
        <w:rPr/>
        <w:t xml:space="preserve"> ЯП) </w:t>
      </w:r>
      <w:r>
        <w:rPr>
          <w:lang w:val="en-US"/>
        </w:rPr>
        <w:t xml:space="preserve">Pascal, </w:t>
      </w:r>
      <w:r>
        <w:rPr>
          <w:lang w:val="ru-RU"/>
        </w:rPr>
        <w:t xml:space="preserve">в 10 классе перешел на </w:t>
      </w:r>
      <w:r>
        <w:rPr>
          <w:lang w:val="en-US"/>
        </w:rPr>
        <w:t xml:space="preserve">Python, </w:t>
      </w:r>
      <w:r>
        <w:rPr>
          <w:lang w:val="ru-RU"/>
        </w:rPr>
        <w:t xml:space="preserve">в ВУЗе освоил следующие ЯП: </w:t>
      </w:r>
      <w:r>
        <w:rPr>
          <w:lang w:val="en-US"/>
        </w:rPr>
        <w:t xml:space="preserve">C++, Java, Kotlin, </w:t>
      </w:r>
      <w:r>
        <w:rPr>
          <w:lang w:val="ru-RU"/>
        </w:rPr>
        <w:t xml:space="preserve">а также </w:t>
      </w:r>
      <w:r>
        <w:rPr>
          <w:lang w:val="en-US"/>
        </w:rPr>
        <w:t xml:space="preserve">Frontend </w:t>
      </w:r>
      <w:r>
        <w:rPr>
          <w:lang w:val="ru-RU"/>
        </w:rPr>
        <w:t xml:space="preserve">инструментарий: </w:t>
      </w:r>
      <w:r>
        <w:rPr>
          <w:lang w:val="en-US"/>
        </w:rPr>
        <w:t>HTML, CSS, JavaScript.</w:t>
      </w:r>
    </w:p>
    <w:p>
      <w:pPr>
        <w:pStyle w:val="BodyText"/>
        <w:spacing w:before="0" w:after="0"/>
        <w:rPr>
          <w:lang w:val="ru-RU"/>
        </w:rPr>
      </w:pPr>
      <w:r>
        <w:rPr>
          <w:lang w:val="ru-RU"/>
        </w:rPr>
        <w:t>В школьные годы принимал участия в олимпиадах, доходя до городского уровня. В ВУЗе принимал участия в различных хакатонах, а также чемпионате «</w:t>
      </w:r>
      <w:r>
        <w:rPr>
          <w:lang w:val="en-US"/>
        </w:rPr>
        <w:t>AtomSkills 2026</w:t>
      </w:r>
      <w:r>
        <w:rPr>
          <w:lang w:val="ru-RU"/>
        </w:rPr>
        <w:t>» по направлению «Роботизация».</w:t>
      </w:r>
    </w:p>
    <w:p>
      <w:pPr>
        <w:pStyle w:val="BodyText"/>
        <w:spacing w:before="0" w:after="0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417" w:right="850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0" w:firstLine="709"/>
      </w:pPr>
      <w:rPr>
        <w:rFonts w:ascii="Symbol" w:hAnsi="Symbol" w:cs="Symbol" w:hint="default"/>
      </w:rPr>
    </w:lvl>
    <w:lvl w:ilvl="1">
      <w:start w:val="1"/>
      <w:numFmt w:val="bullet"/>
      <w:suff w:val="space"/>
      <w:lvlText w:val="▪"/>
      <w:lvlJc w:val="start"/>
      <w:pPr>
        <w:tabs>
          <w:tab w:val="num" w:pos="0"/>
        </w:tabs>
        <w:ind w:start="709" w:firstLine="283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/>
      <w:ind w:firstLine="709"/>
      <w:jc w:val="both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Cs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Cs w:val="28"/>
    </w:rPr>
  </w:style>
  <w:style w:type="paragraph" w:styleId="user1" w:customStyle="1">
    <w:name w:val="Указатель (user)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Microsoft YaHei"/>
      <w:szCs w:val="28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yle17" w:customStyle="1">
    <w:name w:val="Рисунок"/>
    <w:basedOn w:val="Caption"/>
    <w:qFormat/>
    <w:pPr>
      <w:spacing w:before="0" w:after="119"/>
      <w:jc w:val="center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</w:pPr>
    <w:rPr>
      <w:sz w:val="24"/>
    </w:rPr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  <w:sz w:val="24"/>
    </w:rPr>
  </w:style>
  <w:style w:type="paragraph" w:styleId="Style20" w:customStyle="1">
    <w:name w:val="Таблица"/>
    <w:basedOn w:val="Caption"/>
    <w:qFormat/>
    <w:pPr>
      <w:keepNext w:val="true"/>
      <w:spacing w:before="119" w:after="119"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LibreOffice/26.2.5.2$Windows_X86_64 LibreOffice_project/cd7284b4cbbfeb507e630c1aac019f4157393acb</Application>
  <AppVersion>15.0000</AppVersion>
  <Pages>6</Pages>
  <Words>616</Words>
  <Characters>4483</Characters>
  <CharactersWithSpaces>4979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2026-09-01T13:47:00Z</dcterms:created>
  <dc:creator/>
  <dc:description/>
  <dc:language>ru-RU</dc:language>
  <cp:lastModifiedBy/>
  <dcterms:modified xsi:type="dcterms:W3CDTF">2026-09-02T14:18:44Z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