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13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34"/>
        <w:gridCol w:w="1129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/>
      </w:pPr>
      <w:r>
        <w:rPr/>
        <w:t>1. Схема компьютерной сети проектируемой АСУ «Семантический подборщик»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362712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Схема компьютерной сети</w:t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2. Определение проблем информационной безопасности для построенной сети</w:t>
      </w:r>
    </w:p>
    <w:p>
      <w:pPr>
        <w:pStyle w:val="BodyText"/>
        <w:rPr/>
      </w:pPr>
      <w:r>
        <w:rPr/>
        <w:t>Для проектируемой АСУ «Семантический подборщик» выделены следующие категории угроз безопасности, классифицированные в соответствии с требованиями задания: угрозы хранения и обработки информации на рабочих станциях и угрозы передачи информации по компьютерной сети.</w:t>
      </w:r>
    </w:p>
    <w:p>
      <w:pPr>
        <w:pStyle w:val="Heading3"/>
        <w:ind w:firstLine="709" w:left="0"/>
        <w:rPr/>
      </w:pPr>
      <w:r>
        <w:rPr/>
        <w:t>2.1. Угрозы безопасности хранения и обработки информации на рабочих станциях</w:t>
      </w:r>
    </w:p>
    <w:p>
      <w:pPr>
        <w:pStyle w:val="BodyText"/>
        <w:rPr/>
      </w:pPr>
      <w:r>
        <w:rPr/>
        <w:t>К рабочим станциям относятся АРМ пользователей (клиентов), контент-менеджеров, администратора нейросети и руководителя. На этих устройствах могут храниться временные данные (кэш браузера, загружаемые файлы, пароли, cookie-файлы), а также выполняться обработка запросов на стороне клиента (JavaScript-код портала).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68"/>
        <w:gridCol w:w="3618"/>
        <w:gridCol w:w="3269"/>
      </w:tblGrid>
      <w:tr>
        <w:trPr>
          <w:tblHeader w:val="true"/>
        </w:trPr>
        <w:tc>
          <w:tcPr>
            <w:tcW w:w="2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Угроза</w:t>
            </w:r>
          </w:p>
        </w:tc>
        <w:tc>
          <w:tcPr>
            <w:tcW w:w="3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Описание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Возможные последствия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Несанкционированный доступ (НСД) к устройству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Физический доступ постороннего лица к разблокированному компьютеру/ноутбуку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учётных данных, истории запросов, избранного; доступ к загруженному контенту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Вредоносное программное обеспечение (вирусы, шпионское ПО, кейлоггеры)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Заражение рабочей станции через фишинг, загрузку нелегального контента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вводимых паролей и текстов запросов; кража cookie и токенов сессии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операционной системы и прикладного ПО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необновлённой ОС, браузера или плагинов с известными уязвимостями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Эксплуатация уязвимостей для выполнения произвольного кода, получения доступа к файловой системе и данным браузера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Фишинг и социальная инженерия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Пользователь может быть обманут и перейти по поддельной ссылке, имитирующей портал АСУ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логина и пароля, передача их злоумышленнику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Хранение конфиденциальных данных в открытом виде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Сохранение паролей в браузере без мастер-пароля, кэширование загруженных файлов в незашифрованном виде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При компрометации устройства — утечка персональных данных и лицензионного контента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Недостаточная аутентификация пользователей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слабых паролей, отсутствие двухфакторной аутентификации на уровне доступа к устройству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Облегчённый подбор или угадывание учётных данных, ведущий к несанкционированному доступу к системе</w:t>
            </w:r>
          </w:p>
        </w:tc>
      </w:tr>
      <w:tr>
        <w:trPr/>
        <w:tc>
          <w:tcPr>
            <w:tcW w:w="24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Нарушение конфиденциальности при локальной обработке</w:t>
            </w:r>
          </w:p>
        </w:tc>
        <w:tc>
          <w:tcPr>
            <w:tcW w:w="36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Клиентский JavaScript-код портала может быть модифицирован через атаку типа «человек посередине» или XSS, что приведёт к утечке данных из памяти браузера</w:t>
            </w:r>
          </w:p>
        </w:tc>
        <w:tc>
          <w:tcPr>
            <w:tcW w:w="32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текстов запросов и параметров, кража токенов, подмена результатов поиска</w:t>
            </w:r>
          </w:p>
        </w:tc>
      </w:tr>
    </w:tbl>
    <w:p>
      <w:pPr>
        <w:pStyle w:val="Heading3"/>
        <w:ind w:firstLine="709" w:left="0"/>
        <w:rPr/>
      </w:pPr>
      <w:r>
        <w:rPr/>
        <w:t>2.2. Угрозы безопасности передачи информации по компьютерной сети</w:t>
      </w:r>
    </w:p>
    <w:p>
      <w:pPr>
        <w:pStyle w:val="BodyText"/>
        <w:ind w:firstLine="709" w:left="0"/>
        <w:rPr/>
      </w:pPr>
      <w:r>
        <w:rPr/>
        <w:t>Данные передаются между клиентами и серверами, а также внутри сегментов ЦОД. Угрозы классифицированы по каналам передачи.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67"/>
        <w:gridCol w:w="3574"/>
        <w:gridCol w:w="3314"/>
      </w:tblGrid>
      <w:tr>
        <w:trPr>
          <w:tblHeader w:val="true"/>
        </w:trPr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Угроза</w:t>
            </w:r>
          </w:p>
        </w:tc>
        <w:tc>
          <w:tcPr>
            <w:tcW w:w="3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Описание</w:t>
            </w:r>
          </w:p>
        </w:tc>
        <w:tc>
          <w:tcPr>
            <w:tcW w:w="3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rPr/>
            </w:pPr>
            <w:r>
              <w:rPr/>
              <w:t>Возможные последствия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трафика (сниффинг)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Пассивный перехват незашифрованного или слабо зашифрованного сетевого трафика в публичных сетях и локальных сегментах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Чтение текстов запросов, параметров поиска, метаданных контента, учётных данных (если не используется HTTPS)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Атака «человек посередине» (Man-in-the-Middle, MitM)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Злоумышленник вклинивается в канал связи между клиентом и сервером, подменяя или модифицируя трафик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сессионных cookie, подмена ответов поиска, перенаправление на фишинговые страницы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Подмена сервера (spoofing)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Перенаправление клиента на подставной сервер вследствие компрометации DNS или подмены ARP-таблиц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Полный контроль над сессией пользователя, кража учётных данных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Отказ в обслуживании (DoS/DDoS)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Массированная отправка запросов на балансировщик или веб-серверы с целью исчерпания ресурсов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Недоступность системы для легитимных пользователей, убытки от простоя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сетевых протоколов (TCP/IP, DNS, HTTP/2)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Эксплуатация известных уязвимостей в протоколах передачи данных (например, HTTP-request smuggling, DNS cache poisoning)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Обход межсетевых экранов, подмена трафика, утечка информации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Несанкционированное проникновение во внутреннюю сеть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Использование уязвимостей в веб-приложениях (SQL-инъекции, XSS, удалённое выполнение кода) для продвижения вглубь сети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серверов БД, NLP-моделей, файлового хранилища; хищение или уничтожение данных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Недостаточная сегментация сети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Отсутствие строгих правил фильтрации между DMZ, сегментом приложений и данными позволяет злоумышленнику, скомпрометировавшему веб-сервер, свободно перемещаться по внутренней сети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Доступ к базам данных, логам, хранилищу контента напрямую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Утечка данных при взаимодействии с внешними источниками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Передача поисковых запросов или метаданных контента в API партнёров без должного шифрования или контроля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Раскрытие тем запросов пользователей, коммерческой тайны о закупках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Неавторизованный доступ через беспроводные сети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Подключение клиентов через незащищённые точки Wi-Fi (общественные сети) без обязательного использования VPN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Перехват сессионных данных, MitM-атаки на уровне точки доступа</w:t>
            </w:r>
          </w:p>
        </w:tc>
      </w:tr>
      <w:tr>
        <w:trPr/>
        <w:tc>
          <w:tcPr>
            <w:tcW w:w="24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Уязвимости в VPN-концентраторе или средствах удалённого доступа</w:t>
            </w:r>
          </w:p>
        </w:tc>
        <w:tc>
          <w:tcPr>
            <w:tcW w:w="35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Ошибки конфигурации VPN, использование устаревших протоколов (PPTP) или слабых ключей шифрования</w:t>
            </w:r>
          </w:p>
        </w:tc>
        <w:tc>
          <w:tcPr>
            <w:tcW w:w="33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/>
              <w:t>Компрометация административных учётных записей и получение полного контроля над инфраструктурой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2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keepNext w:val="false"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6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Рисунок (user)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Таблица"/>
    <w:basedOn w:val="Caption"/>
    <w:qFormat/>
    <w:pPr>
      <w:keepNext w:val="true"/>
    </w:pPr>
    <w:rPr>
      <w:rFonts w:ascii="Times New Roman" w:hAnsi="Times New Roman"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 w:customStyle="1">
    <w:name w:val="Таблица (user)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1" w:customStyle="1">
    <w:name w:val="Фотография"/>
    <w:basedOn w:val="Normal"/>
    <w:next w:val="Style26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2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3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4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5" w:customStyle="1">
    <w:name w:val="Текст листинга"/>
    <w:basedOn w:val="Style19"/>
    <w:qFormat/>
    <w:pPr/>
    <w:rPr>
      <w:rFonts w:ascii="Liberation Mono" w:hAnsi="Liberation Mono"/>
      <w:sz w:val="20"/>
    </w:rPr>
  </w:style>
  <w:style w:type="paragraph" w:styleId="user10" w:customStyle="1">
    <w:name w:val="Фигура (user)"/>
    <w:basedOn w:val="Caption"/>
    <w:qFormat/>
    <w:pPr/>
    <w:rPr/>
  </w:style>
  <w:style w:type="paragraph" w:styleId="Style26" w:customStyle="1">
    <w:name w:val="Название фотографии"/>
    <w:basedOn w:val="Style21"/>
    <w:next w:val="BodyText"/>
    <w:qFormat/>
    <w:pPr>
      <w:spacing w:before="0" w:after="85"/>
    </w:pPr>
    <w:rPr/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8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9950</TotalTime>
  <Application>LibreOffice/25.8.6.2$Windows_X86_64 LibreOffice_project/b4b39682cd9868fa725bc664aff94278d315bd04</Application>
  <AppVersion>15.0000</AppVersion>
  <Pages>4</Pages>
  <Words>653</Words>
  <Characters>5007</Characters>
  <CharactersWithSpaces>5582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2026-05-21T09:41:44Z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