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Light" w:hAnsi="Calibri Light"/>
          <w:color w:val="1F3864"/>
          <w:sz w:val="52"/>
        </w:rPr>
        <w:t>Physics IDE</w:t>
      </w:r>
    </w:p>
    <w:p>
      <w:pPr>
        <w:spacing w:before="0" w:after="200" w:line="240" w:lineRule="auto"/>
        <w:pBdr>
          <w:bottom w:val="single" w:sz="12" w:space="6" w:color="1F3864"/>
        </w:pBdr>
      </w:pPr>
      <w:r>
        <w:rPr>
          <w:rFonts w:ascii="Calibri Light" w:hAnsi="Calibri Light"/>
          <w:color w:val="44546A"/>
          <w:sz w:val="30"/>
        </w:rPr>
        <w:t>Azure Hosting Cost Estimate — Learner and Teacher Portal</w:t>
      </w:r>
    </w:p>
    <w:p>
      <w:pPr>
        <w:spacing w:before="0" w:after="0" w:line="240" w:lineRule="auto"/>
      </w:pPr>
      <w:r>
        <w:rPr>
          <w:sz w:val="8"/>
        </w:rPr>
      </w:r>
    </w:p>
    <w:tbl>
      <w:tblPr>
        <w:tblW w:type="auto" w:w="0"/>
        <w:tblLayout w:type="fixed"/>
        <w:tblLook w:firstColumn="1" w:firstRow="1" w:lastColumn="0" w:lastRow="0" w:noHBand="0" w:noVBand="1" w:val="04A0"/>
        <w:tblLayout w:type="fixed"/>
      </w:tblPr>
      <w:tblGrid>
        <w:gridCol w:w="4706"/>
        <w:gridCol w:w="4706"/>
      </w:tblGrid>
      <w:tr>
        <w:tc>
          <w:tcPr>
            <w:tcW w:type="dxa" w:w="1871"/>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i w:val="0"/>
                <w:color w:val="44546A"/>
                <w:sz w:val="18"/>
              </w:rPr>
              <w:t>Prepared</w:t>
            </w:r>
          </w:p>
        </w:tc>
        <w:tc>
          <w:tcPr>
            <w:tcW w:type="dxa" w:w="7540"/>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val="0"/>
                <w:i w:val="0"/>
                <w:color w:val="262626"/>
                <w:sz w:val="18"/>
              </w:rPr>
              <w:t>29 July 2026</w:t>
            </w:r>
          </w:p>
        </w:tc>
      </w:tr>
      <w:tr>
        <w:tc>
          <w:tcPr>
            <w:tcW w:type="dxa" w:w="1871"/>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i w:val="0"/>
                <w:color w:val="44546A"/>
                <w:sz w:val="18"/>
              </w:rPr>
              <w:t>Scope</w:t>
            </w:r>
          </w:p>
        </w:tc>
        <w:tc>
          <w:tcPr>
            <w:tcW w:type="dxa" w:w="7540"/>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val="0"/>
                <w:i w:val="0"/>
                <w:color w:val="262626"/>
                <w:sz w:val="18"/>
              </w:rPr>
              <w:t>A single pilot deployment: approximately 500 learners and 10 teachers, one course, one semester. No larger configuration is costed, because none is planned.</w:t>
            </w:r>
          </w:p>
        </w:tc>
      </w:tr>
      <w:tr>
        <w:tc>
          <w:tcPr>
            <w:tcW w:type="dxa" w:w="1871"/>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i w:val="0"/>
                <w:color w:val="44546A"/>
                <w:sz w:val="18"/>
              </w:rPr>
              <w:t>Region priced</w:t>
            </w:r>
          </w:p>
        </w:tc>
        <w:tc>
          <w:tcPr>
            <w:tcW w:type="dxa" w:w="7540"/>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val="0"/>
                <w:i w:val="0"/>
                <w:color w:val="262626"/>
                <w:sz w:val="18"/>
              </w:rPr>
              <w:t>South Africa North (southafricanorth) — keeps student data in the country.</w:t>
            </w:r>
          </w:p>
        </w:tc>
      </w:tr>
      <w:tr>
        <w:tc>
          <w:tcPr>
            <w:tcW w:type="dxa" w:w="1871"/>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i w:val="0"/>
                <w:color w:val="44546A"/>
                <w:sz w:val="18"/>
              </w:rPr>
              <w:t>Currency</w:t>
            </w:r>
          </w:p>
        </w:tc>
        <w:tc>
          <w:tcPr>
            <w:tcW w:type="dxa" w:w="7540"/>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val="0"/>
                <w:i w:val="0"/>
                <w:color w:val="262626"/>
                <w:sz w:val="18"/>
              </w:rPr>
              <w:t>US dollars and rand. Azure's own published rand prices work out to R16.46 = US$1, and Azure bills South African customers in rand at Microsoft's rate rather than the daily exchange rate. The rand figures are therefore what would appear on an invoice.</w:t>
            </w:r>
          </w:p>
        </w:tc>
      </w:tr>
      <w:tr>
        <w:tc>
          <w:tcPr>
            <w:tcW w:type="dxa" w:w="1871"/>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i w:val="0"/>
                <w:color w:val="44546A"/>
                <w:sz w:val="18"/>
              </w:rPr>
              <w:t>Pricing basis</w:t>
            </w:r>
          </w:p>
        </w:tc>
        <w:tc>
          <w:tcPr>
            <w:tcW w:type="dxa" w:w="7540"/>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val="0"/>
                <w:i w:val="0"/>
                <w:color w:val="262626"/>
                <w:sz w:val="18"/>
              </w:rPr>
              <w:t>Standard pay-as-you-go list price. No academic, Enterprise Agreement, partner or reserved-capacity discount has been applied.</w:t>
            </w:r>
          </w:p>
        </w:tc>
      </w:tr>
      <w:tr>
        <w:tc>
          <w:tcPr>
            <w:tcW w:type="dxa" w:w="1871"/>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i w:val="0"/>
                <w:color w:val="44546A"/>
                <w:sz w:val="18"/>
              </w:rPr>
              <w:t>Source</w:t>
            </w:r>
          </w:p>
        </w:tc>
        <w:tc>
          <w:tcPr>
            <w:tcW w:type="dxa" w:w="7540"/>
            <w:tcBorders>
              <w:bottom w:val="single" w:sz="2" w:space="0" w:color="DDE2E9"/>
            </w:tcBorders>
            <w:tcMar>
              <w:top w:w="50" w:type="dxa"/>
              <w:start w:w="0" w:type="dxa"/>
              <w:bottom w:w="50" w:type="dxa"/>
              <w:end w:w="120" w:type="dxa"/>
            </w:tcMar>
          </w:tcPr>
          <w:p>
            <w:pPr>
              <w:spacing w:before="60" w:after="60" w:line="259" w:lineRule="auto"/>
              <w:jc w:val="left"/>
            </w:pPr>
            <w:r/>
            <w:r>
              <w:rPr>
                <w:rFonts w:ascii="Calibri" w:hAnsi="Calibri"/>
                <w:b w:val="0"/>
                <w:i w:val="0"/>
                <w:color w:val="262626"/>
                <w:sz w:val="18"/>
              </w:rPr>
              <w:t>Azure Retail Prices API (prices.azure.com), retrieved 29 July 2026. Free allowances and service limits verified against Microsoft Learn.</w:t>
            </w:r>
          </w:p>
        </w:tc>
      </w:tr>
    </w:tbl>
    <w:p>
      <w:pPr>
        <w:pStyle w:val="Heading1"/>
        <w:keepNext/>
        <w:spacing w:before="400" w:after="140" w:line="240" w:lineRule="auto"/>
        <w:pBdr>
          <w:bottom w:val="single" w:sz="6" w:space="4" w:color="1F3864"/>
        </w:pBdr>
      </w:pPr>
      <w:r>
        <w:rPr>
          <w:rFonts w:ascii="Calibri Light" w:hAnsi="Calibri Light"/>
          <w:b w:val="0"/>
          <w:color w:val="1F3864"/>
          <w:sz w:val="30"/>
        </w:rPr>
        <w:t>1.  The number</w:t>
      </w:r>
    </w:p>
    <w:tbl>
      <w:tblPr>
        <w:tblW w:type="auto" w:w="0"/>
        <w:jc w:val="left"/>
        <w:tblLayout w:type="fixed"/>
        <w:tblLook w:firstColumn="1" w:firstRow="1" w:lastColumn="0" w:lastRow="0" w:noHBand="0" w:noVBand="1" w:val="04A0"/>
        <w:tblLayout w:type="fixed"/>
      </w:tblPr>
      <w:tblGrid>
        <w:gridCol w:w="3137"/>
        <w:gridCol w:w="3137"/>
        <w:gridCol w:w="3137"/>
      </w:tblGrid>
      <w:tr>
        <w:trPr>
          <w:tblHeader w:val="true"/>
          <w:cantSplit/>
        </w:trPr>
        <w:tc>
          <w:tcPr>
            <w:tcW w:type="dxa" w:w="6009"/>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p>
        </w:tc>
        <w:tc>
          <w:tcPr>
            <w:tcW w:type="dxa" w:w="1701"/>
            <w:tcBorders>
              <w:bottom w:val="single" w:sz="2" w:space="0" w:color="1F3864"/>
            </w:tcBorders>
            <w:shd w:val="clear" w:color="auto" w:fill="1F3864"/>
            <w:tcMar>
              <w:top w:w="60" w:type="dxa"/>
              <w:start w:w="130" w:type="dxa"/>
              <w:bottom w:w="60" w:type="dxa"/>
              <w:end w:w="130" w:type="dxa"/>
            </w:tcMar>
          </w:tcPr>
          <w:p>
            <w:pPr>
              <w:spacing w:before="80" w:after="80" w:line="259" w:lineRule="auto"/>
              <w:jc w:val="right"/>
            </w:pPr>
            <w:r/>
            <w:r>
              <w:rPr>
                <w:rFonts w:ascii="Calibri" w:hAnsi="Calibri"/>
                <w:b/>
                <w:i w:val="0"/>
                <w:color w:val="FFFFFF"/>
                <w:sz w:val="19"/>
              </w:rPr>
              <w:t>US dollars</w:t>
            </w:r>
          </w:p>
        </w:tc>
        <w:tc>
          <w:tcPr>
            <w:tcW w:type="dxa" w:w="1701"/>
            <w:tcBorders>
              <w:bottom w:val="single" w:sz="2" w:space="0" w:color="1F3864"/>
            </w:tcBorders>
            <w:shd w:val="clear" w:color="auto" w:fill="1F3864"/>
            <w:tcMar>
              <w:top w:w="60" w:type="dxa"/>
              <w:start w:w="130" w:type="dxa"/>
              <w:bottom w:w="60" w:type="dxa"/>
              <w:end w:w="130" w:type="dxa"/>
            </w:tcMar>
          </w:tcPr>
          <w:p>
            <w:pPr>
              <w:spacing w:before="80" w:after="80" w:line="259" w:lineRule="auto"/>
              <w:jc w:val="right"/>
            </w:pPr>
            <w:r/>
            <w:r>
              <w:rPr>
                <w:rFonts w:ascii="Calibri" w:hAnsi="Calibri"/>
                <w:b/>
                <w:i w:val="0"/>
                <w:color w:val="FFFFFF"/>
                <w:sz w:val="19"/>
              </w:rPr>
              <w:t>Rand</w:t>
            </w:r>
          </w:p>
        </w:tc>
      </w:tr>
      <w:tr>
        <w:trPr>
          <w:cantSplit/>
        </w:trPr>
        <w:tc>
          <w:tcPr>
            <w:tcW w:type="dxa" w:w="6009"/>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20"/>
              </w:rPr>
              <w:t>Monthly running cost</w:t>
            </w:r>
          </w:p>
        </w:tc>
        <w:tc>
          <w:tcPr>
            <w:tcW w:type="dxa" w:w="170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20"/>
              </w:rPr>
              <w:t>$40.01</w:t>
            </w:r>
          </w:p>
        </w:tc>
        <w:tc>
          <w:tcPr>
            <w:tcW w:type="dxa" w:w="170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20"/>
              </w:rPr>
              <w:t>R659</w:t>
            </w:r>
          </w:p>
        </w:tc>
      </w:tr>
      <w:tr>
        <w:trPr>
          <w:cantSplit/>
        </w:trPr>
        <w:tc>
          <w:tcPr>
            <w:tcW w:type="dxa" w:w="6009"/>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20"/>
              </w:rPr>
              <w:t>Annual running cost</w:t>
            </w:r>
          </w:p>
        </w:tc>
        <w:tc>
          <w:tcPr>
            <w:tcW w:type="dxa" w:w="170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20"/>
              </w:rPr>
              <w:t>$480</w:t>
            </w:r>
          </w:p>
        </w:tc>
        <w:tc>
          <w:tcPr>
            <w:tcW w:type="dxa" w:w="170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20"/>
              </w:rPr>
              <w:t>R7,900</w:t>
            </w:r>
          </w:p>
        </w:tc>
      </w:tr>
    </w:tbl>
    <w:p>
      <w:pPr>
        <w:spacing w:before="0" w:after="0" w:line="240" w:lineRule="auto"/>
      </w:pPr>
      <w:r>
        <w:rPr>
          <w:sz w:val="10"/>
        </w:rPr>
      </w:r>
    </w:p>
    <w:p>
      <w:pPr>
        <w:spacing w:before="0" w:after="160" w:line="300" w:lineRule="auto"/>
        <w:jc w:val="left"/>
      </w:pPr>
      <w:r>
        <w:rPr>
          <w:rFonts w:ascii="Calibri" w:hAnsi="Calibri"/>
          <w:b w:val="0"/>
          <w:i w:val="0"/>
          <w:color w:val="262626"/>
          <w:sz w:val="20"/>
        </w:rPr>
        <w:t xml:space="preserve">That is the full monthly cost of hosting the Physics IDE </w:t>
      </w:r>
      <w:r>
        <w:rPr>
          <w:rFonts w:ascii="Calibri" w:hAnsi="Calibri"/>
          <w:b/>
          <w:i w:val="0"/>
          <w:color w:val="262626"/>
          <w:sz w:val="20"/>
        </w:rPr>
        <w:t>plus</w:t>
      </w:r>
      <w:r>
        <w:rPr>
          <w:rFonts w:ascii="Calibri" w:hAnsi="Calibri"/>
          <w:b w:val="0"/>
          <w:i w:val="0"/>
          <w:color w:val="262626"/>
          <w:sz w:val="20"/>
        </w:rPr>
        <w:t xml:space="preserve"> a learner and teacher portal on Azure, for roughly 500 learners and 10 teachers, in South Africa North, at undiscounted list price.</w:t>
      </w:r>
    </w:p>
    <w:p>
      <w:pPr>
        <w:spacing w:before="0" w:after="160" w:line="300" w:lineRule="auto"/>
        <w:jc w:val="left"/>
      </w:pPr>
      <w:r>
        <w:rPr>
          <w:rFonts w:ascii="Calibri" w:hAnsi="Calibri"/>
          <w:b w:val="0"/>
          <w:i w:val="0"/>
          <w:color w:val="262626"/>
          <w:sz w:val="20"/>
        </w:rPr>
        <w:t xml:space="preserve">For comparison, the Physics IDE </w:t>
      </w:r>
      <w:r>
        <w:rPr>
          <w:rFonts w:ascii="Calibri" w:hAnsi="Calibri"/>
          <w:b/>
          <w:i w:val="0"/>
          <w:color w:val="262626"/>
          <w:sz w:val="20"/>
        </w:rPr>
        <w:t>as it exists today costs nothing to host at all</w:t>
      </w:r>
      <w:r>
        <w:rPr>
          <w:rFonts w:ascii="Calibri" w:hAnsi="Calibri"/>
          <w:b w:val="0"/>
          <w:i w:val="0"/>
          <w:color w:val="262626"/>
          <w:sz w:val="20"/>
        </w:rPr>
        <w:t xml:space="preserve"> — R0 per month. Every simulation and every data analysis runs inside the student's own browser, so there is no server to pay for. The R659 a month buys one thing: the classroom layer. Accounts, roles, class lists, saved work that follows a student between devices, teacher templates, student submissions, and an audit trail that can stand up in an academic-integrity hearing.</w:t>
      </w:r>
    </w:p>
    <w:tbl>
      <w:tblPr>
        <w:tblW w:type="auto" w:w="0"/>
        <w:jc w:val="left"/>
        <w:tblLayout w:type="fixed"/>
        <w:tblLook w:firstColumn="1" w:firstRow="1" w:lastColumn="0" w:lastRow="0" w:noHBand="0" w:noVBand="1" w:val="04A0"/>
      </w:tblPr>
      <w:tblGrid>
        <w:gridCol w:w="9412"/>
      </w:tblGrid>
      <w:tr>
        <w:tc>
          <w:tcPr>
            <w:tcW w:type="dxa" w:w="9411"/>
            <w:tcBorders>
              <w:left w:val="single" w:sz="18" w:space="0" w:color="1F3864"/>
            </w:tcBorders>
            <w:shd w:val="clear" w:color="auto" w:fill="F2F5F9"/>
            <w:tcMar>
              <w:top w:w="140" w:type="dxa"/>
              <w:start w:w="200" w:type="dxa"/>
              <w:bottom w:w="140" w:type="dxa"/>
              <w:end w:w="180" w:type="dxa"/>
            </w:tcMar>
          </w:tcPr>
          <w:p>
            <w:pPr>
              <w:spacing w:before="0" w:after="0" w:line="283" w:lineRule="auto"/>
            </w:pPr>
            <w:r/>
            <w:r>
              <w:rPr>
                <w:rFonts w:ascii="Calibri" w:hAnsi="Calibri"/>
                <w:b/>
                <w:color w:val="1F3864"/>
                <w:sz w:val="18"/>
              </w:rPr>
              <w:t xml:space="preserve">Put plainly:  </w:t>
            </w:r>
            <w:r>
              <w:rPr>
                <w:rFonts w:ascii="Calibri" w:hAnsi="Calibri"/>
                <w:b w:val="0"/>
                <w:color w:val="262626"/>
                <w:sz w:val="18"/>
              </w:rPr>
              <w:t xml:space="preserve">the portal does not make the physics run faster or the IDE more capable. Not one rand of this goes toward simulation. It buys </w:t>
            </w:r>
            <w:r>
              <w:rPr>
                <w:rFonts w:ascii="Calibri" w:hAnsi="Calibri"/>
                <w:b/>
                <w:color w:val="262626"/>
                <w:sz w:val="18"/>
              </w:rPr>
              <w:t>identity, permanence and accountability</w:t>
            </w:r>
            <w:r>
              <w:rPr>
                <w:rFonts w:ascii="Calibri" w:hAnsi="Calibri"/>
                <w:b w:val="0"/>
                <w:color w:val="262626"/>
                <w:sz w:val="18"/>
              </w:rPr>
              <w:t xml:space="preserve"> — knowing who a student is, keeping their work safe, and being able to prove who submitted what, and when.</w:t>
            </w:r>
          </w:p>
        </w:tc>
      </w:tr>
    </w:tbl>
    <w:p>
      <w:pPr>
        <w:spacing w:before="0" w:after="0" w:line="240" w:lineRule="auto"/>
      </w:pPr>
      <w:r>
        <w:rPr>
          <w:sz w:val="6"/>
        </w:rPr>
      </w:r>
    </w:p>
    <w:p>
      <w:pPr>
        <w:pStyle w:val="Heading1"/>
        <w:keepNext/>
        <w:spacing w:before="400" w:after="140" w:line="240" w:lineRule="auto"/>
        <w:pBdr>
          <w:bottom w:val="single" w:sz="6" w:space="4" w:color="1F3864"/>
        </w:pBdr>
      </w:pPr>
      <w:r>
        <w:rPr>
          <w:rFonts w:ascii="Calibri Light" w:hAnsi="Calibri Light"/>
          <w:b w:val="0"/>
          <w:color w:val="1F3864"/>
          <w:sz w:val="30"/>
        </w:rPr>
        <w:t>2.  What is being costed</w:t>
      </w:r>
    </w:p>
    <w:p>
      <w:pPr>
        <w:spacing w:before="0" w:after="160" w:line="300" w:lineRule="auto"/>
        <w:jc w:val="left"/>
      </w:pPr>
      <w:r>
        <w:rPr>
          <w:rFonts w:ascii="Calibri" w:hAnsi="Calibri"/>
          <w:b w:val="0"/>
          <w:i w:val="0"/>
          <w:color w:val="262626"/>
          <w:sz w:val="20"/>
        </w:rPr>
        <w:t>The Physics IDE today is a browser-only application. There is no server, no database and no login. Simulations run in a sandboxed browser frame using GlowScript/VPython, data analysis runs in the browser using Arquero and Observable Plot, and projects are saved into the browser's own local storage on whichever machine the student happened to use.</w:t>
      </w:r>
    </w:p>
    <w:p>
      <w:pPr>
        <w:spacing w:before="0" w:after="120" w:line="300" w:lineRule="auto"/>
        <w:jc w:val="left"/>
      </w:pPr>
      <w:r>
        <w:rPr>
          <w:rFonts w:ascii="Calibri" w:hAnsi="Calibri"/>
          <w:b w:val="0"/>
          <w:i w:val="0"/>
          <w:color w:val="262626"/>
          <w:sz w:val="20"/>
        </w:rPr>
        <w:t xml:space="preserve">The </w:t>
      </w:r>
      <w:r>
        <w:rPr>
          <w:rFonts w:ascii="Calibri" w:hAnsi="Calibri"/>
          <w:b/>
          <w:i w:val="0"/>
          <w:color w:val="262626"/>
          <w:sz w:val="20"/>
        </w:rPr>
        <w:t>pilot portal</w:t>
      </w:r>
      <w:r>
        <w:rPr>
          <w:rFonts w:ascii="Calibri" w:hAnsi="Calibri"/>
          <w:b w:val="0"/>
          <w:i w:val="0"/>
          <w:color w:val="262626"/>
          <w:sz w:val="20"/>
        </w:rPr>
        <w:t xml:space="preserve"> costed here adds the institutional layer described in the project's technical documentation:</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Login, using either university accounts or a Microsoft-managed sign-in service</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Teacher, student and teaching-assistant roles</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Class and course lists, with permission boundaries between them</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Work saved centrally, so a student can continue on a different computer</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Teachers publishing starter templates to a class</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Students submitting work, and teachers seeing what has come in</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Controlled peer sharing, with the sharer's name attached</w:t>
      </w:r>
    </w:p>
    <w:p>
      <w:pPr>
        <w:tabs>
          <w:tab w:pos="425" w:val="left"/>
        </w:tabs>
        <w:spacing w:before="0" w:after="80" w:line="300" w:lineRule="auto"/>
        <w:ind w:left="425" w:hanging="425"/>
      </w:pPr>
      <w:r>
        <w:rPr>
          <w:rFonts w:ascii="Calibri" w:hAnsi="Calibri"/>
          <w:b w:val="0"/>
          <w:color w:val="1F3864"/>
          <w:sz w:val="20"/>
        </w:rPr>
        <w:t>•</w:t>
        <w:tab/>
      </w:r>
      <w:r>
        <w:rPr>
          <w:rFonts w:ascii="Calibri" w:hAnsi="Calibri"/>
          <w:b w:val="0"/>
          <w:color w:val="262626"/>
          <w:sz w:val="20"/>
        </w:rPr>
        <w:t>A permanent audit trail recording owner, sharer, recipient, timestamp and version, for academic-integrity purposes</w:t>
      </w:r>
    </w:p>
    <w:p>
      <w:pPr>
        <w:spacing w:before="0" w:after="0" w:line="240" w:lineRule="auto"/>
      </w:pPr>
      <w:r>
        <w:rPr>
          <w:sz w:val="6"/>
        </w:rPr>
      </w:r>
    </w:p>
    <w:p>
      <w:pPr>
        <w:spacing w:before="0" w:after="160" w:line="300" w:lineRule="auto"/>
        <w:jc w:val="left"/>
      </w:pPr>
      <w:r>
        <w:rPr>
          <w:rFonts w:ascii="Calibri" w:hAnsi="Calibri"/>
          <w:b w:val="0"/>
          <w:i w:val="0"/>
          <w:color w:val="262626"/>
          <w:sz w:val="20"/>
        </w:rPr>
        <w:t xml:space="preserve">The simulation engine does </w:t>
      </w:r>
      <w:r>
        <w:rPr>
          <w:rFonts w:ascii="Calibri" w:hAnsi="Calibri"/>
          <w:b/>
          <w:i w:val="0"/>
          <w:color w:val="262626"/>
          <w:sz w:val="20"/>
        </w:rPr>
        <w:t>not</w:t>
      </w:r>
      <w:r>
        <w:rPr>
          <w:rFonts w:ascii="Calibri" w:hAnsi="Calibri"/>
          <w:b w:val="0"/>
          <w:i w:val="0"/>
          <w:color w:val="262626"/>
          <w:sz w:val="20"/>
        </w:rPr>
        <w:t xml:space="preserve"> change. It stays in the browser, running on the student's own machine and their own graphics card. This is precisely why the figures are as low as they are: the servers being paid for move small amounts of text around and check permissions. They do not run physics.</w:t>
      </w:r>
    </w:p>
    <w:p>
      <w:r>
        <w:br w:type="page"/>
      </w:r>
    </w:p>
    <w:p>
      <w:pPr>
        <w:pStyle w:val="Heading1"/>
        <w:keepNext/>
        <w:spacing w:before="400" w:after="140" w:line="240" w:lineRule="auto"/>
        <w:pBdr>
          <w:bottom w:val="single" w:sz="6" w:space="4" w:color="1F3864"/>
        </w:pBdr>
      </w:pPr>
      <w:r>
        <w:rPr>
          <w:rFonts w:ascii="Calibri Light" w:hAnsi="Calibri Light"/>
          <w:b w:val="0"/>
          <w:color w:val="1F3864"/>
          <w:sz w:val="30"/>
        </w:rPr>
        <w:t>3.  What each Azure service actually does for the IDE</w:t>
      </w:r>
    </w:p>
    <w:p>
      <w:pPr>
        <w:spacing w:before="0" w:after="200" w:line="300" w:lineRule="auto"/>
        <w:jc w:val="left"/>
      </w:pPr>
      <w:r>
        <w:rPr>
          <w:rFonts w:ascii="Calibri" w:hAnsi="Calibri"/>
          <w:b w:val="0"/>
          <w:i/>
          <w:color w:val="5A6370"/>
          <w:sz w:val="18"/>
        </w:rPr>
        <w:t>This is the core of the document. Every service in the estimate is listed, in plain language, with what it makes possible and what would be lost without it.</w:t>
      </w:r>
    </w:p>
    <w:p>
      <w:pPr>
        <w:pStyle w:val="Heading2"/>
        <w:keepNext/>
        <w:spacing w:before="280" w:after="100" w:line="240" w:lineRule="auto"/>
      </w:pPr>
      <w:r>
        <w:rPr>
          <w:rFonts w:ascii="Calibri" w:hAnsi="Calibri"/>
          <w:b/>
          <w:color w:val="44546A"/>
          <w:sz w:val="23"/>
        </w:rPr>
        <w:t>3.1  Service by service</w:t>
      </w:r>
    </w:p>
    <w:tbl>
      <w:tblPr>
        <w:tblW w:type="auto" w:w="0"/>
        <w:jc w:val="left"/>
        <w:tblLayout w:type="fixed"/>
        <w:tblLook w:firstColumn="1" w:firstRow="1" w:lastColumn="0" w:lastRow="0" w:noHBand="0" w:noVBand="1" w:val="04A0"/>
        <w:tblLayout w:type="fixed"/>
      </w:tblPr>
      <w:tblGrid>
        <w:gridCol w:w="3137"/>
        <w:gridCol w:w="3137"/>
        <w:gridCol w:w="3137"/>
      </w:tblGrid>
      <w:tr>
        <w:trPr>
          <w:tblHeader w:val="true"/>
          <w:cantSplit/>
        </w:trPr>
        <w:tc>
          <w:tcPr>
            <w:tcW w:type="dxa" w:w="1984"/>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Azure service and its cost</w:t>
            </w:r>
          </w:p>
        </w:tc>
        <w:tc>
          <w:tcPr>
            <w:tcW w:type="dxa" w:w="3005"/>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What it is, in plain terms</w:t>
            </w:r>
          </w:p>
        </w:tc>
        <w:tc>
          <w:tcPr>
            <w:tcW w:type="dxa" w:w="4422"/>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What it makes possible in the Physics IDE</w:t>
            </w:r>
          </w:p>
        </w:tc>
      </w:tr>
      <w:tr>
        <w:trPr>
          <w:cantSplit/>
        </w:trPr>
        <w:tc>
          <w:tcPr>
            <w:tcW w:type="dxa" w:w="198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i w:val="0"/>
                <w:color w:val="262626"/>
                <w:sz w:val="17"/>
              </w:rPr>
              <w:t>Azure Static Web Apps</w:t>
            </w:r>
            <w:r>
              <w:rPr>
                <w:rFonts w:ascii="Calibri" w:hAnsi="Calibri"/>
                <w:b w:val="0"/>
                <w:i w:val="0"/>
                <w:color w:val="262626"/>
                <w:sz w:val="17"/>
              </w:rPr>
              <w:br/>
              <w:t>Free plan</w:t>
              <w:br/>
              <w:br/>
            </w:r>
            <w:r>
              <w:rPr>
                <w:rFonts w:ascii="Calibri" w:hAnsi="Calibri"/>
                <w:b/>
                <w:i w:val="0"/>
                <w:color w:val="262626"/>
                <w:sz w:val="17"/>
              </w:rPr>
              <w:t>R0 / month</w:t>
            </w:r>
          </w:p>
        </w:tc>
        <w:tc>
          <w:tcPr>
            <w:tcW w:type="dxa" w:w="300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file cupboard with a worldwide delivery network. It holds the IDE's web files and hands them to a student's browser when they open the site. It also issues the security certificate that puts the padlock in the address bar.</w:t>
            </w:r>
          </w:p>
        </w:tc>
        <w:tc>
          <w:tcPr>
            <w:tcW w:type="dxa" w:w="442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This is how the IDE reaches a student at all. Everything they see — the block editor, the code editor, the 3D viewport, the data panel, the built-in datasets, the templates — is delivered from here.</w:t>
              <w:br/>
            </w:r>
            <w:r>
              <w:rPr>
                <w:rFonts w:ascii="Calibri" w:hAnsi="Calibri"/>
                <w:b/>
                <w:i w:val="0"/>
                <w:color w:val="262626"/>
                <w:sz w:val="17"/>
              </w:rPr>
              <w:t>Without it:</w:t>
            </w:r>
            <w:r>
              <w:rPr>
                <w:rFonts w:ascii="Calibri" w:hAnsi="Calibri"/>
                <w:b w:val="0"/>
                <w:i w:val="0"/>
                <w:color w:val="262626"/>
                <w:sz w:val="17"/>
              </w:rPr>
              <w:t xml:space="preserve"> there is no website. Students would have to install software on each machine.</w:t>
            </w:r>
          </w:p>
        </w:tc>
      </w:tr>
      <w:tr>
        <w:trPr>
          <w:cantSplit/>
        </w:trPr>
        <w:tc>
          <w:tcPr>
            <w:tcW w:type="dxa" w:w="198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i w:val="0"/>
                <w:color w:val="262626"/>
                <w:sz w:val="17"/>
              </w:rPr>
              <w:t>Azure App Service (B1 Linux)</w:t>
            </w:r>
            <w:r>
              <w:rPr>
                <w:rFonts w:ascii="Calibri" w:hAnsi="Calibri"/>
                <w:b w:val="0"/>
                <w:i w:val="0"/>
                <w:color w:val="262626"/>
                <w:sz w:val="17"/>
              </w:rPr>
              <w:br/>
              <w:t>The API server</w:t>
              <w:br/>
              <w:br/>
            </w:r>
            <w:r>
              <w:rPr>
                <w:rFonts w:ascii="Calibri" w:hAnsi="Calibri"/>
                <w:b/>
                <w:i w:val="0"/>
                <w:color w:val="262626"/>
                <w:sz w:val="17"/>
              </w:rPr>
              <w:t>R292 / month</w:t>
            </w:r>
          </w:p>
        </w:tc>
        <w:tc>
          <w:tcPr>
            <w:tcW w:type="dxa" w:w="300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One small always-on Linux computer running the IDE's back-end programme — the part that answers requests coming from a student's browser and decides what they are allowed to do.</w:t>
            </w:r>
          </w:p>
        </w:tc>
        <w:tc>
          <w:tcPr>
            <w:tcW w:type="dxa" w:w="442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Everything that has to be checked or remembered somewhere other than the student's own laptop: signing in, deciding whether this student may open that project, writing work to the database, listing a class's submissions, publishing a teacher template, recording who shared what with whom.</w:t>
              <w:br/>
            </w:r>
            <w:r>
              <w:rPr>
                <w:rFonts w:ascii="Calibri" w:hAnsi="Calibri"/>
                <w:b/>
                <w:i w:val="0"/>
                <w:color w:val="262626"/>
                <w:sz w:val="17"/>
              </w:rPr>
              <w:t>Without it:</w:t>
            </w:r>
            <w:r>
              <w:rPr>
                <w:rFonts w:ascii="Calibri" w:hAnsi="Calibri"/>
                <w:b w:val="0"/>
                <w:i w:val="0"/>
                <w:color w:val="262626"/>
                <w:sz w:val="17"/>
              </w:rPr>
              <w:t xml:space="preserve"> no accounts, no sharing, no submissions, no teacher view. The IDE still works, but exactly as it does today — every project trapped in one browser on one machine.</w:t>
            </w:r>
          </w:p>
        </w:tc>
      </w:tr>
      <w:tr>
        <w:trPr>
          <w:cantSplit/>
        </w:trPr>
        <w:tc>
          <w:tcPr>
            <w:tcW w:type="dxa" w:w="198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i w:val="0"/>
                <w:color w:val="262626"/>
                <w:sz w:val="17"/>
              </w:rPr>
              <w:t>Azure Database for PostgreSQL</w:t>
            </w:r>
            <w:r>
              <w:rPr>
                <w:rFonts w:ascii="Calibri" w:hAnsi="Calibri"/>
                <w:b w:val="0"/>
                <w:i w:val="0"/>
                <w:color w:val="262626"/>
                <w:sz w:val="17"/>
              </w:rPr>
              <w:br/>
              <w:t>Flexible Server, B1ms</w:t>
              <w:br/>
              <w:br/>
            </w:r>
            <w:r>
              <w:rPr>
                <w:rFonts w:ascii="Calibri" w:hAnsi="Calibri"/>
                <w:b/>
                <w:i w:val="0"/>
                <w:color w:val="262626"/>
                <w:sz w:val="17"/>
              </w:rPr>
              <w:t>R258 / month</w:t>
            </w:r>
          </w:p>
        </w:tc>
        <w:tc>
          <w:tcPr>
            <w:tcW w:type="dxa" w:w="300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managed database. Microsoft runs it, patches it and backs it up; the project simply uses it. It stores structured records — rows and columns, not files.</w:t>
            </w:r>
          </w:p>
        </w:tc>
        <w:tc>
          <w:tcPr>
            <w:tcW w:type="dxa" w:w="442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permanent record. User accounts and roles, which class each student belongs to, course lists, project titles and metadata, submission records, and the audit trail of every share and every submission with usernames, timestamps and version identifiers.</w:t>
              <w:br/>
            </w:r>
            <w:r>
              <w:rPr>
                <w:rFonts w:ascii="Calibri" w:hAnsi="Calibri"/>
                <w:b/>
                <w:i w:val="0"/>
                <w:color w:val="262626"/>
                <w:sz w:val="17"/>
              </w:rPr>
              <w:t>Without it:</w:t>
            </w:r>
            <w:r>
              <w:rPr>
                <w:rFonts w:ascii="Calibri" w:hAnsi="Calibri"/>
                <w:b w:val="0"/>
                <w:i w:val="0"/>
                <w:color w:val="262626"/>
                <w:sz w:val="17"/>
              </w:rPr>
              <w:t xml:space="preserve"> nothing is remembered between sessions or between devices. No roster, no submission history, no audit trail — and therefore no academic-integrity evidence.</w:t>
            </w:r>
          </w:p>
        </w:tc>
      </w:tr>
      <w:tr>
        <w:trPr>
          <w:cantSplit/>
        </w:trPr>
        <w:tc>
          <w:tcPr>
            <w:tcW w:type="dxa" w:w="198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i w:val="0"/>
                <w:color w:val="262626"/>
                <w:sz w:val="17"/>
              </w:rPr>
              <w:t>Database storage</w:t>
            </w:r>
            <w:r>
              <w:rPr>
                <w:rFonts w:ascii="Calibri" w:hAnsi="Calibri"/>
                <w:b w:val="0"/>
                <w:i w:val="0"/>
                <w:color w:val="262626"/>
                <w:sz w:val="17"/>
              </w:rPr>
              <w:br/>
              <w:t>32 GB</w:t>
              <w:br/>
              <w:br/>
            </w:r>
            <w:r>
              <w:rPr>
                <w:rFonts w:ascii="Calibri" w:hAnsi="Calibri"/>
                <w:b/>
                <w:i w:val="0"/>
                <w:color w:val="262626"/>
                <w:sz w:val="17"/>
              </w:rPr>
              <w:t>R80 / month</w:t>
            </w:r>
          </w:p>
        </w:tc>
        <w:tc>
          <w:tcPr>
            <w:tcW w:type="dxa" w:w="300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disk space the database writes onto.</w:t>
            </w:r>
          </w:p>
        </w:tc>
        <w:tc>
          <w:tcPr>
            <w:tcW w:type="dxa" w:w="442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Room for roughly 500 students' project records, class lists and audit history, with a large margin. Project records are small text documents and the audit log is plain text, so 32 GB is generous rather than tight.</w:t>
              <w:br/>
            </w:r>
            <w:r>
              <w:rPr>
                <w:rFonts w:ascii="Calibri" w:hAnsi="Calibri"/>
                <w:b/>
                <w:i w:val="0"/>
                <w:color w:val="262626"/>
                <w:sz w:val="17"/>
              </w:rPr>
              <w:t>Without it:</w:t>
            </w:r>
            <w:r>
              <w:rPr>
                <w:rFonts w:ascii="Calibri" w:hAnsi="Calibri"/>
                <w:b w:val="0"/>
                <w:i w:val="0"/>
                <w:color w:val="262626"/>
                <w:sz w:val="17"/>
              </w:rPr>
              <w:t xml:space="preserve"> the database fills up and refuses to accept new work.</w:t>
            </w:r>
          </w:p>
        </w:tc>
      </w:tr>
      <w:tr>
        <w:trPr>
          <w:cantSplit/>
        </w:trPr>
        <w:tc>
          <w:tcPr>
            <w:tcW w:type="dxa" w:w="198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i w:val="0"/>
                <w:color w:val="262626"/>
                <w:sz w:val="17"/>
              </w:rPr>
              <w:t>Database backup</w:t>
            </w:r>
            <w:r>
              <w:rPr>
                <w:rFonts w:ascii="Calibri" w:hAnsi="Calibri"/>
                <w:b w:val="0"/>
                <w:i w:val="0"/>
                <w:color w:val="262626"/>
                <w:sz w:val="17"/>
              </w:rPr>
              <w:br/>
              <w:t>32 GB</w:t>
              <w:br/>
              <w:br/>
            </w:r>
            <w:r>
              <w:rPr>
                <w:rFonts w:ascii="Calibri" w:hAnsi="Calibri"/>
                <w:b/>
                <w:i w:val="0"/>
                <w:color w:val="262626"/>
                <w:sz w:val="17"/>
              </w:rPr>
              <w:t>R0 — included free</w:t>
            </w:r>
          </w:p>
        </w:tc>
        <w:tc>
          <w:tcPr>
            <w:tcW w:type="dxa" w:w="300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Automatic copies taken continuously, letting the database be rewound to any moment in the recent past.</w:t>
            </w:r>
          </w:p>
        </w:tc>
        <w:tc>
          <w:tcPr>
            <w:tcW w:type="dxa" w:w="442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Recovery from an accidental mass delete, a bad software update, or data corruption — without losing a term's submissions. Backup up to the size of the database itself is included at no charge.</w:t>
              <w:br/>
            </w:r>
            <w:r>
              <w:rPr>
                <w:rFonts w:ascii="Calibri" w:hAnsi="Calibri"/>
                <w:b/>
                <w:i w:val="0"/>
                <w:color w:val="262626"/>
                <w:sz w:val="17"/>
              </w:rPr>
              <w:t>Without it:</w:t>
            </w:r>
            <w:r>
              <w:rPr>
                <w:rFonts w:ascii="Calibri" w:hAnsi="Calibri"/>
                <w:b w:val="0"/>
                <w:i w:val="0"/>
                <w:color w:val="262626"/>
                <w:sz w:val="17"/>
              </w:rPr>
              <w:t xml:space="preserve"> a single mistake destroys every student's work permanently.</w:t>
            </w:r>
          </w:p>
        </w:tc>
      </w:tr>
      <w:tr>
        <w:trPr>
          <w:cantSplit/>
        </w:trPr>
        <w:tc>
          <w:tcPr>
            <w:tcW w:type="dxa" w:w="198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i w:val="0"/>
                <w:color w:val="262626"/>
                <w:sz w:val="17"/>
              </w:rPr>
              <w:t>Azure Blob Storage</w:t>
            </w:r>
            <w:r>
              <w:rPr>
                <w:rFonts w:ascii="Calibri" w:hAnsi="Calibri"/>
                <w:b w:val="0"/>
                <w:i w:val="0"/>
                <w:color w:val="262626"/>
                <w:sz w:val="17"/>
              </w:rPr>
              <w:br/>
              <w:t>20 GB, Hot tier</w:t>
              <w:br/>
              <w:br/>
            </w:r>
            <w:r>
              <w:rPr>
                <w:rFonts w:ascii="Calibri" w:hAnsi="Calibri"/>
                <w:b/>
                <w:i w:val="0"/>
                <w:color w:val="262626"/>
                <w:sz w:val="17"/>
              </w:rPr>
              <w:t>R7 / month</w:t>
            </w:r>
          </w:p>
        </w:tc>
        <w:tc>
          <w:tcPr>
            <w:tcW w:type="dxa" w:w="300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place to keep files that are too large or too awkward to sit inside a database — anything that behaves like a document rather than a row.</w:t>
            </w:r>
          </w:p>
        </w:tc>
        <w:tc>
          <w:tcPr>
            <w:tcW w:type="dxa" w:w="442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CSV datasets students upload into a Data Science project; chart images saved from the data panel; full project bundles (.physide.json and .physide.zip); PDF exports of code and block canvases; and submitted work kept as an unchangeable record.</w:t>
              <w:br/>
            </w:r>
            <w:r>
              <w:rPr>
                <w:rFonts w:ascii="Calibri" w:hAnsi="Calibri"/>
                <w:b/>
                <w:i w:val="0"/>
                <w:color w:val="262626"/>
                <w:sz w:val="17"/>
              </w:rPr>
              <w:t>Without it:</w:t>
            </w:r>
            <w:r>
              <w:rPr>
                <w:rFonts w:ascii="Calibri" w:hAnsi="Calibri"/>
                <w:b w:val="0"/>
                <w:i w:val="0"/>
                <w:color w:val="262626"/>
                <w:sz w:val="17"/>
              </w:rPr>
              <w:t xml:space="preserve"> students can still download exports to their own machines, but nothing can be handed in, shared, or fetched again later from a different computer.</w:t>
            </w:r>
          </w:p>
        </w:tc>
      </w:tr>
      <w:tr>
        <w:trPr>
          <w:cantSplit/>
        </w:trPr>
        <w:tc>
          <w:tcPr>
            <w:tcW w:type="dxa" w:w="198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i w:val="0"/>
                <w:color w:val="262626"/>
                <w:sz w:val="17"/>
              </w:rPr>
              <w:t>Blob transactions</w:t>
            </w:r>
            <w:r>
              <w:rPr>
                <w:rFonts w:ascii="Calibri" w:hAnsi="Calibri"/>
                <w:b w:val="0"/>
                <w:i w:val="0"/>
                <w:color w:val="262626"/>
                <w:sz w:val="17"/>
              </w:rPr>
              <w:br/>
              <w:t>~1M reads, 100k writes</w:t>
              <w:br/>
              <w:br/>
            </w:r>
            <w:r>
              <w:rPr>
                <w:rFonts w:ascii="Calibri" w:hAnsi="Calibri"/>
                <w:b/>
                <w:i w:val="0"/>
                <w:color w:val="262626"/>
                <w:sz w:val="17"/>
              </w:rPr>
              <w:t>R16 / month</w:t>
            </w:r>
          </w:p>
        </w:tc>
        <w:tc>
          <w:tcPr>
            <w:tcW w:type="dxa" w:w="300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very small charge each time a file is written or read — priced per ten thousand operations.</w:t>
            </w:r>
          </w:p>
        </w:tc>
        <w:tc>
          <w:tcPr>
            <w:tcW w:type="dxa" w:w="442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Every save, every open, every submission download. At pilot scale this stays under R20 a month even with generous assumptions.</w:t>
              <w:br/>
            </w:r>
            <w:r>
              <w:rPr>
                <w:rFonts w:ascii="Calibri" w:hAnsi="Calibri"/>
                <w:b/>
                <w:i w:val="0"/>
                <w:color w:val="262626"/>
                <w:sz w:val="17"/>
              </w:rPr>
              <w:t>Without it:</w:t>
            </w:r>
            <w:r>
              <w:rPr>
                <w:rFonts w:ascii="Calibri" w:hAnsi="Calibri"/>
                <w:b w:val="0"/>
                <w:i w:val="0"/>
                <w:color w:val="262626"/>
                <w:sz w:val="17"/>
              </w:rPr>
              <w:t xml:space="preserve"> not applicable — it is inseparable from using file storage.</w:t>
            </w:r>
          </w:p>
        </w:tc>
      </w:tr>
      <w:tr>
        <w:trPr>
          <w:cantSplit/>
        </w:trPr>
        <w:tc>
          <w:tcPr>
            <w:tcW w:type="dxa" w:w="198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i w:val="0"/>
                <w:color w:val="262626"/>
                <w:sz w:val="17"/>
              </w:rPr>
              <w:t>Microsoft Entra External ID</w:t>
            </w:r>
            <w:r>
              <w:rPr>
                <w:rFonts w:ascii="Calibri" w:hAnsi="Calibri"/>
                <w:b w:val="0"/>
                <w:i w:val="0"/>
                <w:color w:val="262626"/>
                <w:sz w:val="17"/>
              </w:rPr>
              <w:br/>
              <w:t>Up to 50,000 users</w:t>
              <w:br/>
              <w:br/>
            </w:r>
            <w:r>
              <w:rPr>
                <w:rFonts w:ascii="Calibri" w:hAnsi="Calibri"/>
                <w:b/>
                <w:i w:val="0"/>
                <w:color w:val="262626"/>
                <w:sz w:val="17"/>
              </w:rPr>
              <w:t>R0 — free tier</w:t>
            </w:r>
          </w:p>
        </w:tc>
        <w:tc>
          <w:tcPr>
            <w:tcW w:type="dxa" w:w="300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Microsoft's sign-in service. It handles passwords, multi-factor authentication, password resets and sessions, so the project never stores a password itself.</w:t>
            </w:r>
          </w:p>
        </w:tc>
        <w:tc>
          <w:tcPr>
            <w:tcW w:type="dxa" w:w="442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Knowing who someone is. That single fact is what makes teacher and student roles, class membership, ‘my projects’, submission attribution and the audit trail possible at all. The first 50,000 monthly active users are free — so this line is R0 at pilot scale, and would remain R0 university-wide.</w:t>
              <w:br/>
            </w:r>
            <w:r>
              <w:rPr>
                <w:rFonts w:ascii="Calibri" w:hAnsi="Calibri"/>
                <w:b/>
                <w:i w:val="0"/>
                <w:color w:val="262626"/>
                <w:sz w:val="17"/>
              </w:rPr>
              <w:t>Without it:</w:t>
            </w:r>
            <w:r>
              <w:rPr>
                <w:rFonts w:ascii="Calibri" w:hAnsi="Calibri"/>
                <w:b w:val="0"/>
                <w:i w:val="0"/>
                <w:color w:val="262626"/>
                <w:sz w:val="17"/>
              </w:rPr>
              <w:t xml:space="preserve"> anonymous use only, exactly as today. No roles, no ownership, no attribution.</w:t>
            </w:r>
          </w:p>
        </w:tc>
      </w:tr>
      <w:tr>
        <w:trPr>
          <w:cantSplit/>
        </w:trPr>
        <w:tc>
          <w:tcPr>
            <w:tcW w:type="dxa" w:w="198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i w:val="0"/>
                <w:color w:val="262626"/>
                <w:sz w:val="17"/>
              </w:rPr>
              <w:t>Application Insights</w:t>
            </w:r>
            <w:r>
              <w:rPr>
                <w:rFonts w:ascii="Calibri" w:hAnsi="Calibri"/>
                <w:b w:val="0"/>
                <w:i w:val="0"/>
                <w:color w:val="262626"/>
                <w:sz w:val="17"/>
              </w:rPr>
              <w:br/>
              <w:t>~3 GB / month</w:t>
              <w:br/>
              <w:br/>
            </w:r>
            <w:r>
              <w:rPr>
                <w:rFonts w:ascii="Calibri" w:hAnsi="Calibri"/>
                <w:b/>
                <w:i w:val="0"/>
                <w:color w:val="262626"/>
                <w:sz w:val="17"/>
              </w:rPr>
              <w:t>R0 — free tier</w:t>
            </w:r>
          </w:p>
        </w:tc>
        <w:tc>
          <w:tcPr>
            <w:tcW w:type="dxa" w:w="300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Collects error reports, speed measurements and usage counts from both the browser application and the API server.</w:t>
            </w:r>
          </w:p>
        </w:tc>
        <w:tc>
          <w:tcPr>
            <w:tcW w:type="dxa" w:w="442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Finding out a lab session has broken before thirty students send emails about it. Seeing which templates are genuinely used, how long a real student's analysis takes to run, and which blocks trip people up. The first 5 GB a month is free, which comfortably covers a pilot.</w:t>
              <w:br/>
            </w:r>
            <w:r>
              <w:rPr>
                <w:rFonts w:ascii="Calibri" w:hAnsi="Calibri"/>
                <w:b/>
                <w:i w:val="0"/>
                <w:color w:val="262626"/>
                <w:sz w:val="17"/>
              </w:rPr>
              <w:t>Without it:</w:t>
            </w:r>
            <w:r>
              <w:rPr>
                <w:rFonts w:ascii="Calibri" w:hAnsi="Calibri"/>
                <w:b w:val="0"/>
                <w:i w:val="0"/>
                <w:color w:val="262626"/>
                <w:sz w:val="17"/>
              </w:rPr>
              <w:t xml:space="preserve"> faults are discovered only when someone complains, with no evidence of what went wrong.</w:t>
            </w:r>
          </w:p>
        </w:tc>
      </w:tr>
      <w:tr>
        <w:trPr>
          <w:cantSplit/>
        </w:trPr>
        <w:tc>
          <w:tcPr>
            <w:tcW w:type="dxa" w:w="198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i w:val="0"/>
                <w:color w:val="262626"/>
                <w:sz w:val="17"/>
              </w:rPr>
              <w:t>Azure Key Vault</w:t>
            </w:r>
            <w:r>
              <w:rPr>
                <w:rFonts w:ascii="Calibri" w:hAnsi="Calibri"/>
                <w:b w:val="0"/>
                <w:i w:val="0"/>
                <w:color w:val="262626"/>
                <w:sz w:val="17"/>
              </w:rPr>
              <w:br/>
              <w:t>Standard</w:t>
              <w:br/>
              <w:br/>
            </w:r>
            <w:r>
              <w:rPr>
                <w:rFonts w:ascii="Calibri" w:hAnsi="Calibri"/>
                <w:b/>
                <w:i w:val="0"/>
                <w:color w:val="262626"/>
                <w:sz w:val="17"/>
              </w:rPr>
              <w:t>R5 / month</w:t>
            </w:r>
          </w:p>
        </w:tc>
        <w:tc>
          <w:tcPr>
            <w:tcW w:type="dxa" w:w="300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safe for passwords, database connection strings and access keys.</w:t>
            </w:r>
          </w:p>
        </w:tc>
        <w:tc>
          <w:tcPr>
            <w:tcW w:type="dxa" w:w="442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API can reach the database without the database password ever appearing in the source code or a configuration file. This is standard practice and is usually required by an institutional security review.</w:t>
              <w:br/>
            </w:r>
            <w:r>
              <w:rPr>
                <w:rFonts w:ascii="Calibri" w:hAnsi="Calibri"/>
                <w:b/>
                <w:i w:val="0"/>
                <w:color w:val="262626"/>
                <w:sz w:val="17"/>
              </w:rPr>
              <w:t>Without it:</w:t>
            </w:r>
            <w:r>
              <w:rPr>
                <w:rFonts w:ascii="Calibri" w:hAnsi="Calibri"/>
                <w:b w:val="0"/>
                <w:i w:val="0"/>
                <w:color w:val="262626"/>
                <w:sz w:val="17"/>
              </w:rPr>
              <w:t xml:space="preserve"> secrets end up committed to the code repository — an audit finding waiting to happen.</w:t>
            </w:r>
          </w:p>
        </w:tc>
      </w:tr>
      <w:tr>
        <w:trPr>
          <w:cantSplit/>
        </w:trPr>
        <w:tc>
          <w:tcPr>
            <w:tcW w:type="dxa" w:w="198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i w:val="0"/>
                <w:color w:val="262626"/>
                <w:sz w:val="17"/>
              </w:rPr>
              <w:t>Outbound bandwidth</w:t>
            </w:r>
            <w:r>
              <w:rPr>
                <w:rFonts w:ascii="Calibri" w:hAnsi="Calibri"/>
                <w:b w:val="0"/>
                <w:i w:val="0"/>
                <w:color w:val="262626"/>
                <w:sz w:val="17"/>
              </w:rPr>
              <w:br/>
              <w:t>~30 GB / month</w:t>
              <w:br/>
              <w:br/>
            </w:r>
            <w:r>
              <w:rPr>
                <w:rFonts w:ascii="Calibri" w:hAnsi="Calibri"/>
                <w:b/>
                <w:i w:val="0"/>
                <w:color w:val="262626"/>
                <w:sz w:val="17"/>
              </w:rPr>
              <w:t>R0 — free tier</w:t>
            </w:r>
          </w:p>
        </w:tc>
        <w:tc>
          <w:tcPr>
            <w:tcW w:type="dxa" w:w="300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charge for data leaving Azure and travelling to a student's browser.</w:t>
            </w:r>
          </w:p>
        </w:tc>
        <w:tc>
          <w:tcPr>
            <w:tcW w:type="dxa" w:w="442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Downloading the application itself, loading saved projects, and retrieving datasets and submitted files. The IDE is unusually light here — about 338 kB on a first visit and under 5 kB once the browser has cached it — and the heavy libraries (Blockly, Monaco, the GlowScript runtime) load from free public networks rather than from Azure. The first 100 GB a month is free and a pilot will not come close.</w:t>
              <w:br/>
            </w:r>
            <w:r>
              <w:rPr>
                <w:rFonts w:ascii="Calibri" w:hAnsi="Calibri"/>
                <w:b/>
                <w:i w:val="0"/>
                <w:color w:val="262626"/>
                <w:sz w:val="17"/>
              </w:rPr>
              <w:t>Without it:</w:t>
            </w:r>
            <w:r>
              <w:rPr>
                <w:rFonts w:ascii="Calibri" w:hAnsi="Calibri"/>
                <w:b w:val="0"/>
                <w:i w:val="0"/>
                <w:color w:val="262626"/>
                <w:sz w:val="17"/>
              </w:rPr>
              <w:t xml:space="preserve"> not applicable — it is inseparable from serving the application.</w:t>
            </w:r>
          </w:p>
        </w:tc>
      </w:tr>
    </w:tbl>
    <w:p>
      <w:r>
        <w:br w:type="page"/>
      </w:r>
    </w:p>
    <w:p>
      <w:pPr>
        <w:pStyle w:val="Heading2"/>
        <w:keepNext/>
        <w:spacing w:before="280" w:after="100" w:line="240" w:lineRule="auto"/>
      </w:pPr>
      <w:r>
        <w:rPr>
          <w:rFonts w:ascii="Calibri" w:hAnsi="Calibri"/>
          <w:b/>
          <w:color w:val="44546A"/>
          <w:sz w:val="23"/>
        </w:rPr>
        <w:t>3.2  Which parts of the IDE cost money, and which do not</w:t>
      </w:r>
    </w:p>
    <w:p>
      <w:pPr>
        <w:spacing w:before="0" w:after="160" w:line="300" w:lineRule="auto"/>
        <w:jc w:val="left"/>
      </w:pPr>
      <w:r>
        <w:rPr>
          <w:rFonts w:ascii="Calibri" w:hAnsi="Calibri"/>
          <w:b w:val="0"/>
          <w:i w:val="0"/>
          <w:color w:val="262626"/>
          <w:sz w:val="20"/>
        </w:rPr>
        <w:t>The same information viewed from the other direction. Almost everything that makes the Physics IDE an IDE runs on the student's own computer and is therefore free to host. The paid services sit entirely around the edge, in the classroom layer.</w:t>
      </w:r>
    </w:p>
    <w:tbl>
      <w:tblPr>
        <w:tblW w:type="auto" w:w="0"/>
        <w:jc w:val="left"/>
        <w:tblLayout w:type="fixed"/>
        <w:tblLook w:firstColumn="1" w:firstRow="1" w:lastColumn="0" w:lastRow="0" w:noHBand="0" w:noVBand="1" w:val="04A0"/>
        <w:tblLayout w:type="fixed"/>
      </w:tblPr>
      <w:tblGrid>
        <w:gridCol w:w="2353"/>
        <w:gridCol w:w="2353"/>
        <w:gridCol w:w="2353"/>
        <w:gridCol w:w="2353"/>
      </w:tblGrid>
      <w:tr>
        <w:trPr>
          <w:tblHeader w:val="true"/>
          <w:cantSplit/>
        </w:trPr>
        <w:tc>
          <w:tcPr>
            <w:tcW w:type="dxa" w:w="3515"/>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Physics IDE feature</w:t>
            </w:r>
          </w:p>
        </w:tc>
        <w:tc>
          <w:tcPr>
            <w:tcW w:type="dxa" w:w="2381"/>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Where it runs</w:t>
            </w:r>
          </w:p>
        </w:tc>
        <w:tc>
          <w:tcPr>
            <w:tcW w:type="dxa" w:w="2381"/>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Azure services involved</w:t>
            </w:r>
          </w:p>
        </w:tc>
        <w:tc>
          <w:tcPr>
            <w:tcW w:type="dxa" w:w="1134"/>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Cost impact</w:t>
            </w:r>
          </w:p>
        </w:tc>
      </w:tr>
      <w:tr>
        <w:trPr>
          <w:cantSplit/>
        </w:trPr>
        <w:tc>
          <w:tcPr>
            <w:tcW w:type="dxa" w:w="9412"/>
            <w:gridSpan w:val="4"/>
            <w:tcBorders>
              <w:top w:val="single" w:sz="4" w:space="0" w:color="1F3864"/>
              <w:bottom w:val="single" w:sz="2" w:space="0" w:color="DDE2E9"/>
            </w:tcBorders>
            <w:shd w:val="clear" w:color="auto" w:fill="DCE3EE"/>
            <w:tcMar>
              <w:top w:w="60" w:type="dxa"/>
              <w:start w:w="130" w:type="dxa"/>
              <w:bottom w:w="60" w:type="dxa"/>
              <w:end w:w="130" w:type="dxa"/>
            </w:tcMar>
          </w:tcPr>
          <w:p>
            <w:pPr>
              <w:spacing w:before="80" w:after="80" w:line="259" w:lineRule="auto"/>
              <w:jc w:val="left"/>
            </w:pPr>
            <w:r/>
            <w:r>
              <w:rPr>
                <w:rFonts w:ascii="Calibri" w:hAnsi="Calibri"/>
                <w:b/>
                <w:i w:val="0"/>
                <w:color w:val="1F3864"/>
                <w:sz w:val="16"/>
              </w:rPr>
              <w:t>Runs entirely in the student's browser — no ongoing cost</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Block editor (Blockly)</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 (file delivery only)</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Code editor (Monaco)</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3D viewport and physics simulation (GlowScript/VPython)</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 and their own graphics card</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Data Science panel — tables, statistics, regression, charts</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 (Arquero, Observable Plot)</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Built-in datasets — penguins, weather, planets, pendulum, spring, free fall</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Shipped inside the application</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Physics, Data Science and Hybrid templates</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Shipped inside the application</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Debug mode, trace capture, sparklines, CSV trace export</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Exporting to Python, XML, PDF, PNG or the clipboard</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Saving a project on one machine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 (local storage)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Working offline after the first visit</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Student's browser</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None</w:t>
            </w:r>
          </w:p>
        </w:tc>
      </w:tr>
      <w:tr>
        <w:trPr>
          <w:cantSplit/>
        </w:trPr>
        <w:tc>
          <w:tcPr>
            <w:tcW w:type="dxa" w:w="9412"/>
            <w:gridSpan w:val="4"/>
            <w:tcBorders>
              <w:top w:val="single" w:sz="4" w:space="0" w:color="1F3864"/>
              <w:bottom w:val="single" w:sz="2" w:space="0" w:color="DDE2E9"/>
            </w:tcBorders>
            <w:shd w:val="clear" w:color="auto" w:fill="DCE3EE"/>
            <w:tcMar>
              <w:top w:w="60" w:type="dxa"/>
              <w:start w:w="130" w:type="dxa"/>
              <w:bottom w:w="60" w:type="dxa"/>
              <w:end w:w="130" w:type="dxa"/>
            </w:tcMar>
          </w:tcPr>
          <w:p>
            <w:pPr>
              <w:spacing w:before="80" w:after="80" w:line="259" w:lineRule="auto"/>
              <w:jc w:val="left"/>
            </w:pPr>
            <w:r/>
            <w:r>
              <w:rPr>
                <w:rFonts w:ascii="Calibri" w:hAnsi="Calibri"/>
                <w:b/>
                <w:i w:val="0"/>
                <w:color w:val="1F3864"/>
                <w:sz w:val="16"/>
              </w:rPr>
              <w:t>Needs the portal — this is what the monthly cost buys</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Signing in</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and sign-in service</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Entra External ID, App Service</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Teacher, student and assistant roles</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and database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PostgreSQL</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Class and course lists</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and database</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PostgreSQL</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Saving work centrally and reopening it on another computer</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database and file storage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PostgreSQL, Blob</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teacher publishing a starter template to a class</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database and file storage</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PostgreSQL, Blob</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student submitting work for marking</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database and file storage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PostgreSQL, Blob</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Controlled peer sharing, with the sharer's name attached</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API and database</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PostgreSQL</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Audit trail — owner, sharer, recipient, timestamp, version</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Database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and its backup</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Uploading a student's own CSV into a Data Science project</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File storage</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Blob Storage</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Recovering deleted or corrupted work</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Backup</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backup</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Knowing when something has broken</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Monitoring</w:t>
            </w:r>
          </w:p>
        </w:tc>
        <w:tc>
          <w:tcPr>
            <w:tcW w:type="dxa" w:w="238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Application Insights</w:t>
            </w:r>
          </w:p>
        </w:tc>
        <w:tc>
          <w:tcPr>
            <w:tcW w:type="dxa" w:w="1134"/>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r>
        <w:trPr>
          <w:cantSplit/>
        </w:trPr>
        <w:tc>
          <w:tcPr>
            <w:tcW w:type="dxa" w:w="351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Keeping database passwords out of the source code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Secret storage</w:t>
            </w:r>
          </w:p>
        </w:tc>
        <w:tc>
          <w:tcPr>
            <w:tcW w:type="dxa" w:w="238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Key Vault</w:t>
            </w:r>
          </w:p>
        </w:tc>
        <w:tc>
          <w:tcPr>
            <w:tcW w:type="dxa" w:w="1134"/>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Included</w:t>
            </w:r>
          </w:p>
        </w:tc>
      </w:tr>
    </w:tbl>
    <w:p>
      <w:r>
        <w:br w:type="page"/>
      </w:r>
    </w:p>
    <w:p>
      <w:pPr>
        <w:pStyle w:val="Heading2"/>
        <w:keepNext/>
        <w:spacing w:before="280" w:after="100" w:line="240" w:lineRule="auto"/>
      </w:pPr>
      <w:r>
        <w:rPr>
          <w:rFonts w:ascii="Calibri" w:hAnsi="Calibri"/>
          <w:b/>
          <w:color w:val="44546A"/>
          <w:sz w:val="23"/>
        </w:rPr>
        <w:t>3.3  Azure services deliberately left out, and why</w:t>
      </w:r>
    </w:p>
    <w:p>
      <w:pPr>
        <w:spacing w:before="0" w:after="160" w:line="300" w:lineRule="auto"/>
        <w:jc w:val="left"/>
      </w:pPr>
      <w:r>
        <w:rPr>
          <w:rFonts w:ascii="Calibri" w:hAnsi="Calibri"/>
          <w:b w:val="0"/>
          <w:i w:val="0"/>
          <w:color w:val="262626"/>
          <w:sz w:val="20"/>
        </w:rPr>
        <w:t>Included for completeness, so the estimate cannot be accused of quietly omitting something. None of these is needed for a pilot of this size.</w:t>
      </w:r>
    </w:p>
    <w:tbl>
      <w:tblPr>
        <w:tblW w:type="auto" w:w="0"/>
        <w:jc w:val="left"/>
        <w:tblLayout w:type="fixed"/>
        <w:tblLook w:firstColumn="1" w:firstRow="1" w:lastColumn="0" w:lastRow="0" w:noHBand="0" w:noVBand="1" w:val="04A0"/>
        <w:tblLayout w:type="fixed"/>
      </w:tblPr>
      <w:tblGrid>
        <w:gridCol w:w="3137"/>
        <w:gridCol w:w="3137"/>
        <w:gridCol w:w="3137"/>
      </w:tblGrid>
      <w:tr>
        <w:trPr>
          <w:tblHeader w:val="true"/>
          <w:cantSplit/>
        </w:trPr>
        <w:tc>
          <w:tcPr>
            <w:tcW w:type="dxa" w:w="2608"/>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Service not used</w:t>
            </w:r>
          </w:p>
        </w:tc>
        <w:tc>
          <w:tcPr>
            <w:tcW w:type="dxa" w:w="3742"/>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Why it is not needed here</w:t>
            </w:r>
          </w:p>
        </w:tc>
        <w:tc>
          <w:tcPr>
            <w:tcW w:type="dxa" w:w="3061"/>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What would trigger needing it</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Container Apps or Kubernetes</w:t>
            </w:r>
          </w:p>
        </w:tc>
        <w:tc>
          <w:tcPr>
            <w:tcW w:type="dxa" w:w="374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One small always-on server handles 500 users comfortably. Containers add operational complexity for no benefit at this size.</w:t>
            </w:r>
          </w:p>
        </w:tc>
        <w:tc>
          <w:tcPr>
            <w:tcW w:type="dxa" w:w="306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Traffic that needs parts of the system to scale independently, or a move to several separate services.</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Container Registry</w:t>
            </w:r>
          </w:p>
        </w:tc>
        <w:tc>
          <w:tcPr>
            <w:tcW w:type="dxa" w:w="374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Only needed if the application is shipped as containers, which it is not.</w:t>
            </w:r>
          </w:p>
        </w:tc>
        <w:tc>
          <w:tcPr>
            <w:tcW w:type="dxa" w:w="306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same trigger as above. Adds about R83 a month.</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Front Door / Web Application Firewall</w:t>
            </w:r>
          </w:p>
        </w:tc>
        <w:tc>
          <w:tcPr>
            <w:tcW w:type="dxa" w:w="374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 already provides worldwide delivery and HTTPS.</w:t>
            </w:r>
          </w:p>
        </w:tc>
        <w:tc>
          <w:tcPr>
            <w:tcW w:type="dxa" w:w="306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formal security review demanding a firewall in front of the application. From about R576 a month.</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SQL Database</w:t>
            </w:r>
          </w:p>
        </w:tc>
        <w:tc>
          <w:tcPr>
            <w:tcW w:type="dxa" w:w="374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is the engine named in the project's own technical documentation and is cheaper at this size (R258 against R354).</w:t>
            </w:r>
          </w:p>
        </w:tc>
        <w:tc>
          <w:tcPr>
            <w:tcW w:type="dxa" w:w="306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institution standardising on Microsoft SQL Server.</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 Standard plan</w:t>
            </w:r>
          </w:p>
        </w:tc>
        <w:tc>
          <w:tcPr>
            <w:tcW w:type="dxa" w:w="374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free plan's 100 GB a month covers roughly 295,000 first-time visits — far beyond a pilot.</w:t>
            </w:r>
          </w:p>
        </w:tc>
        <w:tc>
          <w:tcPr>
            <w:tcW w:type="dxa" w:w="306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 contractual uptime guarantee being required. Adds R148 a month.</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Cache for Redis</w:t>
            </w:r>
          </w:p>
        </w:tc>
        <w:tc>
          <w:tcPr>
            <w:tcW w:type="dxa" w:w="374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500 users generate too little load for caching to be worth its cost.</w:t>
            </w:r>
          </w:p>
        </w:tc>
        <w:tc>
          <w:tcPr>
            <w:tcW w:type="dxa" w:w="306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Measurably slow database queries under real classroom load.</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Service Bus, queues, background workers</w:t>
            </w:r>
          </w:p>
        </w:tc>
        <w:tc>
          <w:tcPr>
            <w:tcW w:type="dxa" w:w="374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design has no background jobs.</w:t>
            </w:r>
          </w:p>
        </w:tc>
        <w:tc>
          <w:tcPr>
            <w:tcW w:type="dxa" w:w="306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Batch marking, bulk exports, or scheduled reports.</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Azure Functions</w:t>
            </w:r>
          </w:p>
        </w:tc>
        <w:tc>
          <w:tcPr>
            <w:tcW w:type="dxa" w:w="374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The API is small enough to live comfortably in one App Service.</w:t>
            </w:r>
          </w:p>
        </w:tc>
        <w:tc>
          <w:tcPr>
            <w:tcW w:type="dxa" w:w="306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Occasional background tasks that do not justify a second always-on server.</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GPU or high-performance compute (Slurm, GPU nodes)</w:t>
            </w:r>
          </w:p>
        </w:tc>
        <w:tc>
          <w:tcPr>
            <w:tcW w:type="dxa" w:w="374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Never required. All physics runs in the student's own browser, on their own graphics card. No simulation code executes on a server.</w:t>
            </w:r>
          </w:p>
        </w:tc>
        <w:tc>
          <w:tcPr>
            <w:tcW w:type="dxa" w:w="3061"/>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Nothing, for this architecture. This is worth stating explicitly because it is a common and expensive misunderstanding.</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Disaster-recovery copy in South Africa West</w:t>
            </w:r>
          </w:p>
        </w:tc>
        <w:tc>
          <w:tcPr>
            <w:tcW w:type="dxa" w:w="374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Out of scope for a one-semester pilot.</w:t>
            </w:r>
          </w:p>
        </w:tc>
        <w:tc>
          <w:tcPr>
            <w:tcW w:type="dxa" w:w="3061"/>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Becoming a production service with an availability commitment. Roughly doubles the database and API lines.</w:t>
            </w:r>
          </w:p>
        </w:tc>
      </w:tr>
    </w:tbl>
    <w:p>
      <w:r>
        <w:br w:type="page"/>
      </w:r>
    </w:p>
    <w:p>
      <w:pPr>
        <w:pStyle w:val="Heading1"/>
        <w:keepNext/>
        <w:spacing w:before="400" w:after="140" w:line="240" w:lineRule="auto"/>
        <w:pBdr>
          <w:bottom w:val="single" w:sz="6" w:space="4" w:color="1F3864"/>
        </w:pBdr>
      </w:pPr>
      <w:r>
        <w:rPr>
          <w:rFonts w:ascii="Calibri Light" w:hAnsi="Calibri Light"/>
          <w:b w:val="0"/>
          <w:color w:val="1F3864"/>
          <w:sz w:val="30"/>
        </w:rPr>
        <w:t>4.  The estimate, line by line</w:t>
      </w:r>
    </w:p>
    <w:p>
      <w:pPr>
        <w:spacing w:before="0" w:after="160" w:line="300" w:lineRule="auto"/>
        <w:jc w:val="left"/>
      </w:pPr>
      <w:r>
        <w:rPr>
          <w:rFonts w:ascii="Calibri" w:hAnsi="Calibri"/>
          <w:b w:val="0"/>
          <w:i w:val="0"/>
          <w:color w:val="262626"/>
          <w:sz w:val="20"/>
        </w:rPr>
        <w:t>Approximately 500 learners and 10 teachers, one course, one semester. A single API instance and a burstable database — the smallest configuration that delivers the full portal.</w:t>
      </w:r>
    </w:p>
    <w:tbl>
      <w:tblPr>
        <w:tblW w:type="auto" w:w="0"/>
        <w:jc w:val="left"/>
        <w:tblLayout w:type="fixed"/>
        <w:tblLook w:firstColumn="1" w:firstRow="1" w:lastColumn="0" w:lastRow="0" w:noHBand="0" w:noVBand="1" w:val="04A0"/>
        <w:tblLayout w:type="fixed"/>
      </w:tblPr>
      <w:tblGrid>
        <w:gridCol w:w="2353"/>
        <w:gridCol w:w="2353"/>
        <w:gridCol w:w="2353"/>
        <w:gridCol w:w="2353"/>
      </w:tblGrid>
      <w:tr>
        <w:trPr>
          <w:tblHeader w:val="true"/>
          <w:cantSplit/>
        </w:trPr>
        <w:tc>
          <w:tcPr>
            <w:tcW w:type="dxa" w:w="1928"/>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7"/>
              </w:rPr>
              <w:t>Line item</w:t>
            </w:r>
          </w:p>
        </w:tc>
        <w:tc>
          <w:tcPr>
            <w:tcW w:type="dxa" w:w="4762"/>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7"/>
              </w:rPr>
              <w:t>What was assumed</w:t>
            </w:r>
          </w:p>
        </w:tc>
        <w:tc>
          <w:tcPr>
            <w:tcW w:type="dxa" w:w="1361"/>
            <w:tcBorders>
              <w:bottom w:val="single" w:sz="2" w:space="0" w:color="1F3864"/>
            </w:tcBorders>
            <w:shd w:val="clear" w:color="auto" w:fill="1F3864"/>
            <w:tcMar>
              <w:top w:w="60" w:type="dxa"/>
              <w:start w:w="130" w:type="dxa"/>
              <w:bottom w:w="60" w:type="dxa"/>
              <w:end w:w="130" w:type="dxa"/>
            </w:tcMar>
          </w:tcPr>
          <w:p>
            <w:pPr>
              <w:spacing w:before="80" w:after="80" w:line="259" w:lineRule="auto"/>
              <w:jc w:val="right"/>
            </w:pPr>
            <w:r/>
            <w:r>
              <w:rPr>
                <w:rFonts w:ascii="Calibri" w:hAnsi="Calibri"/>
                <w:b/>
                <w:i w:val="0"/>
                <w:color w:val="FFFFFF"/>
                <w:sz w:val="17"/>
              </w:rPr>
              <w:t>USD / month</w:t>
            </w:r>
          </w:p>
        </w:tc>
        <w:tc>
          <w:tcPr>
            <w:tcW w:type="dxa" w:w="1361"/>
            <w:tcBorders>
              <w:bottom w:val="single" w:sz="2" w:space="0" w:color="1F3864"/>
            </w:tcBorders>
            <w:shd w:val="clear" w:color="auto" w:fill="1F3864"/>
            <w:tcMar>
              <w:top w:w="60" w:type="dxa"/>
              <w:start w:w="130" w:type="dxa"/>
              <w:bottom w:w="60" w:type="dxa"/>
              <w:end w:w="130" w:type="dxa"/>
            </w:tcMar>
          </w:tcPr>
          <w:p>
            <w:pPr>
              <w:spacing w:before="80" w:after="80" w:line="259" w:lineRule="auto"/>
              <w:jc w:val="right"/>
            </w:pPr>
            <w:r/>
            <w:r>
              <w:rPr>
                <w:rFonts w:ascii="Calibri" w:hAnsi="Calibri"/>
                <w:b/>
                <w:i w:val="0"/>
                <w:color w:val="FFFFFF"/>
                <w:sz w:val="17"/>
              </w:rPr>
              <w:t>ZAR / month</w:t>
            </w:r>
          </w:p>
        </w:tc>
      </w:tr>
      <w:tr>
        <w:trPr>
          <w:cantSplit/>
        </w:trPr>
        <w:tc>
          <w:tcPr>
            <w:tcW w:type="dxa" w:w="192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Frontend hosting</w:t>
            </w:r>
          </w:p>
        </w:tc>
        <w:tc>
          <w:tcPr>
            <w:tcW w:type="dxa" w:w="476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Static Web Apps, Free plan</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0.00</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w:t>
            </w:r>
          </w:p>
        </w:tc>
      </w:tr>
      <w:tr>
        <w:trPr>
          <w:cantSplit/>
        </w:trPr>
        <w:tc>
          <w:tcPr>
            <w:tcW w:type="dxa" w:w="192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API server</w:t>
            </w:r>
          </w:p>
        </w:tc>
        <w:tc>
          <w:tcPr>
            <w:tcW w:type="dxa" w:w="476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App Service B1 Linux — 1 vCPU, 1.75 GB memory</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17.74</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292</w:t>
            </w:r>
          </w:p>
        </w:tc>
      </w:tr>
      <w:tr>
        <w:trPr>
          <w:cantSplit/>
        </w:trPr>
        <w:tc>
          <w:tcPr>
            <w:tcW w:type="dxa" w:w="192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Database</w:t>
            </w:r>
          </w:p>
        </w:tc>
        <w:tc>
          <w:tcPr>
            <w:tcW w:type="dxa" w:w="476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PostgreSQL Flexible Server B1ms — 1 vCore, 2 GB memory</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15.70</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258</w:t>
            </w:r>
          </w:p>
        </w:tc>
      </w:tr>
      <w:tr>
        <w:trPr>
          <w:cantSplit/>
        </w:trPr>
        <w:tc>
          <w:tcPr>
            <w:tcW w:type="dxa" w:w="192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Database storage</w:t>
            </w:r>
          </w:p>
        </w:tc>
        <w:tc>
          <w:tcPr>
            <w:tcW w:type="dxa" w:w="476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32 GB at $0.151 per GB</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4.83</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80</w:t>
            </w:r>
          </w:p>
        </w:tc>
      </w:tr>
      <w:tr>
        <w:trPr>
          <w:cantSplit/>
        </w:trPr>
        <w:tc>
          <w:tcPr>
            <w:tcW w:type="dxa" w:w="192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Database backup</w:t>
            </w:r>
          </w:p>
        </w:tc>
        <w:tc>
          <w:tcPr>
            <w:tcW w:type="dxa" w:w="476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32 GB — within the free allowance</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0.00</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w:t>
            </w:r>
          </w:p>
        </w:tc>
      </w:tr>
      <w:tr>
        <w:trPr>
          <w:cantSplit/>
        </w:trPr>
        <w:tc>
          <w:tcPr>
            <w:tcW w:type="dxa" w:w="192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File storage</w:t>
            </w:r>
          </w:p>
        </w:tc>
        <w:tc>
          <w:tcPr>
            <w:tcW w:type="dxa" w:w="476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20 GB, Hot tier, locally redundant</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0.44</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7</w:t>
            </w:r>
          </w:p>
        </w:tc>
      </w:tr>
      <w:tr>
        <w:trPr>
          <w:cantSplit/>
        </w:trPr>
        <w:tc>
          <w:tcPr>
            <w:tcW w:type="dxa" w:w="192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File operations</w:t>
            </w:r>
          </w:p>
        </w:tc>
        <w:tc>
          <w:tcPr>
            <w:tcW w:type="dxa" w:w="476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About 1 million reads and 100,000 writes</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1.00</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16</w:t>
            </w:r>
          </w:p>
        </w:tc>
      </w:tr>
      <w:tr>
        <w:trPr>
          <w:cantSplit/>
        </w:trPr>
        <w:tc>
          <w:tcPr>
            <w:tcW w:type="dxa" w:w="192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Sign-in</w:t>
            </w:r>
          </w:p>
        </w:tc>
        <w:tc>
          <w:tcPr>
            <w:tcW w:type="dxa" w:w="476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Entra External ID, 510 active users — inside the 50,000 free tier</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0.00</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w:t>
            </w:r>
          </w:p>
        </w:tc>
      </w:tr>
      <w:tr>
        <w:trPr>
          <w:cantSplit/>
        </w:trPr>
        <w:tc>
          <w:tcPr>
            <w:tcW w:type="dxa" w:w="192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Monitoring</w:t>
            </w:r>
          </w:p>
        </w:tc>
        <w:tc>
          <w:tcPr>
            <w:tcW w:type="dxa" w:w="476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Application Insights, about 3 GB — inside the 5 GB free tier</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0.00</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w:t>
            </w:r>
          </w:p>
        </w:tc>
      </w:tr>
      <w:tr>
        <w:trPr>
          <w:cantSplit/>
        </w:trPr>
        <w:tc>
          <w:tcPr>
            <w:tcW w:type="dxa" w:w="192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Secret storage</w:t>
            </w:r>
          </w:p>
        </w:tc>
        <w:tc>
          <w:tcPr>
            <w:tcW w:type="dxa" w:w="476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Key Vault Standard</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0.30</w:t>
            </w:r>
          </w:p>
        </w:tc>
        <w:tc>
          <w:tcPr>
            <w:tcW w:type="dxa" w:w="1361"/>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5</w:t>
            </w:r>
          </w:p>
        </w:tc>
      </w:tr>
      <w:tr>
        <w:trPr>
          <w:cantSplit/>
        </w:trPr>
        <w:tc>
          <w:tcPr>
            <w:tcW w:type="dxa" w:w="192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Outbound data</w:t>
            </w:r>
          </w:p>
        </w:tc>
        <w:tc>
          <w:tcPr>
            <w:tcW w:type="dxa" w:w="476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About 30 GB — inside the 100 GB free tier</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0.00</w:t>
            </w:r>
          </w:p>
        </w:tc>
        <w:tc>
          <w:tcPr>
            <w:tcW w:type="dxa" w:w="1361"/>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8"/>
              </w:rPr>
              <w:t>0</w:t>
            </w:r>
          </w:p>
        </w:tc>
      </w:tr>
      <w:tr>
        <w:trPr>
          <w:cantSplit/>
        </w:trPr>
        <w:tc>
          <w:tcPr>
            <w:tcW w:type="dxa" w:w="1928"/>
            <w:tcBorders>
              <w:top w:val="single" w:sz="8" w:space="0" w:color="1F3864"/>
              <w:bottom w:val="single" w:sz="8" w:space="0" w:color="1F3864"/>
            </w:tcBorders>
            <w:shd w:val="clear" w:color="auto" w:fill="E8EDF5"/>
            <w:tcMar>
              <w:top w:w="60" w:type="dxa"/>
              <w:start w:w="130" w:type="dxa"/>
              <w:bottom w:w="60" w:type="dxa"/>
              <w:end w:w="130" w:type="dxa"/>
            </w:tcMar>
          </w:tcPr>
          <w:p>
            <w:pPr>
              <w:spacing w:before="60" w:after="60" w:line="259" w:lineRule="auto"/>
              <w:jc w:val="left"/>
            </w:pPr>
            <w:r/>
            <w:r>
              <w:rPr>
                <w:rFonts w:ascii="Calibri" w:hAnsi="Calibri"/>
                <w:b/>
                <w:i w:val="0"/>
                <w:color w:val="1F3864"/>
                <w:sz w:val="18"/>
              </w:rPr>
              <w:t>Total</w:t>
            </w:r>
          </w:p>
        </w:tc>
        <w:tc>
          <w:tcPr>
            <w:tcW w:type="dxa" w:w="4762"/>
            <w:tcBorders>
              <w:top w:val="single" w:sz="8" w:space="0" w:color="1F3864"/>
              <w:bottom w:val="single" w:sz="8" w:space="0" w:color="1F3864"/>
            </w:tcBorders>
            <w:shd w:val="clear" w:color="auto" w:fill="E8EDF5"/>
            <w:tcMar>
              <w:top w:w="60" w:type="dxa"/>
              <w:start w:w="130" w:type="dxa"/>
              <w:bottom w:w="60" w:type="dxa"/>
              <w:end w:w="130" w:type="dxa"/>
            </w:tcMar>
          </w:tcPr>
          <w:p>
            <w:pPr>
              <w:spacing w:before="60" w:after="60" w:line="259" w:lineRule="auto"/>
              <w:jc w:val="left"/>
            </w:pPr>
            <w:r/>
          </w:p>
        </w:tc>
        <w:tc>
          <w:tcPr>
            <w:tcW w:type="dxa" w:w="1361"/>
            <w:tcBorders>
              <w:top w:val="single" w:sz="8" w:space="0" w:color="1F3864"/>
              <w:bottom w:val="single" w:sz="8" w:space="0" w:color="1F3864"/>
            </w:tcBorders>
            <w:shd w:val="clear" w:color="auto" w:fill="E8EDF5"/>
            <w:tcMar>
              <w:top w:w="60" w:type="dxa"/>
              <w:start w:w="130" w:type="dxa"/>
              <w:bottom w:w="60" w:type="dxa"/>
              <w:end w:w="130" w:type="dxa"/>
            </w:tcMar>
          </w:tcPr>
          <w:p>
            <w:pPr>
              <w:spacing w:before="60" w:after="60" w:line="259" w:lineRule="auto"/>
              <w:jc w:val="right"/>
            </w:pPr>
            <w:r/>
            <w:r>
              <w:rPr>
                <w:rFonts w:ascii="Calibri" w:hAnsi="Calibri"/>
                <w:b/>
                <w:i w:val="0"/>
                <w:color w:val="1F3864"/>
                <w:sz w:val="18"/>
              </w:rPr>
              <w:t>$40.01</w:t>
            </w:r>
          </w:p>
        </w:tc>
        <w:tc>
          <w:tcPr>
            <w:tcW w:type="dxa" w:w="1361"/>
            <w:tcBorders>
              <w:top w:val="single" w:sz="8" w:space="0" w:color="1F3864"/>
              <w:bottom w:val="single" w:sz="8" w:space="0" w:color="1F3864"/>
            </w:tcBorders>
            <w:shd w:val="clear" w:color="auto" w:fill="E8EDF5"/>
            <w:tcMar>
              <w:top w:w="60" w:type="dxa"/>
              <w:start w:w="130" w:type="dxa"/>
              <w:bottom w:w="60" w:type="dxa"/>
              <w:end w:w="130" w:type="dxa"/>
            </w:tcMar>
          </w:tcPr>
          <w:p>
            <w:pPr>
              <w:spacing w:before="60" w:after="60" w:line="259" w:lineRule="auto"/>
              <w:jc w:val="right"/>
            </w:pPr>
            <w:r/>
            <w:r>
              <w:rPr>
                <w:rFonts w:ascii="Calibri" w:hAnsi="Calibri"/>
                <w:b/>
                <w:i w:val="0"/>
                <w:color w:val="1F3864"/>
                <w:sz w:val="18"/>
              </w:rPr>
              <w:t>R659</w:t>
            </w:r>
          </w:p>
        </w:tc>
      </w:tr>
    </w:tbl>
    <w:p>
      <w:pPr>
        <w:spacing w:before="0" w:after="0" w:line="240" w:lineRule="auto"/>
      </w:pPr>
      <w:r>
        <w:rPr>
          <w:sz w:val="8"/>
        </w:rPr>
      </w:r>
    </w:p>
    <w:p>
      <w:pPr>
        <w:spacing w:before="0" w:after="160" w:line="300" w:lineRule="auto"/>
        <w:jc w:val="left"/>
      </w:pPr>
      <w:r>
        <w:rPr>
          <w:rFonts w:ascii="Calibri" w:hAnsi="Calibri"/>
          <w:b/>
          <w:i w:val="0"/>
          <w:color w:val="262626"/>
          <w:sz w:val="20"/>
        </w:rPr>
        <w:t>Annual: $480, or approximately R7,900.</w:t>
      </w:r>
    </w:p>
    <w:p>
      <w:pPr>
        <w:spacing w:before="0" w:after="0" w:line="240" w:lineRule="auto"/>
      </w:pPr>
      <w:r>
        <w:rPr>
          <w:sz w:val="4"/>
        </w:rPr>
      </w:r>
    </w:p>
    <w:tbl>
      <w:tblPr>
        <w:tblW w:type="auto" w:w="0"/>
        <w:jc w:val="left"/>
        <w:tblLayout w:type="fixed"/>
        <w:tblLook w:firstColumn="1" w:firstRow="1" w:lastColumn="0" w:lastRow="0" w:noHBand="0" w:noVBand="1" w:val="04A0"/>
      </w:tblPr>
      <w:tblGrid>
        <w:gridCol w:w="9412"/>
      </w:tblGrid>
      <w:tr>
        <w:tc>
          <w:tcPr>
            <w:tcW w:type="dxa" w:w="9411"/>
            <w:tcBorders>
              <w:left w:val="single" w:sz="18" w:space="0" w:color="1F3864"/>
            </w:tcBorders>
            <w:shd w:val="clear" w:color="auto" w:fill="F2F5F9"/>
            <w:tcMar>
              <w:top w:w="140" w:type="dxa"/>
              <w:start w:w="200" w:type="dxa"/>
              <w:bottom w:w="140" w:type="dxa"/>
              <w:end w:w="180" w:type="dxa"/>
            </w:tcMar>
          </w:tcPr>
          <w:p>
            <w:pPr>
              <w:spacing w:before="0" w:after="0" w:line="283" w:lineRule="auto"/>
            </w:pPr>
            <w:r/>
            <w:r>
              <w:rPr>
                <w:rFonts w:ascii="Calibri" w:hAnsi="Calibri"/>
                <w:b/>
                <w:color w:val="1F3864"/>
                <w:sz w:val="18"/>
              </w:rPr>
              <w:t xml:space="preserve">Worth noting:  </w:t>
            </w:r>
            <w:r>
              <w:rPr>
                <w:rFonts w:ascii="Calibri" w:hAnsi="Calibri"/>
                <w:b w:val="0"/>
                <w:color w:val="262626"/>
                <w:sz w:val="18"/>
              </w:rPr>
              <w:t>five of the eleven lines are R0, because they fall inside Azure's permanent free allowances rather than a trial credit. Sign-in stays free up to 50,000 active users, monitoring up to 5 GB a month, outbound data up to 100 GB a month, database backup up to the size of the database, and static hosting up to 100 GB a month. None of these expires.</w:t>
            </w:r>
          </w:p>
        </w:tc>
      </w:tr>
    </w:tbl>
    <w:p>
      <w:pPr>
        <w:spacing w:before="0" w:after="0" w:line="240" w:lineRule="auto"/>
      </w:pPr>
      <w:r>
        <w:rPr>
          <w:sz w:val="6"/>
        </w:rPr>
      </w:r>
    </w:p>
    <w:p>
      <w:pPr>
        <w:pStyle w:val="Heading1"/>
        <w:keepNext/>
        <w:spacing w:before="400" w:after="140" w:line="240" w:lineRule="auto"/>
        <w:pBdr>
          <w:bottom w:val="single" w:sz="6" w:space="4" w:color="1F3864"/>
        </w:pBdr>
      </w:pPr>
      <w:r>
        <w:rPr>
          <w:rFonts w:ascii="Calibri Light" w:hAnsi="Calibri Light"/>
          <w:b w:val="0"/>
          <w:color w:val="1F3864"/>
          <w:sz w:val="30"/>
        </w:rPr>
        <w:t>5.  Unit price reference</w:t>
      </w:r>
    </w:p>
    <w:p>
      <w:pPr>
        <w:spacing w:before="0" w:after="200" w:line="300" w:lineRule="auto"/>
        <w:jc w:val="left"/>
      </w:pPr>
      <w:r>
        <w:rPr>
          <w:rFonts w:ascii="Calibri" w:hAnsi="Calibri"/>
          <w:b w:val="0"/>
          <w:i/>
          <w:color w:val="5A6370"/>
          <w:sz w:val="18"/>
        </w:rPr>
        <w:t>The published rates behind each line above, so the arithmetic can be checked.</w:t>
      </w:r>
    </w:p>
    <w:tbl>
      <w:tblPr>
        <w:tblW w:type="auto" w:w="0"/>
        <w:jc w:val="left"/>
        <w:tblLayout w:type="fixed"/>
        <w:tblLook w:firstColumn="1" w:firstRow="1" w:lastColumn="0" w:lastRow="0" w:noHBand="0" w:noVBand="1" w:val="04A0"/>
        <w:tblLayout w:type="fixed"/>
      </w:tblPr>
      <w:tblGrid>
        <w:gridCol w:w="2353"/>
        <w:gridCol w:w="2353"/>
        <w:gridCol w:w="2353"/>
        <w:gridCol w:w="2353"/>
      </w:tblGrid>
      <w:tr>
        <w:trPr>
          <w:tblHeader w:val="true"/>
          <w:cantSplit/>
        </w:trPr>
        <w:tc>
          <w:tcPr>
            <w:tcW w:type="dxa" w:w="2608"/>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Service</w:t>
            </w:r>
          </w:p>
        </w:tc>
        <w:tc>
          <w:tcPr>
            <w:tcW w:type="dxa" w:w="3855"/>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6"/>
              </w:rPr>
              <w:t>Rate</w:t>
            </w:r>
          </w:p>
        </w:tc>
        <w:tc>
          <w:tcPr>
            <w:tcW w:type="dxa" w:w="1474"/>
            <w:tcBorders>
              <w:bottom w:val="single" w:sz="2" w:space="0" w:color="1F3864"/>
            </w:tcBorders>
            <w:shd w:val="clear" w:color="auto" w:fill="1F3864"/>
            <w:tcMar>
              <w:top w:w="60" w:type="dxa"/>
              <w:start w:w="130" w:type="dxa"/>
              <w:bottom w:w="60" w:type="dxa"/>
              <w:end w:w="130" w:type="dxa"/>
            </w:tcMar>
          </w:tcPr>
          <w:p>
            <w:pPr>
              <w:spacing w:before="80" w:after="80" w:line="259" w:lineRule="auto"/>
              <w:jc w:val="right"/>
            </w:pPr>
            <w:r/>
            <w:r>
              <w:rPr>
                <w:rFonts w:ascii="Calibri" w:hAnsi="Calibri"/>
                <w:b/>
                <w:i w:val="0"/>
                <w:color w:val="FFFFFF"/>
                <w:sz w:val="16"/>
              </w:rPr>
              <w:t>USD</w:t>
            </w:r>
          </w:p>
        </w:tc>
        <w:tc>
          <w:tcPr>
            <w:tcW w:type="dxa" w:w="1474"/>
            <w:tcBorders>
              <w:bottom w:val="single" w:sz="2" w:space="0" w:color="1F3864"/>
            </w:tcBorders>
            <w:shd w:val="clear" w:color="auto" w:fill="1F3864"/>
            <w:tcMar>
              <w:top w:w="60" w:type="dxa"/>
              <w:start w:w="130" w:type="dxa"/>
              <w:bottom w:w="60" w:type="dxa"/>
              <w:end w:w="130" w:type="dxa"/>
            </w:tcMar>
          </w:tcPr>
          <w:p>
            <w:pPr>
              <w:spacing w:before="80" w:after="80" w:line="259" w:lineRule="auto"/>
              <w:jc w:val="right"/>
            </w:pPr>
            <w:r/>
            <w:r>
              <w:rPr>
                <w:rFonts w:ascii="Calibri" w:hAnsi="Calibri"/>
                <w:b/>
                <w:i w:val="0"/>
                <w:color w:val="FFFFFF"/>
                <w:sz w:val="16"/>
              </w:rPr>
              <w:t>ZAR</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 — Free plan</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100 GB bandwidth, 0.5 GB storage, 2 custom domains, free SSL</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$0.00</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R0.00</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Static Web Apps — Standard plan</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app, per month (adds an uptime guarantee)</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$9.00</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R148.14</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B1 Linux</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hour (1 vCPU, 1.75 GB) — 730 hours a month</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$0.0243</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R0.400</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B1 Linux</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month</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$17.74</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R292</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 Service B2 Linux</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month (2 vCPU, 3.5 GB) — next size up</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$35.55</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R585</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Flexible B1ms</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hour (1 vCore, 2 GB)</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$0.0215</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R0.354</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Flexible B1ms</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month</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$15.70</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R258</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Flexible B2s</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month (2 vCore, 4 GB) — next size up</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$62.78</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R1,033</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storage</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GB per month</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$0.151</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R2.49</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PostgreSQL backup</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free up to 100% of provisioned storage, then per GB per month</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$0.113</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R1.86</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Blob Storage, Hot LRS</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GB per month</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$0.0219</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R0.361</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Blob write operations</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10,000</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$0.060</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R0.99</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Blob read operations</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10,000</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$0.004</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R0.066</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Entra External ID</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first 50,000 monthly active users</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$0.00</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R0.00</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Entra External ID</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active user beyond 50,000</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$0.00325</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R0.054</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Application Insights</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first 5 GB per month</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$0.00</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R0.00</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Application Insights</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GB beyond the free allowance</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$3.36</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R55.31</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Key Vault Standard</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10,000 operations</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$0.03</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R0.49</w:t>
            </w:r>
          </w:p>
        </w:tc>
      </w:tr>
      <w:tr>
        <w:trPr>
          <w:cantSplit/>
        </w:trPr>
        <w:tc>
          <w:tcPr>
            <w:tcW w:type="dxa" w:w="2608"/>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Outbound data</w:t>
            </w:r>
          </w:p>
        </w:tc>
        <w:tc>
          <w:tcPr>
            <w:tcW w:type="dxa" w:w="3855"/>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first 100 GB per month</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$0.00</w:t>
            </w:r>
          </w:p>
        </w:tc>
        <w:tc>
          <w:tcPr>
            <w:tcW w:type="dxa" w:w="1474"/>
            <w:tcBorders>
              <w:bottom w:val="single" w:sz="2" w:space="0" w:color="DDE2E9"/>
            </w:tcBorders>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R0.00</w:t>
            </w:r>
          </w:p>
        </w:tc>
      </w:tr>
      <w:tr>
        <w:trPr>
          <w:cantSplit/>
        </w:trPr>
        <w:tc>
          <w:tcPr>
            <w:tcW w:type="dxa" w:w="2608"/>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Outbound data</w:t>
            </w:r>
          </w:p>
        </w:tc>
        <w:tc>
          <w:tcPr>
            <w:tcW w:type="dxa" w:w="3855"/>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7"/>
              </w:rPr>
              <w:t>per GB, next 10 TB</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$0.12</w:t>
            </w:r>
          </w:p>
        </w:tc>
        <w:tc>
          <w:tcPr>
            <w:tcW w:type="dxa" w:w="1474"/>
            <w:tcBorders>
              <w:bottom w:val="single" w:sz="2" w:space="0" w:color="DDE2E9"/>
            </w:tcBorders>
            <w:shd w:val="clear" w:color="auto" w:fill="F6F8FB"/>
            <w:tcMar>
              <w:top w:w="60" w:type="dxa"/>
              <w:start w:w="130" w:type="dxa"/>
              <w:bottom w:w="60" w:type="dxa"/>
              <w:end w:w="130" w:type="dxa"/>
            </w:tcMar>
          </w:tcPr>
          <w:p>
            <w:pPr>
              <w:spacing w:before="60" w:after="60" w:line="259" w:lineRule="auto"/>
              <w:jc w:val="right"/>
            </w:pPr>
            <w:r/>
            <w:r>
              <w:rPr>
                <w:rFonts w:ascii="Calibri" w:hAnsi="Calibri"/>
                <w:b w:val="0"/>
                <w:i w:val="0"/>
                <w:color w:val="262626"/>
                <w:sz w:val="17"/>
              </w:rPr>
              <w:t>R1.98</w:t>
            </w:r>
          </w:p>
        </w:tc>
      </w:tr>
    </w:tbl>
    <w:p>
      <w:r>
        <w:br w:type="page"/>
      </w:r>
    </w:p>
    <w:p>
      <w:pPr>
        <w:pStyle w:val="Heading1"/>
        <w:keepNext/>
        <w:spacing w:before="400" w:after="140" w:line="240" w:lineRule="auto"/>
        <w:pBdr>
          <w:bottom w:val="single" w:sz="6" w:space="4" w:color="1F3864"/>
        </w:pBdr>
      </w:pPr>
      <w:r>
        <w:rPr>
          <w:rFonts w:ascii="Calibri Light" w:hAnsi="Calibri Light"/>
          <w:b w:val="0"/>
          <w:color w:val="1F3864"/>
          <w:sz w:val="30"/>
        </w:rPr>
        <w:t>6.  Ways the figure could come down further</w:t>
      </w:r>
    </w:p>
    <w:p>
      <w:pPr>
        <w:tabs>
          <w:tab w:pos="425" w:val="left"/>
        </w:tabs>
        <w:spacing w:before="0" w:after="180" w:line="300" w:lineRule="auto"/>
        <w:ind w:left="425" w:hanging="425"/>
      </w:pPr>
      <w:r>
        <w:rPr>
          <w:rFonts w:ascii="Calibri" w:hAnsi="Calibri"/>
          <w:b/>
          <w:color w:val="1F3864"/>
          <w:sz w:val="20"/>
        </w:rPr>
        <w:t>1.</w:t>
        <w:tab/>
      </w:r>
      <w:r>
        <w:rPr>
          <w:rFonts w:ascii="Calibri" w:hAnsi="Calibri"/>
          <w:b/>
          <w:color w:val="262626"/>
          <w:sz w:val="20"/>
        </w:rPr>
        <w:t>Ask for the education rate.</w:t>
      </w:r>
      <w:r>
        <w:rPr>
          <w:rFonts w:ascii="Calibri" w:hAnsi="Calibri"/>
          <w:b w:val="0"/>
          <w:color w:val="262626"/>
          <w:sz w:val="20"/>
        </w:rPr>
        <w:t xml:space="preserve"> Every figure here is public list price. Universities buying through an Enterprise Agreement or a partner do not pay list. The Microsoft account team should be asked for the education rate card before any of these numbers is treated as final.</w:t>
      </w:r>
    </w:p>
    <w:p>
      <w:pPr>
        <w:tabs>
          <w:tab w:pos="425" w:val="left"/>
        </w:tabs>
        <w:spacing w:before="0" w:after="180" w:line="300" w:lineRule="auto"/>
        <w:ind w:left="425" w:hanging="425"/>
      </w:pPr>
      <w:r>
        <w:rPr>
          <w:rFonts w:ascii="Calibri" w:hAnsi="Calibri"/>
          <w:b/>
          <w:color w:val="1F3864"/>
          <w:sz w:val="20"/>
        </w:rPr>
        <w:t>2.</w:t>
        <w:tab/>
      </w:r>
      <w:r>
        <w:rPr>
          <w:rFonts w:ascii="Calibri" w:hAnsi="Calibri"/>
          <w:b/>
          <w:color w:val="262626"/>
          <w:sz w:val="20"/>
        </w:rPr>
        <w:t>Only run it during term.</w:t>
      </w:r>
      <w:r>
        <w:rPr>
          <w:rFonts w:ascii="Calibri" w:hAnsi="Calibri"/>
          <w:b w:val="0"/>
          <w:color w:val="262626"/>
          <w:sz w:val="20"/>
        </w:rPr>
        <w:t xml:space="preserve"> Teaching occupies roughly eight months of twelve. The database and API server can be stopped between semesters, which takes the realistic annual figure to around </w:t>
      </w:r>
      <w:r>
        <w:rPr>
          <w:rFonts w:ascii="Calibri" w:hAnsi="Calibri"/>
          <w:b/>
          <w:color w:val="262626"/>
          <w:sz w:val="20"/>
        </w:rPr>
        <w:t>R5,300 rather than R7,900</w:t>
      </w:r>
      <w:r>
        <w:rPr>
          <w:rFonts w:ascii="Calibri" w:hAnsi="Calibri"/>
          <w:b w:val="0"/>
          <w:color w:val="262626"/>
          <w:sz w:val="20"/>
        </w:rPr>
        <w:t>.</w:t>
      </w:r>
    </w:p>
    <w:p>
      <w:pPr>
        <w:tabs>
          <w:tab w:pos="425" w:val="left"/>
        </w:tabs>
        <w:spacing w:before="0" w:after="180" w:line="300" w:lineRule="auto"/>
        <w:ind w:left="425" w:hanging="425"/>
      </w:pPr>
      <w:r>
        <w:rPr>
          <w:rFonts w:ascii="Calibri" w:hAnsi="Calibri"/>
          <w:b/>
          <w:color w:val="1F3864"/>
          <w:sz w:val="20"/>
        </w:rPr>
        <w:t>3.</w:t>
        <w:tab/>
      </w:r>
      <w:r>
        <w:rPr>
          <w:rFonts w:ascii="Calibri" w:hAnsi="Calibri"/>
          <w:b/>
          <w:color w:val="262626"/>
          <w:sz w:val="20"/>
        </w:rPr>
        <w:t>Keep monitoring inside the free allowance.</w:t>
      </w:r>
      <w:r>
        <w:rPr>
          <w:rFonts w:ascii="Calibri" w:hAnsi="Calibri"/>
          <w:b w:val="0"/>
          <w:color w:val="262626"/>
          <w:sz w:val="20"/>
        </w:rPr>
        <w:t xml:space="preserve"> Application Insights is free up to 5 GB a month and costs R55 per GB after that. Turning on sampling from the start keeps a pilot comfortably inside the free tier; it is the one line that can quietly grow.</w:t>
      </w:r>
    </w:p>
    <w:p>
      <w:pPr>
        <w:tabs>
          <w:tab w:pos="425" w:val="left"/>
        </w:tabs>
        <w:spacing w:before="0" w:after="180" w:line="300" w:lineRule="auto"/>
        <w:ind w:left="425" w:hanging="425"/>
      </w:pPr>
      <w:r>
        <w:rPr>
          <w:rFonts w:ascii="Calibri" w:hAnsi="Calibri"/>
          <w:b/>
          <w:color w:val="1F3864"/>
          <w:sz w:val="20"/>
        </w:rPr>
        <w:t>4.</w:t>
        <w:tab/>
      </w:r>
      <w:r>
        <w:rPr>
          <w:rFonts w:ascii="Calibri" w:hAnsi="Calibri"/>
          <w:b/>
          <w:color w:val="262626"/>
          <w:sz w:val="20"/>
        </w:rPr>
        <w:t>Do not pay for sign-in.</w:t>
      </w:r>
      <w:r>
        <w:rPr>
          <w:rFonts w:ascii="Calibri" w:hAnsi="Calibri"/>
          <w:b w:val="0"/>
          <w:color w:val="262626"/>
          <w:sz w:val="20"/>
        </w:rPr>
        <w:t xml:space="preserve"> If learners use their existing university Microsoft accounts, identity costs nothing and no separate user directory has to be maintained. Even the standalone service is free to 50,000 users.</w:t>
      </w:r>
    </w:p>
    <w:p>
      <w:pPr>
        <w:tabs>
          <w:tab w:pos="425" w:val="left"/>
        </w:tabs>
        <w:spacing w:before="0" w:after="180" w:line="300" w:lineRule="auto"/>
        <w:ind w:left="425" w:hanging="425"/>
      </w:pPr>
      <w:r>
        <w:rPr>
          <w:rFonts w:ascii="Calibri" w:hAnsi="Calibri"/>
          <w:b/>
          <w:color w:val="1F3864"/>
          <w:sz w:val="20"/>
        </w:rPr>
        <w:t>5.</w:t>
        <w:tab/>
      </w:r>
      <w:r>
        <w:rPr>
          <w:rFonts w:ascii="Calibri" w:hAnsi="Calibri"/>
          <w:b/>
          <w:color w:val="262626"/>
          <w:sz w:val="20"/>
        </w:rPr>
        <w:t>Resist the urge to over-provision.</w:t>
      </w:r>
      <w:r>
        <w:rPr>
          <w:rFonts w:ascii="Calibri" w:hAnsi="Calibri"/>
          <w:b w:val="0"/>
          <w:color w:val="262626"/>
          <w:sz w:val="20"/>
        </w:rPr>
        <w:t xml:space="preserve"> The B1 server and B1ms database are deliberately small. They are the right size for 500 users doing light, bursty work. Doubling them in advance ‘just in case’ would roughly double the bill for capacity that measurement has not shown to be needed.</w:t>
      </w:r>
    </w:p>
    <w:p>
      <w:pPr>
        <w:pStyle w:val="Heading1"/>
        <w:keepNext/>
        <w:spacing w:before="400" w:after="140" w:line="240" w:lineRule="auto"/>
        <w:pBdr>
          <w:bottom w:val="single" w:sz="6" w:space="4" w:color="1F3864"/>
        </w:pBdr>
      </w:pPr>
      <w:r>
        <w:rPr>
          <w:rFonts w:ascii="Calibri Light" w:hAnsi="Calibri Light"/>
          <w:b w:val="0"/>
          <w:color w:val="1F3864"/>
          <w:sz w:val="30"/>
        </w:rPr>
        <w:t>7.  What this figure does not include</w:t>
      </w:r>
    </w:p>
    <w:tbl>
      <w:tblPr>
        <w:tblW w:type="auto" w:w="0"/>
        <w:jc w:val="left"/>
        <w:tblLayout w:type="fixed"/>
        <w:tblLook w:firstColumn="1" w:firstRow="1" w:lastColumn="0" w:lastRow="0" w:noHBand="0" w:noVBand="1" w:val="04A0"/>
        <w:tblLayout w:type="fixed"/>
      </w:tblPr>
      <w:tblGrid>
        <w:gridCol w:w="4706"/>
        <w:gridCol w:w="4706"/>
      </w:tblGrid>
      <w:tr>
        <w:trPr>
          <w:tblHeader w:val="true"/>
          <w:cantSplit/>
        </w:trPr>
        <w:tc>
          <w:tcPr>
            <w:tcW w:type="dxa" w:w="3402"/>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7"/>
              </w:rPr>
              <w:t>Not included</w:t>
            </w:r>
          </w:p>
        </w:tc>
        <w:tc>
          <w:tcPr>
            <w:tcW w:type="dxa" w:w="6009"/>
            <w:tcBorders>
              <w:bottom w:val="single" w:sz="2" w:space="0" w:color="1F3864"/>
            </w:tcBorders>
            <w:shd w:val="clear" w:color="auto" w:fill="1F3864"/>
            <w:tcMar>
              <w:top w:w="60" w:type="dxa"/>
              <w:start w:w="130" w:type="dxa"/>
              <w:bottom w:w="60" w:type="dxa"/>
              <w:end w:w="130" w:type="dxa"/>
            </w:tcMar>
          </w:tcPr>
          <w:p>
            <w:pPr>
              <w:spacing w:before="80" w:after="80" w:line="259" w:lineRule="auto"/>
              <w:jc w:val="left"/>
            </w:pPr>
            <w:r/>
            <w:r>
              <w:rPr>
                <w:rFonts w:ascii="Calibri" w:hAnsi="Calibri"/>
                <w:b/>
                <w:i w:val="0"/>
                <w:color w:val="FFFFFF"/>
                <w:sz w:val="17"/>
              </w:rPr>
              <w:t>Note</w:t>
            </w:r>
          </w:p>
        </w:tc>
      </w:tr>
      <w:tr>
        <w:trPr>
          <w:cantSplit/>
        </w:trPr>
        <w:tc>
          <w:tcPr>
            <w:tcW w:type="dxa" w:w="340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Development and maintenance effort</w:t>
            </w:r>
          </w:p>
        </w:tc>
        <w:tc>
          <w:tcPr>
            <w:tcW w:type="dxa" w:w="6009"/>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The portal does not exist yet. Building it is staff time, not infrastructure cost.</w:t>
            </w:r>
          </w:p>
        </w:tc>
      </w:tr>
      <w:tr>
        <w:trPr>
          <w:cantSplit/>
        </w:trPr>
        <w:tc>
          <w:tcPr>
            <w:tcW w:type="dxa" w:w="340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Microsoft support plans</w:t>
            </w:r>
          </w:p>
        </w:tc>
        <w:tc>
          <w:tcPr>
            <w:tcW w:type="dxa" w:w="6009"/>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Basic support is included. Paid support tiers are priced separately — confirm current rates with the Microsoft account team.</w:t>
            </w:r>
          </w:p>
        </w:tc>
      </w:tr>
      <w:tr>
        <w:trPr>
          <w:cantSplit/>
        </w:trPr>
        <w:tc>
          <w:tcPr>
            <w:tcW w:type="dxa" w:w="340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Domain registration and DNS</w:t>
            </w:r>
          </w:p>
        </w:tc>
        <w:tc>
          <w:tcPr>
            <w:tcW w:type="dxa" w:w="6009"/>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Nominal. The security certificate is included free with Static Web Apps.</w:t>
            </w:r>
          </w:p>
        </w:tc>
      </w:tr>
      <w:tr>
        <w:trPr>
          <w:cantSplit/>
        </w:trPr>
        <w:tc>
          <w:tcPr>
            <w:tcW w:type="dxa" w:w="340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Security review, penetration testing, POPIA assessment</w:t>
            </w:r>
          </w:p>
        </w:tc>
        <w:tc>
          <w:tcPr>
            <w:tcW w:type="dxa" w:w="6009"/>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Required before handling student records, but not an Azure charge.</w:t>
            </w:r>
          </w:p>
        </w:tc>
      </w:tr>
      <w:tr>
        <w:trPr>
          <w:cantSplit/>
        </w:trPr>
        <w:tc>
          <w:tcPr>
            <w:tcW w:type="dxa" w:w="340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 second copy for disaster recovery</w:t>
            </w:r>
          </w:p>
        </w:tc>
        <w:tc>
          <w:tcPr>
            <w:tcW w:type="dxa" w:w="6009"/>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Out of scope for a pilot. It would roughly double the database and API lines.</w:t>
            </w:r>
          </w:p>
        </w:tc>
      </w:tr>
      <w:tr>
        <w:trPr>
          <w:cantSplit/>
        </w:trPr>
        <w:tc>
          <w:tcPr>
            <w:tcW w:type="dxa" w:w="3402"/>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A separate testing environment</w:t>
            </w:r>
          </w:p>
        </w:tc>
        <w:tc>
          <w:tcPr>
            <w:tcW w:type="dxa" w:w="6009"/>
            <w:tcBorders>
              <w:bottom w:val="single" w:sz="2" w:space="0" w:color="DDE2E9"/>
            </w:tcBorders>
            <w:shd w:val="clear" w:color="auto" w:fill="F6F8FB"/>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If a staging copy is kept permanently running it roughly doubles the figure. Shutting it down outside working hours makes it negligible.</w:t>
            </w:r>
          </w:p>
        </w:tc>
      </w:tr>
      <w:tr>
        <w:trPr>
          <w:cantSplit/>
        </w:trPr>
        <w:tc>
          <w:tcPr>
            <w:tcW w:type="dxa" w:w="3402"/>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Third-party libraries</w:t>
            </w:r>
          </w:p>
        </w:tc>
        <w:tc>
          <w:tcPr>
            <w:tcW w:type="dxa" w:w="6009"/>
            <w:tcBorders>
              <w:bottom w:val="single" w:sz="2" w:space="0" w:color="DDE2E9"/>
            </w:tcBorders>
            <w:tcMar>
              <w:top w:w="60" w:type="dxa"/>
              <w:start w:w="130" w:type="dxa"/>
              <w:bottom w:w="60" w:type="dxa"/>
              <w:end w:w="130" w:type="dxa"/>
            </w:tcMar>
          </w:tcPr>
          <w:p>
            <w:pPr>
              <w:spacing w:before="60" w:after="60" w:line="259" w:lineRule="auto"/>
              <w:jc w:val="left"/>
            </w:pPr>
            <w:r/>
            <w:r>
              <w:rPr>
                <w:rFonts w:ascii="Calibri" w:hAnsi="Calibri"/>
                <w:b w:val="0"/>
                <w:i w:val="0"/>
                <w:color w:val="262626"/>
                <w:sz w:val="18"/>
              </w:rPr>
              <w:t>Blockly, Monaco and the GlowScript runtime load from free public networks straight to the student's browser and cost nothing.</w:t>
            </w:r>
          </w:p>
        </w:tc>
      </w:tr>
    </w:tbl>
    <w:p>
      <w:pPr>
        <w:pStyle w:val="Heading1"/>
        <w:keepNext/>
        <w:spacing w:before="400" w:after="140" w:line="240" w:lineRule="auto"/>
        <w:pBdr>
          <w:bottom w:val="single" w:sz="6" w:space="4" w:color="1F3864"/>
        </w:pBdr>
      </w:pPr>
      <w:r>
        <w:rPr>
          <w:rFonts w:ascii="Calibri Light" w:hAnsi="Calibri Light"/>
          <w:b w:val="0"/>
          <w:color w:val="1F3864"/>
          <w:sz w:val="30"/>
        </w:rPr>
        <w:t>8.  The alternative worth stating explicitly</w:t>
      </w:r>
    </w:p>
    <w:p>
      <w:pPr>
        <w:spacing w:before="0" w:after="160" w:line="300" w:lineRule="auto"/>
        <w:jc w:val="left"/>
      </w:pPr>
      <w:r>
        <w:rPr>
          <w:rFonts w:ascii="Calibri" w:hAnsi="Calibri"/>
          <w:b w:val="0"/>
          <w:i w:val="0"/>
          <w:color w:val="262626"/>
          <w:sz w:val="20"/>
        </w:rPr>
        <w:t xml:space="preserve">The project's existing technical documentation proposes deployment on </w:t>
      </w:r>
      <w:r>
        <w:rPr>
          <w:rFonts w:ascii="Calibri" w:hAnsi="Calibri"/>
          <w:b/>
          <w:i w:val="0"/>
          <w:color w:val="262626"/>
          <w:sz w:val="20"/>
        </w:rPr>
        <w:t>ilifu</w:t>
      </w:r>
      <w:r>
        <w:rPr>
          <w:rFonts w:ascii="Calibri" w:hAnsi="Calibri"/>
          <w:b w:val="0"/>
          <w:i w:val="0"/>
          <w:color w:val="262626"/>
          <w:sz w:val="20"/>
        </w:rPr>
        <w:t>, the IDIA/UWC research computing facility, using its OpenStack virtual machines. An ilifu-A instance (1 vCPU, 4 GB memory, 20 GB disk) is sufficient for the current static release; ilifu-B or ilifu-C is the recommended starting point for a managed portal.</w:t>
      </w:r>
    </w:p>
    <w:p>
      <w:pPr>
        <w:spacing w:before="0" w:after="160" w:line="300" w:lineRule="auto"/>
        <w:jc w:val="left"/>
      </w:pPr>
      <w:r>
        <w:rPr>
          <w:rFonts w:ascii="Calibri" w:hAnsi="Calibri"/>
          <w:b w:val="0"/>
          <w:i w:val="0"/>
          <w:color w:val="262626"/>
          <w:sz w:val="20"/>
        </w:rPr>
        <w:t xml:space="preserve">Under a research allocation, that infrastructure carries </w:t>
      </w:r>
      <w:r>
        <w:rPr>
          <w:rFonts w:ascii="Calibri" w:hAnsi="Calibri"/>
          <w:b/>
          <w:i w:val="0"/>
          <w:color w:val="262626"/>
          <w:sz w:val="20"/>
        </w:rPr>
        <w:t>no direct cost to the department</w:t>
      </w:r>
      <w:r>
        <w:rPr>
          <w:rFonts w:ascii="Calibri" w:hAnsi="Calibri"/>
          <w:b w:val="0"/>
          <w:i w:val="0"/>
          <w:color w:val="262626"/>
          <w:sz w:val="20"/>
        </w:rPr>
        <w:t>. The Azure figure in this document is therefore best understood as the price of choosing a commercial cloud over the institutional facility. The case for doing so has to rest on operational grounds — managed backups, an uptime guarantee, automatic patching, integration with university sign-in, and nobody having to administer a virtual machine — rather than on cost.</w:t>
      </w:r>
    </w:p>
    <w:p>
      <w:pPr>
        <w:spacing w:before="0" w:after="160" w:line="300" w:lineRule="auto"/>
        <w:jc w:val="left"/>
      </w:pPr>
      <w:r>
        <w:rPr>
          <w:rFonts w:ascii="Calibri" w:hAnsi="Calibri"/>
          <w:b w:val="0"/>
          <w:i w:val="0"/>
          <w:color w:val="262626"/>
          <w:sz w:val="20"/>
        </w:rPr>
        <w:t>At R659 a month that trade may well be worth making. It should be made deliberately, and with the ilifu option named alongside it.</w:t>
      </w:r>
    </w:p>
    <w:p>
      <w:pPr>
        <w:pStyle w:val="Heading1"/>
        <w:keepNext/>
        <w:spacing w:before="400" w:after="140" w:line="240" w:lineRule="auto"/>
        <w:pBdr>
          <w:bottom w:val="single" w:sz="6" w:space="4" w:color="1F3864"/>
        </w:pBdr>
      </w:pPr>
      <w:r>
        <w:rPr>
          <w:rFonts w:ascii="Calibri Light" w:hAnsi="Calibri Light"/>
          <w:b w:val="0"/>
          <w:color w:val="1F3864"/>
          <w:sz w:val="30"/>
        </w:rPr>
        <w:t>9.  Sources and verification</w:t>
      </w:r>
    </w:p>
    <w:p>
      <w:pPr>
        <w:tabs>
          <w:tab w:pos="425" w:val="left"/>
        </w:tabs>
        <w:spacing w:before="0" w:after="140" w:line="300" w:lineRule="auto"/>
        <w:ind w:left="425" w:hanging="425"/>
      </w:pPr>
      <w:r>
        <w:rPr>
          <w:rFonts w:ascii="Calibri" w:hAnsi="Calibri"/>
          <w:b w:val="0"/>
          <w:color w:val="1F3864"/>
          <w:sz w:val="20"/>
        </w:rPr>
        <w:t>•</w:t>
        <w:tab/>
      </w:r>
      <w:r>
        <w:rPr>
          <w:rFonts w:ascii="Calibri" w:hAnsi="Calibri"/>
          <w:b w:val="0"/>
          <w:color w:val="262626"/>
          <w:sz w:val="20"/>
        </w:rPr>
        <w:t xml:space="preserve">All unit prices were retrieved from the </w:t>
      </w:r>
      <w:r>
        <w:rPr>
          <w:rFonts w:ascii="Calibri" w:hAnsi="Calibri"/>
          <w:b/>
          <w:color w:val="262626"/>
          <w:sz w:val="20"/>
        </w:rPr>
        <w:t>Azure Retail Prices API</w:t>
      </w:r>
      <w:r>
        <w:rPr>
          <w:rFonts w:ascii="Calibri" w:hAnsi="Calibri"/>
          <w:b w:val="0"/>
          <w:color w:val="262626"/>
          <w:sz w:val="20"/>
        </w:rPr>
        <w:t xml:space="preserve"> (prices.azure.com) on 29 July 2026, filtered to the South Africa North region and consumption pricing, in both US dollars and rand.</w:t>
      </w:r>
    </w:p>
    <w:p>
      <w:pPr>
        <w:tabs>
          <w:tab w:pos="425" w:val="left"/>
        </w:tabs>
        <w:spacing w:before="0" w:after="140" w:line="300" w:lineRule="auto"/>
        <w:ind w:left="425" w:hanging="425"/>
      </w:pPr>
      <w:r>
        <w:rPr>
          <w:rFonts w:ascii="Calibri" w:hAnsi="Calibri"/>
          <w:b w:val="0"/>
          <w:color w:val="1F3864"/>
          <w:sz w:val="20"/>
        </w:rPr>
        <w:t>•</w:t>
        <w:tab/>
      </w:r>
      <w:r>
        <w:rPr>
          <w:rFonts w:ascii="Calibri" w:hAnsi="Calibri"/>
          <w:b w:val="0"/>
          <w:color w:val="262626"/>
          <w:sz w:val="20"/>
        </w:rPr>
        <w:t>Free allowances, quotas and service limits were verified against Microsoft Learn documentation.</w:t>
      </w:r>
    </w:p>
    <w:p>
      <w:pPr>
        <w:tabs>
          <w:tab w:pos="425" w:val="left"/>
        </w:tabs>
        <w:spacing w:before="0" w:after="140" w:line="300" w:lineRule="auto"/>
        <w:ind w:left="425" w:hanging="425"/>
      </w:pPr>
      <w:r>
        <w:rPr>
          <w:rFonts w:ascii="Calibri" w:hAnsi="Calibri"/>
          <w:b w:val="0"/>
          <w:color w:val="1F3864"/>
          <w:sz w:val="20"/>
        </w:rPr>
        <w:t>•</w:t>
        <w:tab/>
      </w:r>
      <w:r>
        <w:rPr>
          <w:rFonts w:ascii="Calibri" w:hAnsi="Calibri"/>
          <w:b w:val="0"/>
          <w:color w:val="262626"/>
          <w:sz w:val="20"/>
        </w:rPr>
        <w:t>The public pricing pages on azure.microsoft.com build their prices in the browser and cannot be read reliably by automated tools. The Retail Prices API is the authoritative machine-readable source and is what was used here.</w:t>
      </w:r>
    </w:p>
    <w:p>
      <w:pPr>
        <w:tabs>
          <w:tab w:pos="425" w:val="left"/>
        </w:tabs>
        <w:spacing w:before="0" w:after="140" w:line="300" w:lineRule="auto"/>
        <w:ind w:left="425" w:hanging="425"/>
      </w:pPr>
      <w:r>
        <w:rPr>
          <w:rFonts w:ascii="Calibri" w:hAnsi="Calibri"/>
          <w:b w:val="0"/>
          <w:color w:val="1F3864"/>
          <w:sz w:val="20"/>
        </w:rPr>
        <w:t>•</w:t>
        <w:tab/>
      </w:r>
      <w:r>
        <w:rPr>
          <w:rFonts w:ascii="Calibri" w:hAnsi="Calibri"/>
          <w:b/>
          <w:color w:val="262626"/>
          <w:sz w:val="20"/>
        </w:rPr>
        <w:t>Prices change.</w:t>
      </w:r>
      <w:r>
        <w:rPr>
          <w:rFonts w:ascii="Calibri" w:hAnsi="Calibri"/>
          <w:b w:val="0"/>
          <w:color w:val="262626"/>
          <w:sz w:val="20"/>
        </w:rPr>
        <w:t xml:space="preserve"> These queries should be re-run before any figure is submitted in a funding application or a procurement document.</w:t>
      </w:r>
    </w:p>
    <w:sectPr w:rsidR="00FC693F" w:rsidRPr="0006063C" w:rsidSect="00034616">
      <w:footerReference w:type="default" r:id="rId9"/>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5A6370"/>
        <w:sz w:val="16"/>
      </w:rPr>
      <w:t xml:space="preserve">Physics IDE  —  Azure Hosting Cost Estimate (Pilot Portal)  —  29 July 2026        Page </w:t>
    </w:r>
    <w:r>
      <w:rPr>
        <w:rFonts w:ascii="Calibri" w:hAnsi="Calibri"/>
        <w:color w:val="5A6370"/>
        <w:sz w:val="16"/>
      </w:rPr>
      <w:fldChar w:fldCharType="begin"/>
      <w:instrText xml:space="preserve"> PAGE </w:instrText>
      <w:fldChar w:fldCharType="end"/>
    </w:r>
    <w:r>
      <w:rPr>
        <w:rFonts w:ascii="Calibri" w:hAnsi="Calibri"/>
        <w:color w:val="5A6370"/>
        <w:sz w:val="16"/>
      </w:rPr>
      <w:t xml:space="preserve"> of </w:t>
    </w:r>
    <w:r>
      <w:rPr>
        <w:rFonts w:ascii="Calibri" w:hAnsi="Calibri"/>
        <w:color w:val="5A6370"/>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cs="Calibri"/>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IDE - Azure Hosting Cost Estimate (Pilot Portal)</dc:title>
  <dc:subject>Infrastructure cost estimate, South Africa North</dc:subject>
  <dc:creator>Physics IDE</dc:creator>
  <cp:keywords/>
  <dc:description>Prices retrieved from the Azure Retail Prices API, 29 July 2026.</dc:description>
  <cp:lastModifiedBy/>
  <cp:revision>1</cp:revision>
  <dcterms:created xsi:type="dcterms:W3CDTF">2013-12-23T23:15:00Z</dcterms:created>
  <dcterms:modified xsi:type="dcterms:W3CDTF">2013-12-23T23:15:00Z</dcterms:modified>
  <cp:category>Cost estimate</cp:category>
</cp:coreProperties>
</file>