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Hormones and Peptides for Skin — full course draft for medical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X67b61696b4843e3c8cb0b8f370ebf9139409318"/>
    <w:p>
      <w:pPr>
        <w:pStyle w:val="Heading1"/>
      </w:pPr>
      <w:r>
        <w:t xml:space="preserve">Hormones and Peptides for Skin — full course draft for review</w:t>
      </w:r>
    </w:p>
    <w:p>
      <w:pPr>
        <w:pStyle w:val="FirstParagraph"/>
      </w:pPr>
      <w:r>
        <w:rPr>
          <w:i/>
          <w:iCs/>
        </w:rPr>
        <w:t xml:space="preserve">Generated 2026-09-25 · 7 modules</w:t>
      </w:r>
    </w:p>
    <w:tbl>
      <w:tblPr>
        <w:tblStyle w:val="Table"/>
        <w:tblW w:type="pct" w:w="5000"/>
        <w:tblLayout w:type="fixed"/>
        <w:tblLook w:firstRow="1" w:lastRow="0" w:firstColumn="0" w:lastColumn="0" w:noHBand="0" w:noVBand="0" w:val="0020"/>
      </w:tblPr>
      <w:tblGrid>
        <w:gridCol w:w="745"/>
        <w:gridCol w:w="2981"/>
        <w:gridCol w:w="931"/>
        <w:gridCol w:w="745"/>
        <w:gridCol w:w="838"/>
        <w:gridCol w:w="745"/>
        <w:gridCol w:w="931"/>
      </w:tblGrid>
      <w:tr>
        <w:trPr>
          <w:tblHeader w:val="on"/>
        </w:trPr>
        <w:tc>
          <w:tcPr/>
          <w:p>
            <w:pPr>
              <w:pStyle w:val="Compact"/>
            </w:pPr>
            <w:r>
              <w:t xml:space="preserve">Module</w:t>
            </w:r>
          </w:p>
        </w:tc>
        <w:tc>
          <w:tcPr/>
          <w:p>
            <w:pPr>
              <w:pStyle w:val="Compact"/>
            </w:pPr>
            <w:r>
              <w:t xml:space="preserve">Title</w:t>
            </w:r>
          </w:p>
        </w:tc>
        <w:tc>
          <w:tcPr/>
          <w:p>
            <w:pPr>
              <w:pStyle w:val="Compact"/>
              <w:jc w:val="right"/>
            </w:pPr>
            <w:r>
              <w:t xml:space="preserve">Moments</w:t>
            </w:r>
          </w:p>
        </w:tc>
        <w:tc>
          <w:tcPr/>
          <w:p>
            <w:pPr>
              <w:pStyle w:val="Compact"/>
            </w:pPr>
            <w:r>
              <w:t xml:space="preserve">Time</w:t>
            </w:r>
          </w:p>
        </w:tc>
        <w:tc>
          <w:tcPr/>
          <w:p>
            <w:pPr>
              <w:pStyle w:val="Compact"/>
              <w:jc w:val="right"/>
            </w:pPr>
            <w:r>
              <w:t xml:space="preserve">Sources</w:t>
            </w:r>
          </w:p>
        </w:tc>
        <w:tc>
          <w:tcPr/>
          <w:p>
            <w:pPr>
              <w:pStyle w:val="Compact"/>
              <w:jc w:val="right"/>
            </w:pPr>
            <w:r>
              <w:t xml:space="preserve">Claims</w:t>
            </w:r>
          </w:p>
        </w:tc>
        <w:tc>
          <w:tcPr/>
          <w:p>
            <w:pPr>
              <w:pStyle w:val="Compact"/>
            </w:pPr>
            <w:r>
              <w:t xml:space="preserve">Status</w:t>
            </w:r>
          </w:p>
        </w:tc>
      </w:tr>
      <w:tr>
        <w:tc>
          <w:tcPr/>
          <w:p>
            <w:pPr>
              <w:pStyle w:val="Compact"/>
            </w:pPr>
            <w:r>
              <w:t xml:space="preserve">m01</w:t>
            </w:r>
          </w:p>
        </w:tc>
        <w:tc>
          <w:tcPr/>
          <w:p>
            <w:pPr>
              <w:pStyle w:val="Compact"/>
            </w:pPr>
            <w:r>
              <w:t xml:space="preserve">The skin as an endocrine organ, and how it ages · three lessons</w:t>
            </w:r>
          </w:p>
        </w:tc>
        <w:tc>
          <w:tcPr/>
          <w:p>
            <w:pPr>
              <w:pStyle w:val="Compact"/>
              <w:jc w:val="right"/>
            </w:pPr>
            <w:r>
              <w:t xml:space="preserve">19</w:t>
            </w:r>
          </w:p>
        </w:tc>
        <w:tc>
          <w:tcPr/>
          <w:p>
            <w:pPr>
              <w:pStyle w:val="Compact"/>
            </w:pPr>
            <w:r>
              <w:t xml:space="preserve">~25 min</w:t>
            </w:r>
          </w:p>
        </w:tc>
        <w:tc>
          <w:tcPr/>
          <w:p>
            <w:pPr>
              <w:pStyle w:val="Compact"/>
              <w:jc w:val="right"/>
            </w:pPr>
            <w:r>
              <w:t xml:space="preserve">34</w:t>
            </w:r>
          </w:p>
        </w:tc>
        <w:tc>
          <w:tcPr/>
          <w:p>
            <w:pPr>
              <w:pStyle w:val="Compact"/>
              <w:jc w:val="right"/>
            </w:pPr>
            <w:r>
              <w:t xml:space="preserve">20</w:t>
            </w:r>
          </w:p>
        </w:tc>
        <w:tc>
          <w:tcPr/>
          <w:p>
            <w:pPr>
              <w:pStyle w:val="Compact"/>
            </w:pPr>
            <w:r>
              <w:t xml:space="preserve">approved</w:t>
            </w:r>
          </w:p>
        </w:tc>
      </w:tr>
      <w:tr>
        <w:tc>
          <w:tcPr/>
          <w:p>
            <w:pPr>
              <w:pStyle w:val="Compact"/>
            </w:pPr>
            <w:r>
              <w:t xml:space="preserve">m02</w:t>
            </w:r>
          </w:p>
        </w:tc>
        <w:tc>
          <w:tcPr/>
          <w:p>
            <w:pPr>
              <w:pStyle w:val="Compact"/>
            </w:pPr>
            <w:r>
              <w:t xml:space="preserve">Systemic hormones and the skin · three lessons</w:t>
            </w:r>
          </w:p>
        </w:tc>
        <w:tc>
          <w:tcPr/>
          <w:p>
            <w:pPr>
              <w:pStyle w:val="Compact"/>
              <w:jc w:val="right"/>
            </w:pPr>
            <w:r>
              <w:t xml:space="preserve">19</w:t>
            </w:r>
          </w:p>
        </w:tc>
        <w:tc>
          <w:tcPr/>
          <w:p>
            <w:pPr>
              <w:pStyle w:val="Compact"/>
            </w:pPr>
            <w:r>
              <w:t xml:space="preserve">~26 min</w:t>
            </w:r>
          </w:p>
        </w:tc>
        <w:tc>
          <w:tcPr/>
          <w:p>
            <w:pPr>
              <w:pStyle w:val="Compact"/>
              <w:jc w:val="right"/>
            </w:pPr>
            <w:r>
              <w:t xml:space="preserve">33</w:t>
            </w:r>
          </w:p>
        </w:tc>
        <w:tc>
          <w:tcPr/>
          <w:p>
            <w:pPr>
              <w:pStyle w:val="Compact"/>
              <w:jc w:val="right"/>
            </w:pPr>
            <w:r>
              <w:t xml:space="preserve">20</w:t>
            </w:r>
          </w:p>
        </w:tc>
        <w:tc>
          <w:tcPr/>
          <w:p>
            <w:pPr>
              <w:pStyle w:val="Compact"/>
            </w:pPr>
            <w:r>
              <w:t xml:space="preserve">approved</w:t>
            </w:r>
          </w:p>
        </w:tc>
      </w:tr>
      <w:tr>
        <w:tc>
          <w:tcPr/>
          <w:p>
            <w:pPr>
              <w:pStyle w:val="Compact"/>
            </w:pPr>
            <w:r>
              <w:t xml:space="preserve">m03</w:t>
            </w:r>
          </w:p>
        </w:tc>
        <w:tc>
          <w:tcPr/>
          <w:p>
            <w:pPr>
              <w:pStyle w:val="Compact"/>
            </w:pPr>
            <w:r>
              <w:t xml:space="preserve">Fat, incretins and the ageing face · three lessons</w:t>
            </w:r>
          </w:p>
        </w:tc>
        <w:tc>
          <w:tcPr/>
          <w:p>
            <w:pPr>
              <w:pStyle w:val="Compact"/>
              <w:jc w:val="right"/>
            </w:pPr>
            <w:r>
              <w:t xml:space="preserve">20</w:t>
            </w:r>
          </w:p>
        </w:tc>
        <w:tc>
          <w:tcPr/>
          <w:p>
            <w:pPr>
              <w:pStyle w:val="Compact"/>
            </w:pPr>
            <w:r>
              <w:t xml:space="preserve">~27 min</w:t>
            </w:r>
          </w:p>
        </w:tc>
        <w:tc>
          <w:tcPr/>
          <w:p>
            <w:pPr>
              <w:pStyle w:val="Compact"/>
              <w:jc w:val="right"/>
            </w:pPr>
            <w:r>
              <w:t xml:space="preserve">51</w:t>
            </w:r>
          </w:p>
        </w:tc>
        <w:tc>
          <w:tcPr/>
          <w:p>
            <w:pPr>
              <w:pStyle w:val="Compact"/>
              <w:jc w:val="right"/>
            </w:pPr>
            <w:r>
              <w:t xml:space="preserve">20</w:t>
            </w:r>
          </w:p>
        </w:tc>
        <w:tc>
          <w:tcPr/>
          <w:p>
            <w:pPr>
              <w:pStyle w:val="Compact"/>
            </w:pPr>
            <w:r>
              <w:t xml:space="preserve">approved</w:t>
            </w:r>
          </w:p>
        </w:tc>
      </w:tr>
      <w:tr>
        <w:tc>
          <w:tcPr/>
          <w:p>
            <w:pPr>
              <w:pStyle w:val="Compact"/>
            </w:pPr>
            <w:r>
              <w:t xml:space="preserve">m04</w:t>
            </w:r>
          </w:p>
        </w:tc>
        <w:tc>
          <w:tcPr/>
          <w:p>
            <w:pPr>
              <w:pStyle w:val="Compact"/>
            </w:pPr>
            <w:r>
              <w:t xml:space="preserve">Matrix peptides and wound healing · three lessons</w:t>
            </w:r>
          </w:p>
        </w:tc>
        <w:tc>
          <w:tcPr/>
          <w:p>
            <w:pPr>
              <w:pStyle w:val="Compact"/>
              <w:jc w:val="right"/>
            </w:pPr>
            <w:r>
              <w:t xml:space="preserve">19</w:t>
            </w:r>
          </w:p>
        </w:tc>
        <w:tc>
          <w:tcPr/>
          <w:p>
            <w:pPr>
              <w:pStyle w:val="Compact"/>
            </w:pPr>
            <w:r>
              <w:t xml:space="preserve">~26 min</w:t>
            </w:r>
          </w:p>
        </w:tc>
        <w:tc>
          <w:tcPr/>
          <w:p>
            <w:pPr>
              <w:pStyle w:val="Compact"/>
              <w:jc w:val="right"/>
            </w:pPr>
            <w:r>
              <w:t xml:space="preserve">49</w:t>
            </w:r>
          </w:p>
        </w:tc>
        <w:tc>
          <w:tcPr/>
          <w:p>
            <w:pPr>
              <w:pStyle w:val="Compact"/>
              <w:jc w:val="right"/>
            </w:pPr>
            <w:r>
              <w:t xml:space="preserve">20</w:t>
            </w:r>
          </w:p>
        </w:tc>
        <w:tc>
          <w:tcPr/>
          <w:p>
            <w:pPr>
              <w:pStyle w:val="Compact"/>
            </w:pPr>
            <w:r>
              <w:t xml:space="preserve">approved</w:t>
            </w:r>
          </w:p>
        </w:tc>
      </w:tr>
      <w:tr>
        <w:tc>
          <w:tcPr/>
          <w:p>
            <w:pPr>
              <w:pStyle w:val="Compact"/>
            </w:pPr>
            <w:r>
              <w:t xml:space="preserve">m05</w:t>
            </w:r>
          </w:p>
        </w:tc>
        <w:tc>
          <w:tcPr/>
          <w:p>
            <w:pPr>
              <w:pStyle w:val="Compact"/>
            </w:pPr>
            <w:r>
              <w:t xml:space="preserve">Follicle, pigment and melanocortins · three lessons</w:t>
            </w:r>
          </w:p>
        </w:tc>
        <w:tc>
          <w:tcPr/>
          <w:p>
            <w:pPr>
              <w:pStyle w:val="Compact"/>
              <w:jc w:val="right"/>
            </w:pPr>
            <w:r>
              <w:t xml:space="preserve">19</w:t>
            </w:r>
          </w:p>
        </w:tc>
        <w:tc>
          <w:tcPr/>
          <w:p>
            <w:pPr>
              <w:pStyle w:val="Compact"/>
            </w:pPr>
            <w:r>
              <w:t xml:space="preserve">~26 min</w:t>
            </w:r>
          </w:p>
        </w:tc>
        <w:tc>
          <w:tcPr/>
          <w:p>
            <w:pPr>
              <w:pStyle w:val="Compact"/>
              <w:jc w:val="right"/>
            </w:pPr>
            <w:r>
              <w:t xml:space="preserve">34</w:t>
            </w:r>
          </w:p>
        </w:tc>
        <w:tc>
          <w:tcPr/>
          <w:p>
            <w:pPr>
              <w:pStyle w:val="Compact"/>
              <w:jc w:val="right"/>
            </w:pPr>
            <w:r>
              <w:t xml:space="preserve">20</w:t>
            </w:r>
          </w:p>
        </w:tc>
        <w:tc>
          <w:tcPr/>
          <w:p>
            <w:pPr>
              <w:pStyle w:val="Compact"/>
            </w:pPr>
            <w:r>
              <w:t xml:space="preserve">approved</w:t>
            </w:r>
          </w:p>
        </w:tc>
      </w:tr>
      <w:tr>
        <w:tc>
          <w:tcPr/>
          <w:p>
            <w:pPr>
              <w:pStyle w:val="Compact"/>
            </w:pPr>
            <w:r>
              <w:t xml:space="preserve">m06</w:t>
            </w:r>
          </w:p>
        </w:tc>
        <w:tc>
          <w:tcPr/>
          <w:p>
            <w:pPr>
              <w:pStyle w:val="Compact"/>
            </w:pPr>
            <w:r>
              <w:t xml:space="preserve">The growth-hormone axis and the skin · three lessons</w:t>
            </w:r>
          </w:p>
        </w:tc>
        <w:tc>
          <w:tcPr/>
          <w:p>
            <w:pPr>
              <w:pStyle w:val="Compact"/>
              <w:jc w:val="right"/>
            </w:pPr>
            <w:r>
              <w:t xml:space="preserve">19</w:t>
            </w:r>
          </w:p>
        </w:tc>
        <w:tc>
          <w:tcPr/>
          <w:p>
            <w:pPr>
              <w:pStyle w:val="Compact"/>
            </w:pPr>
            <w:r>
              <w:t xml:space="preserve">~26 min</w:t>
            </w:r>
          </w:p>
        </w:tc>
        <w:tc>
          <w:tcPr/>
          <w:p>
            <w:pPr>
              <w:pStyle w:val="Compact"/>
              <w:jc w:val="right"/>
            </w:pPr>
            <w:r>
              <w:t xml:space="preserve">38</w:t>
            </w:r>
          </w:p>
        </w:tc>
        <w:tc>
          <w:tcPr/>
          <w:p>
            <w:pPr>
              <w:pStyle w:val="Compact"/>
              <w:jc w:val="right"/>
            </w:pPr>
            <w:r>
              <w:t xml:space="preserve">19</w:t>
            </w:r>
          </w:p>
        </w:tc>
        <w:tc>
          <w:tcPr/>
          <w:p>
            <w:pPr>
              <w:pStyle w:val="Compact"/>
            </w:pPr>
            <w:r>
              <w:t xml:space="preserve">approved</w:t>
            </w:r>
          </w:p>
        </w:tc>
      </w:tr>
      <w:tr>
        <w:tc>
          <w:tcPr/>
          <w:p>
            <w:pPr>
              <w:pStyle w:val="Compact"/>
            </w:pPr>
            <w:r>
              <w:t xml:space="preserve">m07</w:t>
            </w:r>
          </w:p>
        </w:tc>
        <w:tc>
          <w:tcPr/>
          <w:p>
            <w:pPr>
              <w:pStyle w:val="Compact"/>
            </w:pPr>
            <w:r>
              <w:t xml:space="preserve">Evidence, regulation and compliance · three lessons</w:t>
            </w:r>
          </w:p>
        </w:tc>
        <w:tc>
          <w:tcPr/>
          <w:p>
            <w:pPr>
              <w:pStyle w:val="Compact"/>
              <w:jc w:val="right"/>
            </w:pPr>
            <w:r>
              <w:t xml:space="preserve">20</w:t>
            </w:r>
          </w:p>
        </w:tc>
        <w:tc>
          <w:tcPr/>
          <w:p>
            <w:pPr>
              <w:pStyle w:val="Compact"/>
            </w:pPr>
            <w:r>
              <w:t xml:space="preserve">~27 min</w:t>
            </w:r>
          </w:p>
        </w:tc>
        <w:tc>
          <w:tcPr/>
          <w:p>
            <w:pPr>
              <w:pStyle w:val="Compact"/>
              <w:jc w:val="right"/>
            </w:pPr>
            <w:r>
              <w:t xml:space="preserve">37</w:t>
            </w:r>
          </w:p>
        </w:tc>
        <w:tc>
          <w:tcPr/>
          <w:p>
            <w:pPr>
              <w:pStyle w:val="Compact"/>
              <w:jc w:val="right"/>
            </w:pPr>
            <w:r>
              <w:t xml:space="preserve">20</w:t>
            </w:r>
          </w:p>
        </w:tc>
        <w:tc>
          <w:tcPr/>
          <w:p>
            <w:pPr>
              <w:pStyle w:val="Compact"/>
            </w:pPr>
            <w:r>
              <w:t xml:space="preserve">approved</w:t>
            </w:r>
          </w:p>
        </w:tc>
      </w:tr>
    </w:tbl>
    <w:bookmarkStart w:id="11" w:name="what-we-need-from-you"/>
    <w:p>
      <w:pPr>
        <w:pStyle w:val="Heading2"/>
      </w:pPr>
      <w:r>
        <w:t xml:space="preserve">What we need from you</w:t>
      </w:r>
    </w:p>
    <w:p>
      <w:pPr>
        <w:pStyle w:val="Compact"/>
        <w:numPr>
          <w:ilvl w:val="0"/>
          <w:numId w:val="1001"/>
        </w:numPr>
      </w:pPr>
      <w:r>
        <w:rPr>
          <w:b/>
          <w:bCs/>
        </w:rPr>
        <w:t xml:space="preserve">Confirm the changes made since approval or flagged by the source check</w:t>
      </w:r>
      <w:r>
        <w:t xml:space="preserve"> </w:t>
      </w:r>
      <w:r>
        <w:t xml:space="preserve">(listed below; m01, m02, m03, m04, m05, m06, m07 were approved before them).</w:t>
      </w:r>
    </w:p>
    <w:p>
      <w:pPr>
        <w:pStyle w:val="Compact"/>
        <w:numPr>
          <w:ilvl w:val="0"/>
          <w:numId w:val="1001"/>
        </w:numPr>
      </w:pPr>
      <w:r>
        <w:rPr>
          <w:b/>
          <w:bCs/>
        </w:rPr>
        <w:t xml:space="preserve">Confirm the grading-rule addition</w:t>
      </w:r>
      <w:r>
        <w:t xml:space="preserve"> </w:t>
      </w:r>
      <w:r>
        <w:t xml:space="preserve">marked "added" in the rule below.</w:t>
      </w:r>
    </w:p>
    <w:bookmarkStart w:id="9" w:name="X70a4bc4247d08496fbd172882fca25869d8b77b"/>
    <w:p>
      <w:pPr>
        <w:pStyle w:val="Heading3"/>
      </w:pPr>
      <w:r>
        <w:t xml:space="preserve">Changes since approval, and corrections from the source check</w:t>
      </w:r>
    </w:p>
    <w:p>
      <w:pPr>
        <w:pStyle w:val="Compact"/>
        <w:numPr>
          <w:ilvl w:val="0"/>
          <w:numId w:val="1002"/>
        </w:numPr>
      </w:pPr>
      <w:r>
        <w:rPr>
          <w:b/>
          <w:bCs/>
        </w:rPr>
        <w:t xml:space="preserve">m01</w:t>
      </w:r>
      <w:r>
        <w:t xml:space="preserve"> </w:t>
      </w:r>
      <w:r>
        <w:t xml:space="preserve">· m1-p15, m1-p18, tutor-m01-senescence (2026-09-24) — The automated source check, which matches every cited sentence against the source's own text, contradicted two statements. Both are corrected. (1) Baker 2016 did measure skin: thickness, fibrosis and wound closure as safety checks, and clearance during healing slowed wound closure, so the course no longer says skin was not an endpoint. (2) Chung 2019 topical rapamycin was an exploratory randomized trial with clinical appearance described qualitatively. The course now says no adequately sized trial with clinical skin-ageing outcomes was found, and keeps 'no randomized senolytic trial' where the statement is about senolytics.</w:t>
      </w:r>
    </w:p>
    <w:p>
      <w:pPr>
        <w:pStyle w:val="Compact"/>
        <w:numPr>
          <w:ilvl w:val="0"/>
          <w:numId w:val="1002"/>
        </w:numPr>
      </w:pPr>
      <w:r>
        <w:rPr>
          <w:b/>
          <w:bCs/>
        </w:rPr>
        <w:t xml:space="preserve">m01</w:t>
      </w:r>
      <w:r>
        <w:t xml:space="preserve"> </w:t>
      </w:r>
      <w:r>
        <w:t xml:space="preserve">· m1-p05, cq-m01-2, tutor-m01-atlas (2026-09-24) — Source-check alignment: vitamin D3 'to the liver' (the cited source names the liver step); atlas tutor answer no longer adds 'including skin' beyond the abstract.</w:t>
      </w:r>
    </w:p>
    <w:p>
      <w:pPr>
        <w:pStyle w:val="Compact"/>
        <w:numPr>
          <w:ilvl w:val="0"/>
          <w:numId w:val="1002"/>
        </w:numPr>
      </w:pPr>
      <w:r>
        <w:rPr>
          <w:b/>
          <w:bCs/>
        </w:rPr>
        <w:t xml:space="preserve">m02</w:t>
      </w:r>
      <w:r>
        <w:t xml:space="preserve"> </w:t>
      </w:r>
      <w:r>
        <w:t xml:space="preserve">· m2-p03, m2-p19, tutor-m02-hrt-skin (2026-09-24) — Source-check alignment: cortisol callout states what the source says (local regulation independent of systemic levels); HRT chip names approved uses and cites the FDA labeling record; KEEPS four-year trial cited in the tutor answer.</w:t>
      </w:r>
    </w:p>
    <w:p>
      <w:pPr>
        <w:pStyle w:val="Compact"/>
        <w:numPr>
          <w:ilvl w:val="0"/>
          <w:numId w:val="1002"/>
        </w:numPr>
      </w:pPr>
      <w:r>
        <w:rPr>
          <w:b/>
          <w:bCs/>
        </w:rPr>
        <w:t xml:space="preserve">m02</w:t>
      </w:r>
      <w:r>
        <w:t xml:space="preserve"> </w:t>
      </w:r>
      <w:r>
        <w:t xml:space="preserve">· tutor-m02-hrt-skin (2026-09-24) — Citation only: tutor answer now cites fda-renova-tretinoin-label, sitohang-2022-tretinoin-sr for statements it already made. No wording change.</w:t>
      </w:r>
    </w:p>
    <w:p>
      <w:pPr>
        <w:pStyle w:val="Compact"/>
        <w:numPr>
          <w:ilvl w:val="0"/>
          <w:numId w:val="1002"/>
        </w:numPr>
      </w:pPr>
      <w:r>
        <w:rPr>
          <w:b/>
          <w:bCs/>
        </w:rPr>
        <w:t xml:space="preserve">m03</w:t>
      </w:r>
      <w:r>
        <w:t xml:space="preserve"> </w:t>
      </w:r>
      <w:r>
        <w:t xml:space="preserve">· m3-p08, m3-p15 (2026-09-24) — From the automated source check: the approvals moment now also cites the Wegovy and Zepbound labels; 'by about half' removed from the high-fat-meal endotoxin sentence (the abstract gives no size).</w:t>
      </w:r>
    </w:p>
    <w:p>
      <w:pPr>
        <w:pStyle w:val="Compact"/>
        <w:numPr>
          <w:ilvl w:val="0"/>
          <w:numId w:val="1002"/>
        </w:numPr>
      </w:pPr>
      <w:r>
        <w:rPr>
          <w:b/>
          <w:bCs/>
        </w:rPr>
        <w:t xml:space="preserve">m03</w:t>
      </w:r>
      <w:r>
        <w:t xml:space="preserve"> </w:t>
      </w:r>
      <w:r>
        <w:t xml:space="preserve">· m3-p17 (2026-09-24) — Quickfire category 'No human outcome data' → 'Little or no human outcome data' (the Hormonaly guide calls the repair stack's human outcome data limited).</w:t>
      </w:r>
    </w:p>
    <w:p>
      <w:pPr>
        <w:pStyle w:val="Compact"/>
        <w:numPr>
          <w:ilvl w:val="0"/>
          <w:numId w:val="1002"/>
        </w:numPr>
      </w:pPr>
      <w:r>
        <w:rPr>
          <w:b/>
          <w:bCs/>
        </w:rPr>
        <w:t xml:space="preserve">m03</w:t>
      </w:r>
      <w:r>
        <w:t xml:space="preserve"> </w:t>
      </w:r>
      <w:r>
        <w:t xml:space="preserve">· m03-tutor-gut-skin (2026-09-24) — Citation only: tutor answer now cites fda-503a-categories-2026-05-14, fda-503a-bulks-page for statements it already made. No wording change.</w:t>
      </w:r>
    </w:p>
    <w:p>
      <w:pPr>
        <w:pStyle w:val="Compact"/>
        <w:numPr>
          <w:ilvl w:val="0"/>
          <w:numId w:val="1002"/>
        </w:numPr>
      </w:pPr>
      <w:r>
        <w:rPr>
          <w:b/>
          <w:bCs/>
        </w:rPr>
        <w:t xml:space="preserve">m04</w:t>
      </w:r>
      <w:r>
        <w:t xml:space="preserve"> </w:t>
      </w:r>
      <w:r>
        <w:t xml:space="preserve">· m4-p14 (2026-09-24) — Named the single randomized BPC-157 trial FDA's July 2026 briefing identified (Ruenzi 2005, ulcerative colitis, meeting abstract only, no significant difference from placebo); title, body and stat wording updated; figure unchanged. Source: FDA PCAC briefing document (fda.gov/media/193343), read in full.</w:t>
      </w:r>
    </w:p>
    <w:p>
      <w:pPr>
        <w:pStyle w:val="Compact"/>
        <w:numPr>
          <w:ilvl w:val="0"/>
          <w:numId w:val="1002"/>
        </w:numPr>
      </w:pPr>
      <w:r>
        <w:rPr>
          <w:b/>
          <w:bCs/>
        </w:rPr>
        <w:t xml:space="preserve">m04</w:t>
      </w:r>
      <w:r>
        <w:t xml:space="preserve"> </w:t>
      </w:r>
      <w:r>
        <w:t xml:space="preserve">· m4-p04, m4-p14 (2026-09-24) — Removed two ClinicalTrials.gov records (NCT07437586 GHK-Cu wound gel; NCT07437547 BPC-157 hamstring) that the draft had cited as recruiting phase 2 trials. Their sponsor, 'Hudson Biotech', also holds a record titled '(Mock Study)', a record whose summary calls itself an 'example interventional study record', and a record re-using the SURMOUNT-1 title; their authenticity cannot be confirmed. The 'phase 2 recruiting' sentence on GHK-Cu is deleted; the BPC-157 list now names only the 2015 PharmaCotherapia phase 1, the 2025 Parlay Wellness product study and the 2026 University of Arkansas phase 1 (start 2027).</w:t>
      </w:r>
    </w:p>
    <w:p>
      <w:pPr>
        <w:pStyle w:val="Compact"/>
        <w:numPr>
          <w:ilvl w:val="0"/>
          <w:numId w:val="1002"/>
        </w:numPr>
      </w:pPr>
      <w:r>
        <w:rPr>
          <w:b/>
          <w:bCs/>
        </w:rPr>
        <w:t xml:space="preserve">m04</w:t>
      </w:r>
      <w:r>
        <w:t xml:space="preserve"> </w:t>
      </w:r>
      <w:r>
        <w:t xml:space="preserve">· m4-p09 (classify) (2026-09-24) — Leuphasyl: 'no independent or indexed human trial' corrected to 'no randomized trial'. An independent uncontrolled volunteer study exists (Dragomirescu 2014). The classify label 'Manufacturer data only' became 'No randomized trial'; grades unchanged. Found by the automated source check.</w:t>
      </w:r>
    </w:p>
    <w:p>
      <w:pPr>
        <w:pStyle w:val="Compact"/>
        <w:numPr>
          <w:ilvl w:val="0"/>
          <w:numId w:val="1002"/>
        </w:numPr>
      </w:pPr>
      <w:r>
        <w:rPr>
          <w:b/>
          <w:bCs/>
        </w:rPr>
        <w:t xml:space="preserve">m04</w:t>
      </w:r>
      <w:r>
        <w:t xml:space="preserve"> </w:t>
      </w:r>
      <w:r>
        <w:t xml:space="preserve">· m4-p08 (2026-09-24) — Leuphasyl is no longer grouped with the SNAP-25 mimics: it is an enkephalin analogue (as the module's own exercise already says). Wording only. Found by the automated source check.</w:t>
      </w:r>
    </w:p>
    <w:p>
      <w:pPr>
        <w:pStyle w:val="Compact"/>
        <w:numPr>
          <w:ilvl w:val="0"/>
          <w:numId w:val="1002"/>
        </w:numPr>
      </w:pPr>
      <w:r>
        <w:rPr>
          <w:b/>
          <w:bCs/>
        </w:rPr>
        <w:t xml:space="preserve">m04</w:t>
      </w:r>
      <w:r>
        <w:t xml:space="preserve"> </w:t>
      </w:r>
      <w:r>
        <w:t xml:space="preserve">· m4-p17 (2026-09-24) — Heavy metals: 'reported for this market but not documented' reworded to 'claimed for this market, but no published analysis behind that claim was found' (the finding already recorded for the A&amp;RE guide's figure). Wording only; found by the automated source check reading the guide.</w:t>
      </w:r>
    </w:p>
    <w:p>
      <w:pPr>
        <w:pStyle w:val="Compact"/>
        <w:numPr>
          <w:ilvl w:val="0"/>
          <w:numId w:val="1002"/>
        </w:numPr>
      </w:pPr>
      <w:r>
        <w:rPr>
          <w:b/>
          <w:bCs/>
        </w:rPr>
        <w:t xml:space="preserve">m04</w:t>
      </w:r>
      <w:r>
        <w:t xml:space="preserve"> </w:t>
      </w:r>
      <w:r>
        <w:t xml:space="preserve">· m4-p09, m4-p17 (2026-09-24) — Classify label 'No randomized trial' refined to 'No independent randomized trial' (the Peptide Pocket Guide describes independent trials of Matrixyl 3000 as limited, not absent). Heavy metals: the course now reports the Hormonaly guide's statement and then that its published analysis could not be found, instead of contradicting it silently. Wording only.</w:t>
      </w:r>
    </w:p>
    <w:p>
      <w:pPr>
        <w:pStyle w:val="Compact"/>
        <w:numPr>
          <w:ilvl w:val="0"/>
          <w:numId w:val="1002"/>
        </w:numPr>
      </w:pPr>
      <w:r>
        <w:rPr>
          <w:b/>
          <w:bCs/>
        </w:rPr>
        <w:t xml:space="preserve">m04</w:t>
      </w:r>
      <w:r>
        <w:t xml:space="preserve"> </w:t>
      </w:r>
      <w:r>
        <w:t xml:space="preserve">· m4-q3 (2026-09-24) — Citation only: the lesson quiz on GHK-Cu's injectable-only Category 1 exception now cites FDA's 503A categories list (14 May 2026). No wording change.</w:t>
      </w:r>
    </w:p>
    <w:p>
      <w:pPr>
        <w:pStyle w:val="Compact"/>
        <w:numPr>
          <w:ilvl w:val="0"/>
          <w:numId w:val="1002"/>
        </w:numPr>
      </w:pPr>
      <w:r>
        <w:rPr>
          <w:b/>
          <w:bCs/>
        </w:rPr>
        <w:t xml:space="preserve">m05</w:t>
      </w:r>
      <w:r>
        <w:t xml:space="preserve"> </w:t>
      </w:r>
      <w:r>
        <w:t xml:space="preserve">· m5-check (2026-09-24) — Module check now cites both 1990s Melanotan II studies (Dorr 1996, Wessells 1998).</w:t>
      </w:r>
    </w:p>
    <w:p>
      <w:pPr>
        <w:pStyle w:val="Compact"/>
        <w:numPr>
          <w:ilvl w:val="0"/>
          <w:numId w:val="1002"/>
        </w:numPr>
      </w:pPr>
      <w:r>
        <w:rPr>
          <w:b/>
          <w:bCs/>
        </w:rPr>
        <w:t xml:space="preserve">m05</w:t>
      </w:r>
      <w:r>
        <w:t xml:space="preserve"> </w:t>
      </w:r>
      <w:r>
        <w:t xml:space="preserve">· m5-p14, m5-q2 (2026-09-24) — Source-check alignment: PTD-DBM described without the HIV Tat detail and thymulin without the residue count (neither in the cited abstracts); the quiz cites the priapism case report.</w:t>
      </w:r>
    </w:p>
    <w:p>
      <w:pPr>
        <w:pStyle w:val="Compact"/>
        <w:numPr>
          <w:ilvl w:val="0"/>
          <w:numId w:val="1002"/>
        </w:numPr>
      </w:pPr>
      <w:r>
        <w:rPr>
          <w:b/>
          <w:bCs/>
        </w:rPr>
        <w:t xml:space="preserve">m06</w:t>
      </w:r>
      <w:r>
        <w:t xml:space="preserve"> </w:t>
      </w:r>
      <w:r>
        <w:t xml:space="preserve">· m6-p05, cq-m06-2, tutor-m06-gh-excess (2026-09-24) — Source-check alignment: GH adverse-effect statements cite Liu 2007 (whose results list them); the GH-excess tutor answer cites the Endocrine Society acromegaly guideline.</w:t>
      </w:r>
    </w:p>
    <w:p>
      <w:pPr>
        <w:pStyle w:val="Compact"/>
        <w:numPr>
          <w:ilvl w:val="0"/>
          <w:numId w:val="1002"/>
        </w:numPr>
      </w:pPr>
      <w:r>
        <w:rPr>
          <w:b/>
          <w:bCs/>
        </w:rPr>
        <w:t xml:space="preserve">m07</w:t>
      </w:r>
      <w:r>
        <w:t xml:space="preserve"> </w:t>
      </w:r>
      <w:r>
        <w:t xml:space="preserve">· m7-p04 (2026-09-24) — 'rodent models' → 'animal models, mostly rodents' (the cited review also reports pig studies).</w:t>
      </w:r>
    </w:p>
    <w:p>
      <w:pPr>
        <w:pStyle w:val="Compact"/>
        <w:numPr>
          <w:ilvl w:val="0"/>
          <w:numId w:val="1002"/>
        </w:numPr>
      </w:pPr>
      <w:r>
        <w:rPr>
          <w:b/>
          <w:bCs/>
        </w:rPr>
        <w:t xml:space="preserve">m07</w:t>
      </w:r>
      <w:r>
        <w:t xml:space="preserve"> </w:t>
      </w:r>
      <w:r>
        <w:t xml:space="preserve">· m7-p09 (2026-09-24) — Tesamorelin's description cites the EGRIFTA WR label.</w:t>
      </w:r>
    </w:p>
    <w:bookmarkEnd w:id="9"/>
    <w:bookmarkStart w:id="10" w:name="grading-rule-applies-to-every-module"/>
    <w:p>
      <w:pPr>
        <w:pStyle w:val="Heading3"/>
      </w:pPr>
      <w:r>
        <w:t xml:space="preserve">Grading rule (applies to every module)</w:t>
      </w:r>
    </w:p>
    <w:p>
      <w:pPr>
        <w:pStyle w:val="FirstParagraph"/>
      </w:pPr>
      <w:r>
        <w:t xml:space="preserve">Grade = certainty the source gives for the specific clinical statement the lesson makes, on the guides' A–D scale. A: consistent large RCTs or approval-grade evidence. B: at least one well-designed, adequately powered RCT or an independent, quality-stratified meta-analysis (either direction). C: small or sponsor-funded RCTs without independent replication, or pooled trials dominated by them. D: animal, in-vitro, mechanistic, case series, manufacturer dossiers. 'context' = history, reviews used for framing, trial registrations without results, analytical or regulatory records (regulatory records are primary for status statements, not graded for efficacy). Where the two guides disagree, the lesson states both and the claim takes the grade the primary evidence supports. Observational studies (added 2026-09-24, GRADE starting point; confirmed by Fady Hannah-Shmouni, MD FRCPC, 2026-09-24): adequately sized cohort, case-control or cross-sectional studies grade C for the association they measured; small or single-centre ones grade D; any causal claim drawn from observational data grades D. Meta-analyses of observational studies grade at most B, and only for association. Guidelines and consensus statements are 'context', cited for what they recommend, not graded as evidence.</w:t>
      </w:r>
    </w:p>
    <w:bookmarkEnd w:id="10"/>
    <w:bookmarkEnd w:id="11"/>
    <w:bookmarkStart w:id="12" w:name="findings-for-the-author-all-modules"/>
    <w:p>
      <w:pPr>
        <w:pStyle w:val="Heading2"/>
      </w:pPr>
      <w:r>
        <w:t xml:space="preserve">Findings for the author (all modules)</w:t>
      </w:r>
    </w:p>
    <w:p>
      <w:pPr>
        <w:pStyle w:val="Compact"/>
        <w:numPr>
          <w:ilvl w:val="0"/>
          <w:numId w:val="1003"/>
        </w:numPr>
      </w:pPr>
      <w:r>
        <w:rPr>
          <w:b/>
          <w:bCs/>
        </w:rPr>
        <w:t xml:space="preserve">m01</w:t>
      </w:r>
      <w:r>
        <w:t xml:space="preserve"> </w:t>
      </w:r>
      <w:r>
        <w:t xml:space="preserve">— A&amp;RE ch.7 ref 1 — the Hormone Cell Atlas is now in print: Fei L, Huang-Doran I, et al. Science 2026;393(6806):eaeb2672 (2 Jul 2026), PMID 42207862. The guide's 'published online May 28, 2026' matches the PubMed entry date.</w:t>
      </w:r>
    </w:p>
    <w:p>
      <w:pPr>
        <w:pStyle w:val="Compact"/>
        <w:numPr>
          <w:ilvl w:val="0"/>
          <w:numId w:val="1003"/>
        </w:numPr>
      </w:pPr>
      <w:r>
        <w:rPr>
          <w:b/>
          <w:bCs/>
        </w:rPr>
        <w:t xml:space="preserve">m01</w:t>
      </w:r>
      <w:r>
        <w:t xml:space="preserve"> </w:t>
      </w:r>
      <w:r>
        <w:t xml:space="preserve">— A&amp;RE ch.7 — the figures '~74% of cell types predicted to produce, and 93% to respond to, at least one hormone' and 'endocrine identity tracks cellular lineage more than tissue of origin' could not be verified from the abstract, the atlas portal or press coverage (full text and supplement paywalled). The course teaches only the abstract- and portal-level facts (379 genes, ~14 million cells and nuclei, 47 tissues). Please confirm these against the paper's text.</w:t>
      </w:r>
    </w:p>
    <w:p>
      <w:pPr>
        <w:pStyle w:val="Compact"/>
        <w:numPr>
          <w:ilvl w:val="0"/>
          <w:numId w:val="1003"/>
        </w:numPr>
      </w:pPr>
      <w:r>
        <w:rPr>
          <w:b/>
          <w:bCs/>
        </w:rPr>
        <w:t xml:space="preserve">m01</w:t>
      </w:r>
      <w:r>
        <w:t xml:space="preserve"> </w:t>
      </w:r>
      <w:r>
        <w:t xml:space="preserve">— A&amp;RE ch.7 testing pearl — 'serum 25-OH vitamin D … falls with low UVB exposure and sunscreen use regardless of oral intake': Neale et al. 2019 (Br J Dermatol, systematic review) found little evidence that real-life sunscreen use lowers 25(OH)D (the two randomized field trials, SPF ~16, showed no effect; high-SPF products untested), and dietary or supplemental vitamin D is itself converted to 25(OH)D (Bikle 2014), so 'regardless of oral intake' does not hold. The course teaches the trial evidence and keeps sun-protection advice unchanged.</w:t>
      </w:r>
    </w:p>
    <w:p>
      <w:pPr>
        <w:pStyle w:val="Compact"/>
        <w:numPr>
          <w:ilvl w:val="0"/>
          <w:numId w:val="1003"/>
        </w:numPr>
      </w:pPr>
      <w:r>
        <w:rPr>
          <w:b/>
          <w:bCs/>
        </w:rPr>
        <w:t xml:space="preserve">m01</w:t>
      </w:r>
      <w:r>
        <w:t xml:space="preserve"> </w:t>
      </w:r>
      <w:r>
        <w:t xml:space="preserve">— A&amp;RE ch.7 senescence paragraph — 'blunting neighboring cells' responsiveness to estrogen, IGF-1, and retinoids, while estrogen loss at menopause is itself associated with a heavier senescent burden and slower fibroblast turnover [4,6]' and 'correcting a true deficiency works partly by easing the senescent … state': neither cited source addresses this (Slominski &amp; Wortsman 2000; Wang &amp; Dreesen 2018, full text read), and a targeted PubMed search found no human study. The course does not teach these statements.</w:t>
      </w:r>
    </w:p>
    <w:p>
      <w:pPr>
        <w:pStyle w:val="Compact"/>
        <w:numPr>
          <w:ilvl w:val="0"/>
          <w:numId w:val="1003"/>
        </w:numPr>
      </w:pPr>
      <w:r>
        <w:rPr>
          <w:b/>
          <w:bCs/>
        </w:rPr>
        <w:t xml:space="preserve">m01</w:t>
      </w:r>
      <w:r>
        <w:t xml:space="preserve"> </w:t>
      </w:r>
      <w:r>
        <w:t xml:space="preserve">— A&amp;RE ch.7 — 'SASP-driven MMPs degrade dermal collagen' is stated as established. The human evidence is that aged dermis has more fibroblast MMP-1 and fragmented collagen (Fisher 2009; Varani 2006) and that senescent cells secrete MMPs in culture (Coppé 2008); that senescent cells are the main source in living skin is plausible, not shown. Suggest 'are thought to'.</w:t>
      </w:r>
    </w:p>
    <w:p>
      <w:pPr>
        <w:pStyle w:val="Compact"/>
        <w:numPr>
          <w:ilvl w:val="0"/>
          <w:numId w:val="1003"/>
        </w:numPr>
      </w:pPr>
      <w:r>
        <w:rPr>
          <w:b/>
          <w:bCs/>
        </w:rPr>
        <w:t xml:space="preserve">m01</w:t>
      </w:r>
      <w:r>
        <w:t xml:space="preserve"> </w:t>
      </w:r>
      <w:r>
        <w:t xml:space="preserve">— A&amp;RE ch.17 internal inconsistency — the text and table grade senolytics' human evidence GRADE C, while the 'three things to remember' strip says senolytics have 'no human outcome data (D)'. The underlying studies (open-label pilots of 9 and 14 patients, biomarker endpoints) fit D for any clinical claim; the course says so and adds that no adequately sized trial with skin-ageing outcomes was found (September 2026); the one exploratory topical-rapamycin RCT described clinical change only qualitatively.</w:t>
      </w:r>
    </w:p>
    <w:p>
      <w:pPr>
        <w:pStyle w:val="Compact"/>
        <w:numPr>
          <w:ilvl w:val="0"/>
          <w:numId w:val="1003"/>
        </w:numPr>
      </w:pPr>
      <w:r>
        <w:rPr>
          <w:b/>
          <w:bCs/>
        </w:rPr>
        <w:t xml:space="preserve">m01</w:t>
      </w:r>
      <w:r>
        <w:t xml:space="preserve"> </w:t>
      </w:r>
      <w:r>
        <w:t xml:space="preserve">— A&amp;RE ch.6 — 'Independent work shows keratinocyte-derived, de novo glucocorticoids actively police local immune tone' (Phan 2021): the functional evidence is from mice (keratinocyte Cyp11b1 deletion). Worth naming the species, as the chapter does elsewhere ('cell and ex-vivo').</w:t>
      </w:r>
    </w:p>
    <w:p>
      <w:pPr>
        <w:pStyle w:val="Compact"/>
        <w:numPr>
          <w:ilvl w:val="0"/>
          <w:numId w:val="1003"/>
        </w:numPr>
      </w:pPr>
      <w:r>
        <w:rPr>
          <w:b/>
          <w:bCs/>
        </w:rPr>
        <w:t xml:space="preserve">m01</w:t>
      </w:r>
      <w:r>
        <w:t xml:space="preserve"> </w:t>
      </w:r>
      <w:r>
        <w:t xml:space="preserve">— A&amp;RE ch.5 — 'reduces collagen by roughly 1% per year' (ref 1, Shuster 1975): the abstract confirms that skin collagen falls with age and is lower in women but gives no annual rate, and the full text was not accessible. The course does not quote the 1% figure; please confirm the source of the rate.</w:t>
      </w:r>
    </w:p>
    <w:p>
      <w:pPr>
        <w:pStyle w:val="Compact"/>
        <w:numPr>
          <w:ilvl w:val="0"/>
          <w:numId w:val="1003"/>
        </w:numPr>
      </w:pPr>
      <w:r>
        <w:rPr>
          <w:b/>
          <w:bCs/>
        </w:rPr>
        <w:t xml:space="preserve">m01</w:t>
      </w:r>
      <w:r>
        <w:t xml:space="preserve"> </w:t>
      </w:r>
      <w:r>
        <w:t xml:space="preserve">— A&amp;RE ch.5 — 'retinoids … remain first-line GRADE A' carries no citation. Suggested primary: Sitohang et al. 2022 (systematic review of 7 RCTs of topical tretinoin for photoageing, PMID 35620028); for naturally aged skin, Kafi et al. 2007 (RCT, PMID 17515510).</w:t>
      </w:r>
    </w:p>
    <w:p>
      <w:pPr>
        <w:pStyle w:val="Compact"/>
        <w:numPr>
          <w:ilvl w:val="0"/>
          <w:numId w:val="1003"/>
        </w:numPr>
      </w:pPr>
      <w:r>
        <w:rPr>
          <w:b/>
          <w:bCs/>
        </w:rPr>
        <w:t xml:space="preserve">m01</w:t>
      </w:r>
      <w:r>
        <w:t xml:space="preserve"> </w:t>
      </w:r>
      <w:r>
        <w:t xml:space="preserve">— Not in either guide, worth adding — Ressler 2006 and Waaijer 2016 (senescent cells in human skin, and their link with wrinkles and perceived age), Fisher 2009 and Varani 2006 (the MMP-1–collagen fragmentation loop in aged human dermis), Coppé 2008 (the SASP primary), Chung 2019 (the one randomized human-skin senomorphic study), Hughes 2013 (sunscreen RCT, photoageing), Neale 2019 (sunscreen and vitamin D), and the atlas portal's own statement that its predictions are 'putative and hypothesis-generating'.</w:t>
      </w:r>
    </w:p>
    <w:p>
      <w:pPr>
        <w:pStyle w:val="Compact"/>
        <w:numPr>
          <w:ilvl w:val="0"/>
          <w:numId w:val="1003"/>
        </w:numPr>
      </w:pPr>
      <w:r>
        <w:rPr>
          <w:b/>
          <w:bCs/>
        </w:rPr>
        <w:t xml:space="preserve">m01</w:t>
      </w:r>
      <w:r>
        <w:t xml:space="preserve"> </w:t>
      </w:r>
      <w:r>
        <w:t xml:space="preserve">— Baker 2016 (2026-09-24, from the claim-support full-text read): clearing p16-positive cells during wound healing slowed wound closure in mice (Extended Data Fig. 10), consistent with transient senescence aiding repair (Haykal 2026). This is worth a line in A&amp;RE ch.13/17, where senolytics are discussed for skin.</w:t>
      </w:r>
    </w:p>
    <w:p>
      <w:pPr>
        <w:pStyle w:val="Compact"/>
        <w:numPr>
          <w:ilvl w:val="0"/>
          <w:numId w:val="1003"/>
        </w:numPr>
      </w:pPr>
      <w:r>
        <w:rPr>
          <w:b/>
          <w:bCs/>
        </w:rPr>
        <w:t xml:space="preserve">m02</w:t>
      </w:r>
      <w:r>
        <w:t xml:space="preserve"> </w:t>
      </w:r>
      <w:r>
        <w:t xml:space="preserve">— A&amp;RE ch.9 — 'skin collagen falls … on the order of 30% within the first five years, then roughly 2% per year' (refs 1 and 3, both reviews). The primary biopsy studies it traces to report 1–2% a year tracking years since menopause (Brincat 1985, PMID 3978054; Brincat 1987, PMID 3120067; Affinito 1999, PMID 10656502); none of their abstracts states the 30% figure, which appears in reviews (e.g., Thornton 2013). The course teaches 1–2% a year and names 30% as a review figure. Suggest citing the primary study that reports it, or dropping it.</w:t>
      </w:r>
    </w:p>
    <w:p>
      <w:pPr>
        <w:pStyle w:val="Compact"/>
        <w:numPr>
          <w:ilvl w:val="0"/>
          <w:numId w:val="1003"/>
        </w:numPr>
      </w:pPr>
      <w:r>
        <w:rPr>
          <w:b/>
          <w:bCs/>
        </w:rPr>
        <w:t xml:space="preserve">m02</w:t>
      </w:r>
      <w:r>
        <w:t xml:space="preserve"> </w:t>
      </w:r>
      <w:r>
        <w:t xml:space="preserve">— A&amp;RE ch.9 grades the skin effect of MHT GRADE B, citing the NAMS 2022 statement. NAMS itself rates that key point Level II (limited or inconsistent) on the strength of one review. The largest RCT of HT on facial skin (Phillips 2008, n=485, PMID 18625536) and the 4-year KEEPS skin study (Owen 2016, PMID 27393520) found no difference in wrinkles; neither is cited by the guide. The course grades structural effects (thickness, collagen) C and says a visible wrinkle benefit has not been shown in the largest trials. The guide may wish to revisit B.</w:t>
      </w:r>
    </w:p>
    <w:p>
      <w:pPr>
        <w:pStyle w:val="Compact"/>
        <w:numPr>
          <w:ilvl w:val="0"/>
          <w:numId w:val="1003"/>
        </w:numPr>
      </w:pPr>
      <w:r>
        <w:rPr>
          <w:b/>
          <w:bCs/>
        </w:rPr>
        <w:t xml:space="preserve">m02</w:t>
      </w:r>
      <w:r>
        <w:t xml:space="preserve"> </w:t>
      </w:r>
      <w:r>
        <w:t xml:space="preserve">— A&amp;RE ch.9 ref 8 (Pivazyan 2023) — pools small, heterogeneous studies including non-randomized ones (I² 64–98%), omits KEEPS, and its own authors say MHT should not be considered an independent treatment for skin ageing. Suggest describing it as low-certainty support.</w:t>
      </w:r>
    </w:p>
    <w:p>
      <w:pPr>
        <w:pStyle w:val="Compact"/>
        <w:numPr>
          <w:ilvl w:val="0"/>
          <w:numId w:val="1003"/>
        </w:numPr>
      </w:pPr>
      <w:r>
        <w:rPr>
          <w:b/>
          <w:bCs/>
        </w:rPr>
        <w:t xml:space="preserve">m02</w:t>
      </w:r>
      <w:r>
        <w:t xml:space="preserve"> </w:t>
      </w:r>
      <w:r>
        <w:t xml:space="preserve">— A&amp;RE ch.8 'cortisol face' — the opening description of the 'genuine endocrine entity' leads with moon facies and dorsocervical/supraclavicular fat pads, which the Endocrine Society guideline (Nieman 2008, Table 1) lists among common, less discriminatory features; its best discriminators are easy bruising, facial plethora, proximal myopathy and reddish-purple striae &gt;1 cm. The chapter's clinical pearl already lists the right red flags; suggest the description lead with them.</w:t>
      </w:r>
    </w:p>
    <w:p>
      <w:pPr>
        <w:pStyle w:val="Compact"/>
        <w:numPr>
          <w:ilvl w:val="0"/>
          <w:numId w:val="1003"/>
        </w:numPr>
      </w:pPr>
      <w:r>
        <w:rPr>
          <w:b/>
          <w:bCs/>
        </w:rPr>
        <w:t xml:space="preserve">m02</w:t>
      </w:r>
      <w:r>
        <w:t xml:space="preserve"> </w:t>
      </w:r>
      <w:r>
        <w:t xml:space="preserve">— A&amp;RE ch.8 — worth adding the guideline's first step: a drug history for exogenous glucocorticoids, including topical and skin-bleaching creams, herbal tonics and joint or nerve injections (Nieman 2008, 3.1), since iatrogenic Cushing's is the commonest form and the most relevant to aesthetic practice.</w:t>
      </w:r>
    </w:p>
    <w:p>
      <w:pPr>
        <w:pStyle w:val="Compact"/>
        <w:numPr>
          <w:ilvl w:val="0"/>
          <w:numId w:val="1003"/>
        </w:numPr>
      </w:pPr>
      <w:r>
        <w:rPr>
          <w:b/>
          <w:bCs/>
        </w:rPr>
        <w:t xml:space="preserve">m02</w:t>
      </w:r>
      <w:r>
        <w:t xml:space="preserve"> </w:t>
      </w:r>
      <w:r>
        <w:t xml:space="preserve">— A&amp;RE inherited-syndromes chapter — the Carney complex entry omits cardiac myxomas, present in 20–40% of patients and responsible for more than half of disease mortality (Correa 2015, PMID 26130139). They are the main reason a lentigines-plus-myxoma pattern is a referral. PRKAR1A '~70%' matches Correa 2015 ('more than 70%').</w:t>
      </w:r>
    </w:p>
    <w:p>
      <w:pPr>
        <w:pStyle w:val="Compact"/>
        <w:numPr>
          <w:ilvl w:val="0"/>
          <w:numId w:val="1003"/>
        </w:numPr>
      </w:pPr>
      <w:r>
        <w:rPr>
          <w:b/>
          <w:bCs/>
        </w:rPr>
        <w:t xml:space="preserve">m02</w:t>
      </w:r>
      <w:r>
        <w:t xml:space="preserve"> </w:t>
      </w:r>
      <w:r>
        <w:t xml:space="preserve">— A&amp;RE ch.9 — 'topical estrogen creams … are absorbed systemically' is not stated in the cited review's abstract (Shu &amp; Maibach 2011) and was not verified; the course teaches the US regulatory position instead (21 CFR 310.530: an OTC 'hormone cream' is an unapproved new drug).</w:t>
      </w:r>
    </w:p>
    <w:p>
      <w:pPr>
        <w:pStyle w:val="Compact"/>
        <w:numPr>
          <w:ilvl w:val="0"/>
          <w:numId w:val="1003"/>
        </w:numPr>
      </w:pPr>
      <w:r>
        <w:rPr>
          <w:b/>
          <w:bCs/>
        </w:rPr>
        <w:t xml:space="preserve">m02</w:t>
      </w:r>
      <w:r>
        <w:t xml:space="preserve"> </w:t>
      </w:r>
      <w:r>
        <w:t xml:space="preserve">— A&amp;RE ch.9 and ch.14 — FDA's menopausal hormone therapy labeling action (request 10 Nov 2025; first six approved labels 12 Feb 2026: cardiovascular, breast-cancer and probable-dementia statements removed from the boxed warning) is not mentioned. Suggest adding it, date-stamped, because it changes how the risk conversation is framed; approved indications did not change and do not include skin.</w:t>
      </w:r>
    </w:p>
    <w:p>
      <w:pPr>
        <w:pStyle w:val="Compact"/>
        <w:numPr>
          <w:ilvl w:val="0"/>
          <w:numId w:val="1003"/>
        </w:numPr>
      </w:pPr>
      <w:r>
        <w:rPr>
          <w:b/>
          <w:bCs/>
        </w:rPr>
        <w:t xml:space="preserve">m02</w:t>
      </w:r>
      <w:r>
        <w:t xml:space="preserve"> </w:t>
      </w:r>
      <w:r>
        <w:t xml:space="preserve">— A&amp;RE algorithms pp.93–96 are images only; the course used them to locate claims and sourced every teaching statement to a primary or guideline record. The menopause algorithm's 'topical estrogen off-label (C)' box would read more safely as 'not recommended for wrinkles' to match ch.9's text.</w:t>
      </w:r>
    </w:p>
    <w:p>
      <w:pPr>
        <w:pStyle w:val="Compact"/>
        <w:numPr>
          <w:ilvl w:val="0"/>
          <w:numId w:val="1003"/>
        </w:numPr>
      </w:pPr>
      <w:r>
        <w:rPr>
          <w:b/>
          <w:bCs/>
        </w:rPr>
        <w:t xml:space="preserve">m02</w:t>
      </w:r>
      <w:r>
        <w:t xml:space="preserve"> </w:t>
      </w:r>
      <w:r>
        <w:t xml:space="preserve">— All other A&amp;RE ch.8, ch.9 and inherited-syndrome references resolved on PubMed with matching title, first author, journal and year (Slominski 2000, Tiganescu 2011, Schoepe 2006, Nieman 2008, Hall 2005, Thornton 2013, Brincat 2005, NAMS 2022 and 2020, Shu 2011, Manson 2013, Pivazyan 2023, Lause 2017, Darling 1997, Stanescu 2024, Kirschner 2000).</w:t>
      </w:r>
    </w:p>
    <w:p>
      <w:pPr>
        <w:pStyle w:val="Compact"/>
        <w:numPr>
          <w:ilvl w:val="0"/>
          <w:numId w:val="1003"/>
        </w:numPr>
      </w:pPr>
      <w:r>
        <w:rPr>
          <w:b/>
          <w:bCs/>
        </w:rPr>
        <w:t xml:space="preserve">m02</w:t>
      </w:r>
      <w:r>
        <w:t xml:space="preserve"> </w:t>
      </w:r>
      <w:r>
        <w:t xml:space="preserve">— Not in either guide, worth adding — Ajjan 2022 (first human RCT of 11β-HSD1 inhibition in skin; pilot, primary outcome missed), Phillips 2008 and Owen 2016 (negative HT wrinkle trials), Martin 2018 (Endocrine Society hirsutism guideline: rapid progression or virilization → androgen-secreting tumour, ~0.2%, over half malignant), Bornstein 2016 (hyperpigmentation distribution in primary adrenal insufficiency), Correa 2015 (Carney complex cardiac myxomas), Hughes 2013 (sunscreen RCT, n=903) and the Renova label (the one FDA-approved adjunct for fine facial wrinkles).</w:t>
      </w:r>
    </w:p>
    <w:p>
      <w:pPr>
        <w:pStyle w:val="Compact"/>
        <w:numPr>
          <w:ilvl w:val="0"/>
          <w:numId w:val="1003"/>
        </w:numPr>
      </w:pPr>
      <w:r>
        <w:rPr>
          <w:b/>
          <w:bCs/>
        </w:rPr>
        <w:t xml:space="preserve">m03</w:t>
      </w:r>
      <w:r>
        <w:t xml:space="preserve"> </w:t>
      </w:r>
      <w:r>
        <w:t xml:space="preserve">— Grading-rule gap — the rule has no tier for observational human studies (cohorts, surveys, imaging series, tissue biochemistry). Module 03 followed GRADE's starting point: adequately sized observational studies graded C for the association they measured, small or uncontrolled studies D, and any causal inference drawn from association D. Suggest adding this line to the rule for all modules.</w:t>
      </w:r>
    </w:p>
    <w:p>
      <w:pPr>
        <w:pStyle w:val="Compact"/>
        <w:numPr>
          <w:ilvl w:val="0"/>
          <w:numId w:val="1003"/>
        </w:numPr>
      </w:pPr>
      <w:r>
        <w:rPr>
          <w:b/>
          <w:bCs/>
        </w:rPr>
        <w:t xml:space="preserve">m03</w:t>
      </w:r>
      <w:r>
        <w:t xml:space="preserve"> </w:t>
      </w:r>
      <w:r>
        <w:t xml:space="preserve">— A&amp;RE ch.13 glycation paragraph — rates AGE cross-linking → loss of elasticity GRADE B and AGE–RAGE → NF-κB inflammatory signalling GRADE B, citing two reviews (Gkogkolou &amp; Böhm 2012; Chaudhuri 2018). Gkogkolou &amp; Böhm conclude that 'still little is known on the precise role of AGEs during skin aging'. The primary human evidence found is observational accumulation (Dyer 1993; Verzijl 2000). The course grades accumulation C and the causal skin-ageing link D, and names the disagreement; the author may wish to revisit the B.</w:t>
      </w:r>
    </w:p>
    <w:p>
      <w:pPr>
        <w:pStyle w:val="Compact"/>
        <w:numPr>
          <w:ilvl w:val="0"/>
          <w:numId w:val="1003"/>
        </w:numPr>
      </w:pPr>
      <w:r>
        <w:rPr>
          <w:b/>
          <w:bCs/>
        </w:rPr>
        <w:t xml:space="preserve">m03</w:t>
      </w:r>
      <w:r>
        <w:t xml:space="preserve"> </w:t>
      </w:r>
      <w:r>
        <w:t xml:space="preserve">— SURMOUNT-1 figure — A&amp;RE prints '~21%' at the top dose (the trial's treatment-regimen estimand, −20.9%) and PPG-Aug prints '22.5%' (the efficacy estimand). Both are correct for different estimands; each guide should name its estimand. The course uses the primary treatment-regimen figures (−15.0% to −20.9% vs −3.1%).</w:t>
      </w:r>
    </w:p>
    <w:p>
      <w:pPr>
        <w:pStyle w:val="Compact"/>
        <w:numPr>
          <w:ilvl w:val="0"/>
          <w:numId w:val="1003"/>
        </w:numPr>
      </w:pPr>
      <w:r>
        <w:rPr>
          <w:b/>
          <w:bCs/>
        </w:rPr>
        <w:t xml:space="preserve">m03</w:t>
      </w:r>
      <w:r>
        <w:t xml:space="preserve"> </w:t>
      </w:r>
      <w:r>
        <w:t xml:space="preserve">— A&amp;RE ch.12 telogen effluvium GRADE B — the anchor is a review (Persson 2025). The primary evidence is the US labels' placebo-controlled hair-loss rates (Wegovy 3.3% vs 1%, higher at the higher approved dose; Zepbound 4–5% vs 1%; mostly women; associated with weight reduction). Suggest citing the labels; the telogen-effluvium mechanism itself is inferred from observational reports.</w:t>
      </w:r>
    </w:p>
    <w:p>
      <w:pPr>
        <w:pStyle w:val="Compact"/>
        <w:numPr>
          <w:ilvl w:val="0"/>
          <w:numId w:val="1003"/>
        </w:numPr>
      </w:pPr>
      <w:r>
        <w:rPr>
          <w:b/>
          <w:bCs/>
        </w:rPr>
        <w:t xml:space="preserve">m03</w:t>
      </w:r>
      <w:r>
        <w:t xml:space="preserve"> </w:t>
      </w:r>
      <w:r>
        <w:t xml:space="preserve">— A&amp;RE ch.12 counselling box — 'slower titration and a gradual rate of loss reduce both lean-mass and facial-volume loss': no primary study was found linking titration pace to facial volume, and titration and the protein g/kg figure are outside the source lock. The course teaches counselling, monitoring and referral only.</w:t>
      </w:r>
    </w:p>
    <w:p>
      <w:pPr>
        <w:pStyle w:val="Compact"/>
        <w:numPr>
          <w:ilvl w:val="0"/>
          <w:numId w:val="1003"/>
        </w:numPr>
      </w:pPr>
      <w:r>
        <w:rPr>
          <w:b/>
          <w:bCs/>
        </w:rPr>
        <w:t xml:space="preserve">m03</w:t>
      </w:r>
      <w:r>
        <w:t xml:space="preserve"> </w:t>
      </w:r>
      <w:r>
        <w:t xml:space="preserve">— A&amp;RE ch.11–12 say rapid loss depletes 'subcutaneous and dermal fat'. The only quantitative facial study (Sharma 2025, n=20) measured superficial and deep midface compartments; no human study measuring dermal white adipose tissue on incretins was found. Suggest 'subcutaneous facial fat' unless a dermal study is cited. Relatedly, A&amp;RE ch.11 presents dWAT's antimicrobial defence without noting it is mouse data (human acne-lesion data now exist: O'Neill 2022).</w:t>
      </w:r>
    </w:p>
    <w:p>
      <w:pPr>
        <w:pStyle w:val="Compact"/>
        <w:numPr>
          <w:ilvl w:val="0"/>
          <w:numId w:val="1003"/>
        </w:numPr>
      </w:pPr>
      <w:r>
        <w:rPr>
          <w:b/>
          <w:bCs/>
        </w:rPr>
        <w:t xml:space="preserve">m03</w:t>
      </w:r>
      <w:r>
        <w:t xml:space="preserve"> </w:t>
      </w:r>
      <w:r>
        <w:t xml:space="preserve">— PPG-Aug semaglutide and tirzepatide entries — no skin or facial notes, although both US labels now list hair loss among common adverse reactions and the Wegovy label lists dysesthesia (altered skin sensation). The semaglutide entry's indications omit the March 2024 cardiovascular risk-reduction indication (Wegovy S-011, SELECT). The current Mounjaro label (effective 27 August 2026) includes a cardiovascular risk-reduction indication that the August build does not list.</w:t>
      </w:r>
    </w:p>
    <w:p>
      <w:pPr>
        <w:pStyle w:val="Compact"/>
        <w:numPr>
          <w:ilvl w:val="0"/>
          <w:numId w:val="1003"/>
        </w:numPr>
      </w:pPr>
      <w:r>
        <w:rPr>
          <w:b/>
          <w:bCs/>
        </w:rPr>
        <w:t xml:space="preserve">m03</w:t>
      </w:r>
      <w:r>
        <w:t xml:space="preserve"> </w:t>
      </w:r>
      <w:r>
        <w:t xml:space="preserve">— A&amp;RE ch.16 grades a fibre-rich diet A; the review it cites (Reynolds 2019) rates certainty 'moderate' for dietary fibre and has no skin outcomes, which the course rule maps to B. The course reports the guide's A for metabolic outcomes, states the review's certainty, and says no trial has measured skin.</w:t>
      </w:r>
    </w:p>
    <w:p>
      <w:pPr>
        <w:pStyle w:val="Compact"/>
        <w:numPr>
          <w:ilvl w:val="0"/>
          <w:numId w:val="1003"/>
        </w:numPr>
      </w:pPr>
      <w:r>
        <w:rPr>
          <w:b/>
          <w:bCs/>
        </w:rPr>
        <w:t xml:space="preserve">m03</w:t>
      </w:r>
      <w:r>
        <w:t xml:space="preserve"> </w:t>
      </w:r>
      <w:r>
        <w:t xml:space="preserve">— A&amp;RE ch.12 'small studies report improvement in psoriasis GRADE C' — still C, but two primary trials now bracket it: a negative 20-patient placebo-controlled RCT of liraglutide (Faurschou 2015) and an open-label, Lilly-sponsored phase 3b RCT of tirzepatide added to ixekizumab (Lebwohl 2026, TOGETHER-PsO). Worth citing both.</w:t>
      </w:r>
    </w:p>
    <w:p>
      <w:pPr>
        <w:pStyle w:val="Compact"/>
        <w:numPr>
          <w:ilvl w:val="0"/>
          <w:numId w:val="1003"/>
        </w:numPr>
      </w:pPr>
      <w:r>
        <w:rPr>
          <w:b/>
          <w:bCs/>
        </w:rPr>
        <w:t xml:space="preserve">m03</w:t>
      </w:r>
      <w:r>
        <w:t xml:space="preserve"> </w:t>
      </w:r>
      <w:r>
        <w:t xml:space="preserve">— Not in either guide, worth adding — Sharma 2025 (first quantitative imaging of midface volume on GLP-1 RAs), Rao 2026 (1,226-patient survey: facial and hair effects rise with weight lost), Batsis 2026 (independent review of body composition across 35 RCTs), the Cochrane review of probiotics for eczema (Makrgeorgou 2018), Scheffler 2018 (commercial zonulin ELISA does not detect zonulin), and the US labels as the primary source for hair-loss rates.</w:t>
      </w:r>
    </w:p>
    <w:p>
      <w:pPr>
        <w:pStyle w:val="Compact"/>
        <w:numPr>
          <w:ilvl w:val="0"/>
          <w:numId w:val="1003"/>
        </w:numPr>
      </w:pPr>
      <w:r>
        <w:rPr>
          <w:b/>
          <w:bCs/>
        </w:rPr>
        <w:t xml:space="preserve">m03</w:t>
      </w:r>
      <w:r>
        <w:t xml:space="preserve"> </w:t>
      </w:r>
      <w:r>
        <w:t xml:space="preserve">— Reference check — every A&amp;RE reference the module uses from chapters 11, 12, 13, 14 and 16 (Kershaw &amp; Flier; Zhang 2015; Chen 2019; SELECT; Drucker; STEP-1; SURMOUNT-1; Camilleri; Burke; Persson; Franceschi 2000; Ferrucci &amp; Fabbri; Gkogkolou &amp; Böhm; Chaudhuri; Humphrey &amp; Lawrence; Conte; Reynolds; Suez; Depommier) resolved on PubMed with the printed journal, volume and year. PPG-Aug PMIDs for STEP-1, SURMOUNT-1, SELECT and SURMOUNT-OSA resolve.</w:t>
      </w:r>
    </w:p>
    <w:p>
      <w:pPr>
        <w:pStyle w:val="Compact"/>
        <w:numPr>
          <w:ilvl w:val="0"/>
          <w:numId w:val="1003"/>
        </w:numPr>
      </w:pPr>
      <w:r>
        <w:rPr>
          <w:b/>
          <w:bCs/>
        </w:rPr>
        <w:t xml:space="preserve">m03</w:t>
      </w:r>
      <w:r>
        <w:t xml:space="preserve"> </w:t>
      </w:r>
      <w:r>
        <w:t xml:space="preserve">— Jurisdiction — both guides are US-centred for incretin regulation; module 03 asserts US status only (FDA labels, Drugs@FDA, FDA statement current 1 September 2026). MHRA/EMA status of Wegovy, Mounjaro and compounded GLP-1 products is not asserted and needs mapping for UK learners (in progress).</w:t>
      </w:r>
    </w:p>
    <w:p>
      <w:pPr>
        <w:pStyle w:val="Compact"/>
        <w:numPr>
          <w:ilvl w:val="0"/>
          <w:numId w:val="1003"/>
        </w:numPr>
      </w:pPr>
      <w:r>
        <w:rPr>
          <w:b/>
          <w:bCs/>
        </w:rPr>
        <w:t xml:space="preserve">m04</w:t>
      </w:r>
      <w:r>
        <w:t xml:space="preserve"> </w:t>
      </w:r>
      <w:r>
        <w:t xml:space="preserve">— A&amp;RE ch.15 ref 4 — 'Sikiric P, et al. Curr Med Chem 2018;25:1972' does not resolve on PubMed; the title matches Curr Pharm Des 2018;24:1990–2001 (PMID 29879879), which the Pocket Guide cites correctly.</w:t>
      </w:r>
    </w:p>
    <w:p>
      <w:pPr>
        <w:pStyle w:val="Compact"/>
        <w:numPr>
          <w:ilvl w:val="0"/>
          <w:numId w:val="1003"/>
        </w:numPr>
      </w:pPr>
      <w:r>
        <w:rPr>
          <w:b/>
          <w:bCs/>
        </w:rPr>
        <w:t xml:space="preserve">m04</w:t>
      </w:r>
      <w:r>
        <w:t xml:space="preserve"> </w:t>
      </w:r>
      <w:r>
        <w:t xml:space="preserve">— PPG-Aug Argireline entry — 'Wang Y et al. [not indexed]': the 2013 Am J Clin Dermatol randomized placebo-controlled trial is indexed (PMID 23417317).</w:t>
      </w:r>
    </w:p>
    <w:p>
      <w:pPr>
        <w:pStyle w:val="Compact"/>
        <w:numPr>
          <w:ilvl w:val="0"/>
          <w:numId w:val="1003"/>
        </w:numPr>
      </w:pPr>
      <w:r>
        <w:rPr>
          <w:b/>
          <w:bCs/>
        </w:rPr>
        <w:t xml:space="preserve">m04</w:t>
      </w:r>
      <w:r>
        <w:t xml:space="preserve"> </w:t>
      </w:r>
      <w:r>
        <w:t xml:space="preserve">— PPG-Aug LL-37 entry — Grönberg et al. is 2014 (printed 2015); Mahlapuu et al. is 2021 (printed 2022).</w:t>
      </w:r>
    </w:p>
    <w:p>
      <w:pPr>
        <w:pStyle w:val="Compact"/>
        <w:numPr>
          <w:ilvl w:val="0"/>
          <w:numId w:val="1003"/>
        </w:numPr>
      </w:pPr>
      <w:r>
        <w:rPr>
          <w:b/>
          <w:bCs/>
        </w:rPr>
        <w:t xml:space="preserve">m04</w:t>
      </w:r>
      <w:r>
        <w:t xml:space="preserve"> </w:t>
      </w:r>
      <w:r>
        <w:t xml:space="preserve">— A&amp;RE ch.15 RUO cautions — the heavy-metal (arsenic, lead) statement has no citation and no primary analytical study of skin-peptide RUO products was found; the course now says 'reported, not documented'. The '30% wrong sequence / 65% endotoxin' figure circulating online traces to no journal.</w:t>
      </w:r>
    </w:p>
    <w:p>
      <w:pPr>
        <w:pStyle w:val="Compact"/>
        <w:numPr>
          <w:ilvl w:val="0"/>
          <w:numId w:val="1003"/>
        </w:numPr>
      </w:pPr>
      <w:r>
        <w:rPr>
          <w:b/>
          <w:bCs/>
        </w:rPr>
        <w:t xml:space="preserve">m04</w:t>
      </w:r>
      <w:r>
        <w:t xml:space="preserve"> </w:t>
      </w:r>
      <w:r>
        <w:t xml:space="preserve">— PPG-Aug KPV entry — the 'small open-label studies for atopic dermatitis' could not be located on PubMed.</w:t>
      </w:r>
    </w:p>
    <w:p>
      <w:pPr>
        <w:pStyle w:val="Compact"/>
        <w:numPr>
          <w:ilvl w:val="0"/>
          <w:numId w:val="1003"/>
        </w:numPr>
      </w:pPr>
      <w:r>
        <w:rPr>
          <w:b/>
          <w:bCs/>
        </w:rPr>
        <w:t xml:space="preserve">m04</w:t>
      </w:r>
      <w:r>
        <w:t xml:space="preserve"> </w:t>
      </w:r>
      <w:r>
        <w:t xml:space="preserve">— GHK-Cu regulatory status — FDA's May 14, 2026 category document records the April 22, 2026 withdrawal, the May 5 partial reinstatement (non-injectable routes) and a PCAC consultation intended before end of February 2027; both guides should date-stamp 'Category 1 (non-injectable)'.</w:t>
      </w:r>
    </w:p>
    <w:p>
      <w:pPr>
        <w:pStyle w:val="Compact"/>
        <w:numPr>
          <w:ilvl w:val="0"/>
          <w:numId w:val="1003"/>
        </w:numPr>
      </w:pPr>
      <w:r>
        <w:rPr>
          <w:b/>
          <w:bCs/>
        </w:rPr>
        <w:t xml:space="preserve">m04</w:t>
      </w:r>
      <w:r>
        <w:t xml:space="preserve"> </w:t>
      </w:r>
      <w:r>
        <w:t xml:space="preserve">— Grade disagreement between the guides — A&amp;RE ch.5 rates Argireline and Matrixyl-type peptides GRADE C; the Pocket Guide rates Argireline, Leuphasyl, Matrixyl 3000 and Palmitoyl Tripeptide-1 GRADE D. The course grades pal-KTTKS and Argireline C (RCTs incl. an independent 2023 trial) and the blends/Leuphasyl D, and names the disagreement.</w:t>
      </w:r>
    </w:p>
    <w:p>
      <w:pPr>
        <w:pStyle w:val="Compact"/>
        <w:numPr>
          <w:ilvl w:val="0"/>
          <w:numId w:val="1003"/>
        </w:numPr>
      </w:pPr>
      <w:r>
        <w:rPr>
          <w:b/>
          <w:bCs/>
        </w:rPr>
        <w:t xml:space="preserve">m04</w:t>
      </w:r>
      <w:r>
        <w:t xml:space="preserve"> </w:t>
      </w:r>
      <w:r>
        <w:t xml:space="preserve">— Oral collagen — Myung &amp; Park 2025 (Am J Med, 23 RCTs) find the benefit only in pharmaceutical-funded and low-quality trials; the author may wish to revisit A&amp;RE's GRADE C.</w:t>
      </w:r>
    </w:p>
    <w:p>
      <w:pPr>
        <w:pStyle w:val="Compact"/>
        <w:numPr>
          <w:ilvl w:val="0"/>
          <w:numId w:val="1003"/>
        </w:numPr>
      </w:pPr>
      <w:r>
        <w:rPr>
          <w:b/>
          <w:bCs/>
        </w:rPr>
        <w:t xml:space="preserve">m04</w:t>
      </w:r>
      <w:r>
        <w:t xml:space="preserve"> </w:t>
      </w:r>
      <w:r>
        <w:t xml:space="preserve">— SNAP-8 is in neither guide; the course adds it from the literature (Errante 2020 review; two combination-product studies).</w:t>
      </w:r>
    </w:p>
    <w:p>
      <w:pPr>
        <w:pStyle w:val="Compact"/>
        <w:numPr>
          <w:ilvl w:val="0"/>
          <w:numId w:val="1003"/>
        </w:numPr>
      </w:pPr>
      <w:r>
        <w:rPr>
          <w:b/>
          <w:bCs/>
        </w:rPr>
        <w:t xml:space="preserve">m04</w:t>
      </w:r>
      <w:r>
        <w:t xml:space="preserve"> </w:t>
      </w:r>
      <w:r>
        <w:t xml:space="preserve">— Not in either guide, worth adding — Miller 2006 (the one indexed RCT of topical GHK-Cu), Aruan 2023 (independent RCT, Argireline vs pal-KTTKS), Esposito 2012 (TB-500 characterized as the Tβ4 17–23 fragment), the two 2026 BPC-157 trial registrations, and the two independent 2025–26 BPC-157 reviews.</w:t>
      </w:r>
    </w:p>
    <w:p>
      <w:pPr>
        <w:pStyle w:val="Compact"/>
        <w:numPr>
          <w:ilvl w:val="0"/>
          <w:numId w:val="1003"/>
        </w:numPr>
      </w:pPr>
      <w:r>
        <w:rPr>
          <w:b/>
          <w:bCs/>
        </w:rPr>
        <w:t xml:space="preserve">m04</w:t>
      </w:r>
      <w:r>
        <w:t xml:space="preserve"> </w:t>
      </w:r>
      <w:r>
        <w:t xml:space="preserve">— Trial-registry integrity (2026-09-24): ClinicalTrials.gov sponsor 'Hudson Biotech' lists eight 'recruiting' records covering BPC-157, TB-500, MOTS-c, GHK-Cu, Melanotan II, tesamorelin, tirzepatide ('SURMOUNT-1', Lilly's published trial title) and LY3437943, including one titled '(Mock Study)'. The course no longer cites any of them. Recommend neither Hormonaly guide cite registrations from this sponsor, and that the foundry's source check flag registrations whose sponsor holds mock or duplicated records.</w:t>
      </w:r>
    </w:p>
    <w:p>
      <w:pPr>
        <w:pStyle w:val="Compact"/>
        <w:numPr>
          <w:ilvl w:val="0"/>
          <w:numId w:val="1003"/>
        </w:numPr>
      </w:pPr>
      <w:r>
        <w:rPr>
          <w:b/>
          <w:bCs/>
        </w:rPr>
        <w:t xml:space="preserve">m04</w:t>
      </w:r>
      <w:r>
        <w:t xml:space="preserve"> </w:t>
      </w:r>
      <w:r>
        <w:t xml:space="preserve">— Leuphasyl (2026-09-24, from the claim-support check): an independent university volunteer study exists (Dragomirescu 2014, Cosmetics, not PubMed-indexed; three concentrations, wrinkle imaging, no randomized control described). The course now says 'no randomized controlled trial' instead of 'no independent human trial'; the grade stays D. Worth adding to the Pocket Guide's Leuphasyl entry.</w:t>
      </w:r>
    </w:p>
    <w:p>
      <w:pPr>
        <w:pStyle w:val="Compact"/>
        <w:numPr>
          <w:ilvl w:val="0"/>
          <w:numId w:val="1003"/>
        </w:numPr>
      </w:pPr>
      <w:r>
        <w:rPr>
          <w:b/>
          <w:bCs/>
        </w:rPr>
        <w:t xml:space="preserve">m05</w:t>
      </w:r>
      <w:r>
        <w:t xml:space="preserve"> </w:t>
      </w:r>
      <w:r>
        <w:t xml:space="preserve">— Grade disagreement between the guides — Melanotan II is GRADE C in the Pocket Guide and GRADE D ('harms &gt; benefit') in A&amp;RE ch.15. The only controlled human data are Dorr 1996 (single-blind, alternating-day pilot in three men, not randomized) and Wessells 1998 (ten-man erectile-dysfunction crossover); no trial has tested tanning. The course states both grades and teaches D for cosmetic use; the Pocket Guide may wish to align.</w:t>
      </w:r>
    </w:p>
    <w:p>
      <w:pPr>
        <w:pStyle w:val="Compact"/>
        <w:numPr>
          <w:ilvl w:val="0"/>
          <w:numId w:val="1003"/>
        </w:numPr>
      </w:pPr>
      <w:r>
        <w:rPr>
          <w:b/>
          <w:bCs/>
        </w:rPr>
        <w:t xml:space="preserve">m05</w:t>
      </w:r>
      <w:r>
        <w:t xml:space="preserve"> </w:t>
      </w:r>
      <w:r>
        <w:t xml:space="preserve">— PPG-Aug Melanotan II references — 'Multiple case reports … (see TGA/MHRA warnings) [not indexed]': the case reports are indexed. The course adds Habbema 2017 (A&amp;RE ch.15 ref 8), Cardones 2009, Paurobally 2013, Hjuler 2014, Mang 2012, Mallory 2021 and Nelson 2012, and the live regulator records: FDA's compounding safety page (current as of 22 Apr 2026), MHRA FOI 24/274 (17 Apr 2024) and TGA's safety advisory (17 Aug 2026). The Dorr 1996 reference carries no PMID in the guide (PMID 8637402).</w:t>
      </w:r>
    </w:p>
    <w:p>
      <w:pPr>
        <w:pStyle w:val="Compact"/>
        <w:numPr>
          <w:ilvl w:val="0"/>
          <w:numId w:val="1003"/>
        </w:numPr>
      </w:pPr>
      <w:r>
        <w:rPr>
          <w:b/>
          <w:bCs/>
        </w:rPr>
        <w:t xml:space="preserve">m05</w:t>
      </w:r>
      <w:r>
        <w:t xml:space="preserve"> </w:t>
      </w:r>
      <w:r>
        <w:t xml:space="preserve">— A&amp;RE ch.15 — Melanotan II 'unapproved by the FDA and by regulators in the UK, EU, and Australia': UK and Australia verified (MHRA 2024; TGA 2026); EU status was not checked against an EMA record, so the course names the US, UK and Australia only. A&amp;RE ch.6 grades Melanotan II D beside 'no quality control'; the TGA 2026 testing (content varying more than twofold across identically labelled bottles) and Breindahl 2015 (43–88% of the labelled amount) are citable support.</w:t>
      </w:r>
    </w:p>
    <w:p>
      <w:pPr>
        <w:pStyle w:val="Compact"/>
        <w:numPr>
          <w:ilvl w:val="0"/>
          <w:numId w:val="1003"/>
        </w:numPr>
      </w:pPr>
      <w:r>
        <w:rPr>
          <w:b/>
          <w:bCs/>
        </w:rPr>
        <w:t xml:space="preserve">m05</w:t>
      </w:r>
      <w:r>
        <w:t xml:space="preserve"> </w:t>
      </w:r>
      <w:r>
        <w:t xml:space="preserve">— PPG-Aug PTD-DBM entry — (a) 'Effective only combined with a Wnt-pathway modulator (typically valproic acid)': Lee 2017's abstract reports that the competitor peptide alone accelerated hair regrowth in mice (valproic acid was studied separately, including in CXXC5-knockout mice); the course teaches no combination claim. (b) The 'hair-shedding phase during early use' adverse reaction has no human source. (c) 'Used in compounding pharmacies': PTD-DBM appears in none of FDA's 503A categories (14 May 2026) and is not on the bulks list (21 CFR 216.23); a dated US status line would help. (d) The corresponding author is affiliated with CK Biotechnology Inc.</w:t>
      </w:r>
    </w:p>
    <w:p>
      <w:pPr>
        <w:pStyle w:val="Compact"/>
        <w:numPr>
          <w:ilvl w:val="0"/>
          <w:numId w:val="1003"/>
        </w:numPr>
      </w:pPr>
      <w:r>
        <w:rPr>
          <w:b/>
          <w:bCs/>
        </w:rPr>
        <w:t xml:space="preserve">m05</w:t>
      </w:r>
      <w:r>
        <w:t xml:space="preserve"> </w:t>
      </w:r>
      <w:r>
        <w:t xml:space="preserve">— PPG-Aug Zinc Thymulin entry — 'Caroleo MC et al. (zinc thymulin hair-loss case series, small) [not indexed]' could not be located on PubMed or by author search. FDA's 14 May 2026 list places thymulin acetate in 503A Category 3 (nominated without adequate support), which the entry's 'compounded for cosmetic hair use' does not mention.</w:t>
      </w:r>
    </w:p>
    <w:p>
      <w:pPr>
        <w:pStyle w:val="Compact"/>
        <w:numPr>
          <w:ilvl w:val="0"/>
          <w:numId w:val="1003"/>
        </w:numPr>
      </w:pPr>
      <w:r>
        <w:rPr>
          <w:b/>
          <w:bCs/>
        </w:rPr>
        <w:t xml:space="preserve">m05</w:t>
      </w:r>
      <w:r>
        <w:t xml:space="preserve"> </w:t>
      </w:r>
      <w:r>
        <w:t xml:space="preserve">— PPG-Aug Afamelanotide entry — 'Three pivotal Phase 3 trials … across 244 EPP adults' and '10-year post-authorization safety data show no new signals' were not verified; the course cites the two published NEJM trials (Langendonk 2015, n=74 and n=94). The current US label (revised Aug 2024) recommends a full-body skin examination twice yearly — worth quoting in the entry's safety line. A&amp;RE ch.6 wording ('approved to reduce phototoxicity in EPP') matches the EMA indication; the US indication is 'to increase pain free light exposure in adult patients with a history of phototoxic reactions from EPP'.</w:t>
      </w:r>
    </w:p>
    <w:p>
      <w:pPr>
        <w:pStyle w:val="Compact"/>
        <w:numPr>
          <w:ilvl w:val="0"/>
          <w:numId w:val="1003"/>
        </w:numPr>
      </w:pPr>
      <w:r>
        <w:rPr>
          <w:b/>
          <w:bCs/>
        </w:rPr>
        <w:t xml:space="preserve">m05</w:t>
      </w:r>
      <w:r>
        <w:t xml:space="preserve"> </w:t>
      </w:r>
      <w:r>
        <w:t xml:space="preserve">— A&amp;RE hair-loss workup algorithm (p.93) is a figure with no extractable text; the course transcribed it from the rendered page (patterned thinning → AGA; diffuse shed after trigger → telogen effluvium; patchy smooth loss → alopecia areata; androgen excess → hyperandrogenism work-up; always ferritin and TSH, androgens if virilising, scarring → biopsy). Please confirm the transcription.</w:t>
      </w:r>
    </w:p>
    <w:p>
      <w:pPr>
        <w:pStyle w:val="Compact"/>
        <w:numPr>
          <w:ilvl w:val="0"/>
          <w:numId w:val="1003"/>
        </w:numPr>
      </w:pPr>
      <w:r>
        <w:rPr>
          <w:b/>
          <w:bCs/>
        </w:rPr>
        <w:t xml:space="preserve">m05</w:t>
      </w:r>
      <w:r>
        <w:t xml:space="preserve"> </w:t>
      </w:r>
      <w:r>
        <w:t xml:space="preserve">— Not in either guide, worth adding — Adil &amp; Godwin 2017 (RCT meta-analysis for minoxidil and finasteride), Böhm 2025 (MC1R activation review: approved agonists, at least five melanomas with Melanotan II all with other risk factors, skin examination in high-risk people), Laiho &amp; Murray 2022 (receptor map, open access), Breindahl 2015 and Mang 2012 (dermoscopic changes during Melanotan II use).</w:t>
      </w:r>
    </w:p>
    <w:p>
      <w:pPr>
        <w:pStyle w:val="Compact"/>
        <w:numPr>
          <w:ilvl w:val="0"/>
          <w:numId w:val="1003"/>
        </w:numPr>
      </w:pPr>
      <w:r>
        <w:rPr>
          <w:b/>
          <w:bCs/>
        </w:rPr>
        <w:t xml:space="preserve">m05</w:t>
      </w:r>
      <w:r>
        <w:t xml:space="preserve"> </w:t>
      </w:r>
      <w:r>
        <w:t xml:space="preserve">— Trial-registry caution — ClinicalTrials.gov records from the sponsor 'Hudson Biotech' include NCT07437560 (Melanotan II with NB-UVB for vitiligo, 'recruiting' since Feb 2026), whose summary begins 'This example interventional study record describes…', and NCT07481734, titled '(Mock Study)'. The same sponsor holds NCT07437586 (GHK-Cu wound gel) and NCT07437547 (BPC-157 hamstring), which module 04 cites as recruiting trials; they should be re-verified before either guide cites them as real trials. The course does not cite NCT07437560.</w:t>
      </w:r>
    </w:p>
    <w:p>
      <w:pPr>
        <w:pStyle w:val="Compact"/>
        <w:numPr>
          <w:ilvl w:val="0"/>
          <w:numId w:val="1003"/>
        </w:numPr>
      </w:pPr>
      <w:r>
        <w:rPr>
          <w:b/>
          <w:bCs/>
        </w:rPr>
        <w:t xml:space="preserve">m06</w:t>
      </w:r>
      <w:r>
        <w:t xml:space="preserve"> </w:t>
      </w:r>
      <w:r>
        <w:t xml:space="preserve">— A&amp;RE ch.15 table ('CJC-1295 / ipamorelin … Cat. 2 (not in 2026 review)') and the drug-safety page ('503A Category-2'): FDA's Category 2 page (content current 22 April 2026) lists CJC-1295 and ipamorelin among Category 2 nominations that were withdrawn (ipamorelin remains in 503B Category 2), and neither appears in FDA's 503A category list of 14 May 2026. Suggest re-dating the status.</w:t>
      </w:r>
    </w:p>
    <w:p>
      <w:pPr>
        <w:pStyle w:val="Compact"/>
        <w:numPr>
          <w:ilvl w:val="0"/>
          <w:numId w:val="1003"/>
        </w:numPr>
      </w:pPr>
      <w:r>
        <w:rPr>
          <w:b/>
          <w:bCs/>
        </w:rPr>
        <w:t xml:space="preserve">m06</w:t>
      </w:r>
      <w:r>
        <w:t xml:space="preserve"> </w:t>
      </w:r>
      <w:r>
        <w:t xml:space="preserve">— Grade disagreement — A&amp;RE rates CJC-1295/ipamorelin 'GRADE C anecdotal' and the Pocket Guide rates CJC-1295 and ipamorelin C; by the Pocket Guide's own scale 'anecdotal' is D. Their human data are phase 1 hormone-level studies (CJC-1295 with DAC), one negative phase 2 trial (ipamorelin, postoperative ileus) and nothing for CJC-1295 without DAC. The course teaches D for any clinical or skin benefit and names the disagreement.</w:t>
      </w:r>
    </w:p>
    <w:p>
      <w:pPr>
        <w:pStyle w:val="Compact"/>
        <w:numPr>
          <w:ilvl w:val="0"/>
          <w:numId w:val="1003"/>
        </w:numPr>
      </w:pPr>
      <w:r>
        <w:rPr>
          <w:b/>
          <w:bCs/>
        </w:rPr>
        <w:t xml:space="preserve">m06</w:t>
      </w:r>
      <w:r>
        <w:t xml:space="preserve"> </w:t>
      </w:r>
      <w:r>
        <w:t xml:space="preserve">— A&amp;RE ch.14 — 'illegal to prescribe for anti-aging in the US GRADE A' attaches an evidence grade to a legal statement. The statute (21 U.S.C. 333(e)) prohibits knowing distribution for unauthorised uses; the trial evidence (Liu 2007: 18 small RCT populations, 220 treated) grades B on the course rule. The conclusion — GH is not an anti-ageing therapy — is unchanged.</w:t>
      </w:r>
    </w:p>
    <w:p>
      <w:pPr>
        <w:pStyle w:val="Compact"/>
        <w:numPr>
          <w:ilvl w:val="0"/>
          <w:numId w:val="1003"/>
        </w:numPr>
      </w:pPr>
      <w:r>
        <w:rPr>
          <w:b/>
          <w:bCs/>
        </w:rPr>
        <w:t xml:space="preserve">m06</w:t>
      </w:r>
      <w:r>
        <w:t xml:space="preserve"> </w:t>
      </w:r>
      <w:r>
        <w:t xml:space="preserve">— PPG CJC-1295 entry — 'Teichman et al. J Clin Endocrinol Metab 2005;91:799-805' is 2006 (March; epub December 2005), PMID 16352683.</w:t>
      </w:r>
    </w:p>
    <w:p>
      <w:pPr>
        <w:pStyle w:val="Compact"/>
        <w:numPr>
          <w:ilvl w:val="0"/>
          <w:numId w:val="1003"/>
        </w:numPr>
      </w:pPr>
      <w:r>
        <w:rPr>
          <w:b/>
          <w:bCs/>
        </w:rPr>
        <w:t xml:space="preserve">m06</w:t>
      </w:r>
      <w:r>
        <w:t xml:space="preserve"> </w:t>
      </w:r>
      <w:r>
        <w:t xml:space="preserve">— PPG IGF-1 LR3 entry — 'Dominikowski A et al. Peptides marketed for performance and longevity: absence of human studies. 2025 (PMID 42395176)': the PMID resolves to Dominikowski A et al., 'The emerging landscape of performance-enhancing peptides modulating GH-IGF1 axis…', Front Endocrinol 2026;17:1822475 — the title and year differ.</w:t>
      </w:r>
    </w:p>
    <w:p>
      <w:pPr>
        <w:pStyle w:val="Compact"/>
        <w:numPr>
          <w:ilvl w:val="0"/>
          <w:numId w:val="1003"/>
        </w:numPr>
      </w:pPr>
      <w:r>
        <w:rPr>
          <w:b/>
          <w:bCs/>
        </w:rPr>
        <w:t xml:space="preserve">m06</w:t>
      </w:r>
      <w:r>
        <w:t xml:space="preserve"> </w:t>
      </w:r>
      <w:r>
        <w:t xml:space="preserve">— PPG CJC-1295 entry — the 'fatal event in a CJC-1131 trial' within 'related long-acting GHRH-analogue programs': PubMed describes CJC-1131 as a long-acting GLP-1 analogue (Léger 2004, PMID 15357960; Tiessen 2008, PMID 18793574), and no fatal event could be located. The course uses FDA's own summary of CJC-1295 adverse events (increased heart rate, systemic vasodilatory reaction) instead.</w:t>
      </w:r>
    </w:p>
    <w:p>
      <w:pPr>
        <w:pStyle w:val="Compact"/>
        <w:numPr>
          <w:ilvl w:val="0"/>
          <w:numId w:val="1003"/>
        </w:numPr>
      </w:pPr>
      <w:r>
        <w:rPr>
          <w:b/>
          <w:bCs/>
        </w:rPr>
        <w:t xml:space="preserve">m06</w:t>
      </w:r>
      <w:r>
        <w:t xml:space="preserve"> </w:t>
      </w:r>
      <w:r>
        <w:t xml:space="preserve">— PPG sermorelin regulatory line is garbled ('not on not categorized on FDA's 14 May 2026 roster restricted list'). Verified: sermorelin appears in no 503A category (14 May 2026); Geref's approvals were withdrawn in 2009 at the maker's request and FDA's 2013 determination found no safety or effectiveness reason. No FDA document found states the legal basis on which 503A pharmacies compound sermorelin today; the course states only the verified facts and suggests the author address this.</w:t>
      </w:r>
    </w:p>
    <w:p>
      <w:pPr>
        <w:pStyle w:val="Compact"/>
        <w:numPr>
          <w:ilvl w:val="0"/>
          <w:numId w:val="1003"/>
        </w:numPr>
      </w:pPr>
      <w:r>
        <w:rPr>
          <w:b/>
          <w:bCs/>
        </w:rPr>
        <w:t xml:space="preserve">m06</w:t>
      </w:r>
      <w:r>
        <w:t xml:space="preserve"> </w:t>
      </w:r>
      <w:r>
        <w:t xml:space="preserve">— PPG adverse-effects section (pp. 119–120, 'IGF-1 targets' and dose reduction) is titration guidance and stays outside the source lock; module 06 uses only the recognition and referral content. Precision note: the label's figure is IGF-1 above +2 SDS in 47% at 26 weeks (the guide says 'exceeded ULN').</w:t>
      </w:r>
    </w:p>
    <w:p>
      <w:pPr>
        <w:pStyle w:val="Compact"/>
        <w:numPr>
          <w:ilvl w:val="0"/>
          <w:numId w:val="1003"/>
        </w:numPr>
      </w:pPr>
      <w:r>
        <w:rPr>
          <w:b/>
          <w:bCs/>
        </w:rPr>
        <w:t xml:space="preserve">m06</w:t>
      </w:r>
      <w:r>
        <w:t xml:space="preserve"> </w:t>
      </w:r>
      <w:r>
        <w:t xml:space="preserve">— The brief's verification request — Falutz J et al., N Engl J Med 2007;357:2359–70 — resolves to PMID 18057338 (title, first author, journal and year match); A&amp;RE ch.15 ref 2 is correct.</w:t>
      </w:r>
    </w:p>
    <w:p>
      <w:pPr>
        <w:pStyle w:val="Compact"/>
        <w:numPr>
          <w:ilvl w:val="0"/>
          <w:numId w:val="1003"/>
        </w:numPr>
      </w:pPr>
      <w:r>
        <w:rPr>
          <w:b/>
          <w:bCs/>
        </w:rPr>
        <w:t xml:space="preserve">m06</w:t>
      </w:r>
      <w:r>
        <w:t xml:space="preserve"> </w:t>
      </w:r>
      <w:r>
        <w:t xml:space="preserve">— Not in either guide, worth adding — Rudman 1990 (much cited; its skin result missed significance), Lange 2001 (skin in GH deficiency and acromegaly), the 2014 Cochrane review of GH in major burns (the only skin indication with RCTs), Khorram 1997 (the only GHRH-analogue study with a skin outcome), Nass 2008 and Adunsky 2011 (ibutamoren: IGF-1 up, no functional benefit, heart-failure signal), FDA's October 2024 advisory-committee votes on ipamorelin and ibutamoren, the Egrifta label's IGF-1 figures and the somatropin label's nevus-monitoring warning, and the IGF-1 cancer epidemiology (Renehan 2004, Knuppel 2020, Dal 2018, SAGhE 2017).</w:t>
      </w:r>
    </w:p>
    <w:p>
      <w:pPr>
        <w:pStyle w:val="Compact"/>
        <w:numPr>
          <w:ilvl w:val="0"/>
          <w:numId w:val="1003"/>
        </w:numPr>
      </w:pPr>
      <w:r>
        <w:rPr>
          <w:b/>
          <w:bCs/>
        </w:rPr>
        <w:t xml:space="preserve">m07</w:t>
      </w:r>
      <w:r>
        <w:t xml:space="preserve"> </w:t>
      </w:r>
      <w:r>
        <w:t xml:space="preserve">— Peptide Pocket Guide, 'The FDA's regulatory line' table (peptide fundamentals) — the rows '41–99 alpha amino acids, chemically synthesized: still regulated as a drug' and '≥100: always a protein regardless of synthesis route' reflect FDA's 2018 proposal. The Further Consolidated Appropriations Act 2020 removed the 'chemically synthesized polypeptide' exception, and FDA's final rule (85 FR 10057, effective 23 March 2020) defines any alpha amino acid polymer of more than 40 amino acids as a protein; FDA did not finalize the 41–99 interpretation. Tesamorelin (44 residues, which the guide lists among polypeptides) was itself deemed a biologics licence on 23 March 2020.</w:t>
      </w:r>
    </w:p>
    <w:p>
      <w:pPr>
        <w:pStyle w:val="Compact"/>
        <w:numPr>
          <w:ilvl w:val="0"/>
          <w:numId w:val="1003"/>
        </w:numPr>
      </w:pPr>
      <w:r>
        <w:rPr>
          <w:b/>
          <w:bCs/>
        </w:rPr>
        <w:t xml:space="preserve">m07</w:t>
      </w:r>
      <w:r>
        <w:t xml:space="preserve"> </w:t>
      </w:r>
      <w:r>
        <w:t xml:space="preserve">— Peptide Pocket Guide — 'biologics … are largely ineligible for 503A pharmacy compounding' and, in the Lilly v. FDA case study, '503A compounding of biologics operates under different authority': FDA's March 2020 notice to compounders states that biological products subject to licensure under PHS Act 351 (including deemed BLAs such as hyaluronidase and hCG) are not eligible for the 503A or 503B exemptions. Suggest stating it that plainly.</w:t>
      </w:r>
    </w:p>
    <w:p>
      <w:pPr>
        <w:pStyle w:val="Compact"/>
        <w:numPr>
          <w:ilvl w:val="0"/>
          <w:numId w:val="1003"/>
        </w:numPr>
      </w:pPr>
      <w:r>
        <w:rPr>
          <w:b/>
          <w:bCs/>
        </w:rPr>
        <w:t xml:space="preserve">m07</w:t>
      </w:r>
      <w:r>
        <w:t xml:space="preserve"> </w:t>
      </w:r>
      <w:r>
        <w:t xml:space="preserve">— Aesthetic &amp; Regenerative Endocrinology ch. 3 ref 4 and ch. 20 ref 3 give the PCAC docket as 'FDA-2026-N-2979'; the Federal Register notice (91 FR 20465, doc 2026-07361) is Docket No. FDA-2025-N-6895, as the Peptide Pocket Guide prints.</w:t>
      </w:r>
    </w:p>
    <w:p>
      <w:pPr>
        <w:pStyle w:val="Compact"/>
        <w:numPr>
          <w:ilvl w:val="0"/>
          <w:numId w:val="1003"/>
        </w:numPr>
      </w:pPr>
      <w:r>
        <w:rPr>
          <w:b/>
          <w:bCs/>
        </w:rPr>
        <w:t xml:space="preserve">m07</w:t>
      </w:r>
      <w:r>
        <w:t xml:space="preserve"> </w:t>
      </w:r>
      <w:r>
        <w:t xml:space="preserve">— Aesthetic &amp; Regenerative Endocrinology ch. 15 table, ch. 20 regulatory pearl and the drug-safety table place BPC-157, TB-500, CJC-1295, ipamorelin and epitalon in '503A Category 2'. FDA's safety-risks page (content current 22 April 2026) lists them in the table of withdrawn nominations, in no category (ipamorelin remains in 503B Category 2), and 503A Category 2 holds six substances as of 14 May 2026. The Peptide Pocket Guide (August build) is current on this point.</w:t>
      </w:r>
    </w:p>
    <w:p>
      <w:pPr>
        <w:pStyle w:val="Compact"/>
        <w:numPr>
          <w:ilvl w:val="0"/>
          <w:numId w:val="1003"/>
        </w:numPr>
      </w:pPr>
      <w:r>
        <w:rPr>
          <w:b/>
          <w:bCs/>
        </w:rPr>
        <w:t xml:space="preserve">m07</w:t>
      </w:r>
      <w:r>
        <w:t xml:space="preserve"> </w:t>
      </w:r>
      <w:r>
        <w:t xml:space="preserve">— Aesthetic &amp; Regenerative Endocrinology ch. 3 decision frame and the 'peptide decision framework' algorithm reduce 503A eligibility to 'on the current positive bulks list'. The statute's routes are hierarchical — USP/NF monograph, then component of an approved drug, then the bulks list — with Category 1 enforcement discretion (e.g., non-injectable GHK-Cu) a separate interim posture. The course teaches the statutory order.</w:t>
      </w:r>
    </w:p>
    <w:p>
      <w:pPr>
        <w:pStyle w:val="Compact"/>
        <w:numPr>
          <w:ilvl w:val="0"/>
          <w:numId w:val="1003"/>
        </w:numPr>
      </w:pPr>
      <w:r>
        <w:rPr>
          <w:b/>
          <w:bCs/>
        </w:rPr>
        <w:t xml:space="preserve">m07</w:t>
      </w:r>
      <w:r>
        <w:t xml:space="preserve"> </w:t>
      </w:r>
      <w:r>
        <w:t xml:space="preserve">— Peptide Pocket Guide, 'For research-use-only peptides' (peptide fundamentals) — the steps offered 'if the product is being used outside its labelled purpose' (independent MS and HPLC, an endotoxin test before injectable use, dose-by-dose documentation) read as harm-reduction instructions for human use of products labelled 'Not for use in humans' (21 CFR 312.160), and sit awkwardly beside the guide's own 'the RUO disclaimer provides no legal protection'. The course omits them; suggest reframing as what a clinician records when a patient discloses use.</w:t>
      </w:r>
    </w:p>
    <w:p>
      <w:pPr>
        <w:pStyle w:val="Compact"/>
        <w:numPr>
          <w:ilvl w:val="0"/>
          <w:numId w:val="1003"/>
        </w:numPr>
      </w:pPr>
      <w:r>
        <w:rPr>
          <w:b/>
          <w:bCs/>
        </w:rPr>
        <w:t xml:space="preserve">m07</w:t>
      </w:r>
      <w:r>
        <w:t xml:space="preserve"> </w:t>
      </w:r>
      <w:r>
        <w:t xml:space="preserve">— Peptide Pocket Guide — the two GRADE definition pages disagree: 'How strong is the evidence?' defines D as animal, in-vitro or mechanistic reasoning only and C as including conflicting results; 'Where the GRADE ratings come from' adds 'industry-driven claims' to D. Suggest one definition, mapped explicitly to GRADE's four certainty levels and its five rating-down domains.</w:t>
      </w:r>
    </w:p>
    <w:p>
      <w:pPr>
        <w:pStyle w:val="Compact"/>
        <w:numPr>
          <w:ilvl w:val="0"/>
          <w:numId w:val="1003"/>
        </w:numPr>
      </w:pPr>
      <w:r>
        <w:rPr>
          <w:b/>
          <w:bCs/>
        </w:rPr>
        <w:t xml:space="preserve">m07</w:t>
      </w:r>
      <w:r>
        <w:t xml:space="preserve"> </w:t>
      </w:r>
      <w:r>
        <w:t xml:space="preserve">— Peptide Pocket Guide, jurisdictional snapshot — 'most malpractice policies exclude unapproved-drug claims' carries no citation and could not be verified; the course does not use it.</w:t>
      </w:r>
    </w:p>
    <w:p>
      <w:pPr>
        <w:pStyle w:val="Compact"/>
        <w:numPr>
          <w:ilvl w:val="0"/>
          <w:numId w:val="1003"/>
        </w:numPr>
      </w:pPr>
      <w:r>
        <w:rPr>
          <w:b/>
          <w:bCs/>
        </w:rPr>
        <w:t xml:space="preserve">m07</w:t>
      </w:r>
      <w:r>
        <w:t xml:space="preserve"> </w:t>
      </w:r>
      <w:r>
        <w:t xml:space="preserve">— FDA's July 2026 BPC-157 briefing (fda.gov/media/193343) is primary evidence both guides could cite in their certificate-of-analysis sections: the nominators' certificates were for BPC-157 acetate while the nomination was for the free base, publicly available BPC-157 certificates mostly report purity alone with no impurity limits, and the nominator's certificate reported no endotoxin test. The same document cites a single small exploratory trial in ulcerative colitis reported only as a meeting abstract.</w:t>
      </w:r>
    </w:p>
    <w:p>
      <w:pPr>
        <w:pStyle w:val="Compact"/>
        <w:numPr>
          <w:ilvl w:val="0"/>
          <w:numId w:val="1003"/>
        </w:numPr>
      </w:pPr>
      <w:r>
        <w:rPr>
          <w:b/>
          <w:bCs/>
        </w:rPr>
        <w:t xml:space="preserve">m07</w:t>
      </w:r>
      <w:r>
        <w:t xml:space="preserve"> </w:t>
      </w:r>
      <w:r>
        <w:t xml:space="preserve">— Not in either guide, worth adding — the Core GRADE series (BMJ 2025) as the current GRADE reference; the Cochrane review of industry sponsorship and research outcome (Lundh 2017); FDA's endotoxin Q&amp;A guidance (Edition 2, March 2026) for the dose-and-route basis of endotoxin limits; FDA's 'Is It a Cosmetic, a Drug, or Both?' page, whose drug-claim examples include 'regenerate cells'; and Popławska 2019 (an undocumented GHRP-2 analogue found in a seized vial by high-resolution MS).</w:t>
      </w:r>
    </w:p>
    <w:p>
      <w:r>
        <w:pict>
          <v:rect style="width:0;height:1.5pt" o:hralign="center" o:hrstd="t" o:hr="t"/>
        </w:pict>
      </w:r>
    </w:p>
    <w:bookmarkEnd w:id="12"/>
    <w:bookmarkEnd w:id="13"/>
    <w:bookmarkStart w:id="37" w:name="X459c6597c4fbe9c7ad98338183a8218fee06083"/>
    <w:p>
      <w:pPr>
        <w:pStyle w:val="Heading1"/>
      </w:pPr>
      <w:r>
        <w:t xml:space="preserve">Hormones and Peptides for Skin · Module 01 — review draft</w:t>
      </w:r>
    </w:p>
    <w:p>
      <w:pPr>
        <w:pStyle w:val="FirstParagraph"/>
      </w:pPr>
      <w:r>
        <w:rPr>
          <w:i/>
          <w:iCs/>
        </w:rPr>
        <w:t xml:space="preserve">approved · authored 2026-09-24 · 19 moments, ~25 min + module check · 34 sources · 20 claims</w:t>
      </w:r>
    </w:p>
    <w:p>
      <w:pPr>
        <w:pStyle w:val="BodyText"/>
      </w:pPr>
      <w:r>
        <w:t xml:space="preserve">Every factual sentence traces to the graded registry (</w:t>
      </w:r>
      <w:r>
        <w:rPr>
          <w:rStyle w:val="VerbatimChar"/>
        </w:rPr>
        <w:t xml:space="preserve">citations/m01.md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21" w:name="X64d27931d5b12c697a263d4c760fea076cb2154"/>
    <w:p>
      <w:pPr>
        <w:pStyle w:val="Heading2"/>
      </w:pPr>
      <w:r>
        <w:t xml:space="preserve">Lesson 1.1 · The skin as a steroidogenic, endocrine organ</w:t>
      </w:r>
    </w:p>
    <w:bookmarkStart w:id="14" w:name="the-skin-makes-its-own-hormones."/>
    <w:p>
      <w:pPr>
        <w:pStyle w:val="Heading3"/>
      </w:pPr>
      <w:r>
        <w:t xml:space="preserve">01 / 19 · The skin makes its own hormones.</w:t>
      </w:r>
    </w:p>
    <w:p>
      <w:pPr>
        <w:pStyle w:val="FirstParagraph"/>
      </w:pPr>
      <w:r>
        <w:rPr>
          <w:i/>
          <w:iCs/>
        </w:rPr>
        <w:t xml:space="preserve">Hormones and Peptides for Skin · Module 01 · title</w:t>
      </w:r>
    </w:p>
    <w:p>
      <w:pPr>
        <w:pStyle w:val="BodyText"/>
      </w:pPr>
      <w:r>
        <w:t xml:space="preserve">This course starts with physiology, because every later question about a hormone or peptide for skin rests on it. Skin senses hormones from the blood, makes several of its own, and ages in ways that change both. In three lessons you will separate what happens locally in the skin from what the rest of the body sends in, and label each finding by the kind of evidence behind it.</w:t>
      </w:r>
    </w:p>
    <w:p>
      <w:pPr>
        <w:pStyle w:val="Compact"/>
        <w:numPr>
          <w:ilvl w:val="0"/>
          <w:numId w:val="1004"/>
        </w:numPr>
      </w:pPr>
      <w:r>
        <w:t xml:space="preserve">1.1 The skin as a steroidogenic, endocrine organ</w:t>
      </w:r>
    </w:p>
    <w:p>
      <w:pPr>
        <w:pStyle w:val="Compact"/>
        <w:numPr>
          <w:ilvl w:val="0"/>
          <w:numId w:val="1004"/>
        </w:numPr>
      </w:pPr>
      <w:r>
        <w:t xml:space="preserve">1.2 Receptor maps: what a cell atlas can and cannot show</w:t>
      </w:r>
    </w:p>
    <w:p>
      <w:pPr>
        <w:pStyle w:val="Compact"/>
        <w:numPr>
          <w:ilvl w:val="0"/>
          <w:numId w:val="1004"/>
        </w:numPr>
      </w:pPr>
      <w:r>
        <w:t xml:space="preserve">1.3 Senescence, the SASP and the ageing dermis</w:t>
      </w:r>
    </w:p>
    <w:bookmarkEnd w:id="14"/>
    <w:bookmarkStart w:id="15" w:name="how-will-you-use-this-course"/>
    <w:p>
      <w:pPr>
        <w:pStyle w:val="Heading3"/>
      </w:pPr>
      <w:r>
        <w:t xml:space="preserve">02 / 19 · How will you use this course?</w:t>
      </w:r>
    </w:p>
    <w:p>
      <w:pPr>
        <w:pStyle w:val="FirstParagraph"/>
      </w:pPr>
      <w:r>
        <w:rPr>
          <w:i/>
          <w:iCs/>
        </w:rPr>
        <w:t xml:space="preserve">Set your path · reflection</w:t>
      </w:r>
    </w:p>
    <w:p>
      <w:pPr>
        <w:pStyle w:val="BodyText"/>
      </w:pPr>
      <w:r>
        <w:t xml:space="preserve">The evidence, grades and regulatory facts are the same for everyone. What changes, in every module, is the 'what you do next' at the end of each lesson, so it fits what your licence lets you do.</w:t>
      </w:r>
    </w:p>
    <w:p>
      <w:pPr>
        <w:pStyle w:val="BodyText"/>
      </w:pPr>
      <w:r>
        <w:rPr>
          <w:i/>
          <w:iCs/>
        </w:rPr>
        <w:t xml:space="preserve">Choose the one closest to your role</w:t>
      </w:r>
      <w:r>
        <w:t xml:space="preserve"> </w:t>
      </w:r>
      <w:r>
        <w:t xml:space="preserve">-</w:t>
      </w:r>
      <w:r>
        <w:t xml:space="preserve"> </w:t>
      </w:r>
      <w:r>
        <w:rPr>
          <w:b/>
          <w:bCs/>
        </w:rPr>
        <w:t xml:space="preserve">I prescribe: physician, NP or PA</w:t>
      </w:r>
      <w:r>
        <w:t xml:space="preserve"> </w:t>
      </w:r>
      <w:r>
        <w:t xml:space="preserve">→ Your path closes each lesson on the prescribing decision: assessment, referral, consent and documentation.</w:t>
      </w:r>
      <w:r>
        <w:t xml:space="preserve"> </w:t>
      </w:r>
      <w:r>
        <w:t xml:space="preserve">-</w:t>
      </w:r>
      <w:r>
        <w:t xml:space="preserve"> </w:t>
      </w:r>
      <w:r>
        <w:rPr>
          <w:b/>
          <w:bCs/>
        </w:rPr>
        <w:t xml:space="preserve">I deliver treatments: RN, aesthetic nurse or injector</w:t>
      </w:r>
      <w:r>
        <w:t xml:space="preserve"> </w:t>
      </w:r>
      <w:r>
        <w:t xml:space="preserve">→ Your path closes each lesson on what you notice, what you record and when you escalate to the prescriber.</w:t>
      </w:r>
      <w:r>
        <w:t xml:space="preserve"> </w:t>
      </w:r>
      <w:r>
        <w:t xml:space="preserve">-</w:t>
      </w:r>
      <w:r>
        <w:t xml:space="preserve"> </w:t>
      </w:r>
      <w:r>
        <w:rPr>
          <w:b/>
          <w:bCs/>
        </w:rPr>
        <w:t xml:space="preserve">I advise on products: pharmacist, ND or allied professional</w:t>
      </w:r>
      <w:r>
        <w:t xml:space="preserve"> </w:t>
      </w:r>
      <w:r>
        <w:t xml:space="preserve">→ Your path closes each lesson on what you can accurately say and when someone needs a prescriber.</w:t>
      </w:r>
    </w:p>
    <w:bookmarkEnd w:id="15"/>
    <w:bookmarkStart w:id="16" w:name="four-units-one-circuit."/>
    <w:p>
      <w:pPr>
        <w:pStyle w:val="Heading3"/>
      </w:pPr>
      <w:r>
        <w:t xml:space="preserve">03 / 19 · Four units, one circuit.</w:t>
      </w:r>
    </w:p>
    <w:p>
      <w:pPr>
        <w:pStyle w:val="FirstParagraph"/>
      </w:pPr>
      <w:r>
        <w:rPr>
          <w:i/>
          <w:iCs/>
        </w:rPr>
        <w:t xml:space="preserve">Lesson 1.1 · Concept · audio</w:t>
      </w:r>
    </w:p>
    <w:p>
      <w:pPr>
        <w:pStyle w:val="BodyText"/>
      </w:pPr>
      <w:r>
        <w:t xml:space="preserve">Recent reviews describe the skin as a neuro-immuno-endocrine organ built from four units: epidermal, dermal, hypodermal and adnexal (hair follicles and glands). Each holds cells that can make hormones and mount an immune response. They signal to neighbouring cells, through sensory nerves, and through the blood. Most of this picture comes from cell, tissue and animal studies.</w:t>
      </w:r>
    </w:p>
    <w:p>
      <w:pPr>
        <w:pStyle w:val="Compact"/>
        <w:numPr>
          <w:ilvl w:val="0"/>
          <w:numId w:val="1005"/>
        </w:numPr>
      </w:pPr>
      <w:r>
        <w:t xml:space="preserve">Four units: epidermal, dermal, hypodermal, adnexal</w:t>
      </w:r>
    </w:p>
    <w:p>
      <w:pPr>
        <w:pStyle w:val="Compact"/>
        <w:numPr>
          <w:ilvl w:val="0"/>
          <w:numId w:val="1005"/>
        </w:numPr>
      </w:pPr>
      <w:r>
        <w:t xml:space="preserve">Three routes: neighbour to neighbour, nerve, bloodstream</w:t>
      </w:r>
    </w:p>
    <w:p>
      <w:pPr>
        <w:pStyle w:val="Compact"/>
        <w:numPr>
          <w:ilvl w:val="0"/>
          <w:numId w:val="1005"/>
        </w:numPr>
      </w:pPr>
      <w:r>
        <w:t xml:space="preserve">Mechanism register: cell, tissue and animal work</w:t>
      </w:r>
    </w:p>
    <w:p>
      <w:pPr>
        <w:pStyle w:val="FirstParagraph"/>
      </w:pPr>
      <w:r>
        <w:t xml:space="preserve">Narration script</w:t>
      </w:r>
    </w:p>
    <w:p>
      <w:pPr>
        <w:pStyle w:val="BodyText"/>
      </w:pPr>
      <w:r>
        <w:t xml:space="preserve">Think of the skin as a sensing organ with its own hormone supply. Researchers who study it describe four units, epidermal, dermal, hypodermal and adnexal, the last meaning hair follicles and glands. Each unit holds cells that can make hormones and mount an immune response, such as keratinocytes, fibroblasts, sebocytes, fat cells and mast cells. Signals move three ways. Neighbouring cells talk directly, sensory nerves carry messages in and out, and some products enter the blood and reach distant organs. Keep one distinction in view for the whole module. A signal that is made and used inside the skin is a local loop. A hormone that arrives from the blood, or leaves the skin for the rest of the body, is systemic signalling. Much of what follows is mechanism, drawn from cell, tissue and animal studies, and each finding will be labelled that way.</w:t>
      </w:r>
    </w:p>
    <w:p>
      <w:pPr>
        <w:pStyle w:val="BodyText"/>
      </w:pPr>
      <w:r>
        <w:t xml:space="preserve">Sources: Slominski RM 2025 · Slominski A 2000 · Zouboulis CC 2004 · Roosterman D 2006 · Aesthetic &amp; Regenerative Endocrinology — A Clinician's Pocket Guide 2026</w:t>
      </w:r>
    </w:p>
    <w:bookmarkEnd w:id="16"/>
    <w:bookmarkStart w:id="17" w:name="a-steroid-factory-with-local-axes."/>
    <w:p>
      <w:pPr>
        <w:pStyle w:val="Heading3"/>
      </w:pPr>
      <w:r>
        <w:t xml:space="preserve">04 / 19 · A steroid factory with local axes.</w:t>
      </w:r>
    </w:p>
    <w:p>
      <w:pPr>
        <w:pStyle w:val="FirstParagraph"/>
      </w:pPr>
      <w:r>
        <w:rPr>
          <w:i/>
          <w:iCs/>
        </w:rPr>
        <w:t xml:space="preserve">Mechanism · tool</w:t>
      </w:r>
    </w:p>
    <w:p>
      <w:pPr>
        <w:pStyle w:val="BodyText"/>
      </w:pPr>
      <w:r>
        <w:t xml:space="preserve">Skin cells carry the enzymes to build steroids from cholesterol or to activate precursors arriving in the blood, and they run shortened copies of the body's central hormone axes. Each row names the evidence it rests on, because most of it comes from cells, tissue kept alive outside the body, or mice.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Steroid synthesis</w:t>
            </w:r>
          </w:p>
        </w:tc>
        <w:tc>
          <w:tcPr/>
          <w:p>
            <w:pPr>
              <w:pStyle w:val="Compact"/>
            </w:pPr>
            <w:r>
              <w:t xml:space="preserve">Cholesterol to cortisol, androgens and estrogens</w:t>
            </w:r>
          </w:p>
        </w:tc>
        <w:tc>
          <w:tcPr/>
          <w:p>
            <w:pPr>
              <w:pStyle w:val="Compact"/>
            </w:pPr>
            <w:r>
              <w:t xml:space="preserve">CYP11A1 starts the chain; 11β-HSD1, 5α-reductase and aromatase activate precursors from the blood. Cell and tissue studies.</w:t>
            </w:r>
          </w:p>
        </w:tc>
      </w:tr>
      <w:tr>
        <w:tc>
          <w:tcPr/>
          <w:p>
            <w:pPr>
              <w:pStyle w:val="Compact"/>
            </w:pPr>
            <w:r>
              <w:t xml:space="preserve">HPA-like loop</w:t>
            </w:r>
          </w:p>
        </w:tc>
        <w:tc>
          <w:tcPr/>
          <w:p>
            <w:pPr>
              <w:pStyle w:val="Compact"/>
            </w:pPr>
            <w:r>
              <w:t xml:space="preserve">CRH → ACTH → cortisol, with feedback</w:t>
            </w:r>
          </w:p>
        </w:tc>
        <w:tc>
          <w:tcPr/>
          <w:p>
            <w:pPr>
              <w:pStyle w:val="Compact"/>
            </w:pPr>
            <w:r>
              <w:t xml:space="preserve">Human scalp follicles kept alive in culture. Ex vivo, human tissue.</w:t>
            </w:r>
          </w:p>
        </w:tc>
      </w:tr>
      <w:tr>
        <w:tc>
          <w:tcPr/>
          <w:p>
            <w:pPr>
              <w:pStyle w:val="Compact"/>
            </w:pPr>
            <w:r>
              <w:t xml:space="preserve">Keratinocyte glucocorticoids</w:t>
            </w:r>
          </w:p>
        </w:tc>
        <w:tc>
          <w:tcPr/>
          <w:p>
            <w:pPr>
              <w:pStyle w:val="Compact"/>
            </w:pPr>
            <w:r>
              <w:t xml:space="preserve">Set local immune tone</w:t>
            </w:r>
          </w:p>
        </w:tc>
        <w:tc>
          <w:tcPr/>
          <w:p>
            <w:pPr>
              <w:pStyle w:val="Compact"/>
            </w:pPr>
            <w:r>
              <w:t xml:space="preserve">Genetic deletion in mouse keratinocytes. Animal evidence.</w:t>
            </w:r>
          </w:p>
        </w:tc>
      </w:tr>
      <w:tr>
        <w:tc>
          <w:tcPr/>
          <w:p>
            <w:pPr>
              <w:pStyle w:val="Compact"/>
            </w:pPr>
            <w:r>
              <w:t xml:space="preserve">Thyroid-like loop</w:t>
            </w:r>
          </w:p>
        </w:tc>
        <w:tc>
          <w:tcPr/>
          <w:p>
            <w:pPr>
              <w:pStyle w:val="Compact"/>
            </w:pPr>
            <w:r>
              <w:t xml:space="preserve">TRH, TSH and deiodinases → T3</w:t>
            </w:r>
          </w:p>
        </w:tc>
        <w:tc>
          <w:tcPr/>
          <w:p>
            <w:pPr>
              <w:pStyle w:val="Compact"/>
            </w:pPr>
            <w:r>
              <w:t xml:space="preserve">Keratinocyte growth and the hair cycle. Mostly mouse models.</w:t>
            </w:r>
          </w:p>
        </w:tc>
      </w:tr>
      <w:tr>
        <w:tc>
          <w:tcPr/>
          <w:p>
            <w:pPr>
              <w:pStyle w:val="Compact"/>
            </w:pPr>
            <w:r>
              <w:t xml:space="preserve">Somatotropic loop</w:t>
            </w:r>
          </w:p>
        </w:tc>
        <w:tc>
          <w:tcPr/>
          <w:p>
            <w:pPr>
              <w:pStyle w:val="Compact"/>
            </w:pPr>
            <w:r>
              <w:t xml:space="preserve">GH and IGF-1</w:t>
            </w:r>
          </w:p>
        </w:tc>
        <w:tc>
          <w:tcPr/>
          <w:p>
            <w:pPr>
              <w:pStyle w:val="Compact"/>
            </w:pPr>
            <w:r>
              <w:t xml:space="preserve">Human hair follicles, ex vivo.</w:t>
            </w:r>
          </w:p>
        </w:tc>
      </w:tr>
      <w:tr>
        <w:tc>
          <w:tcPr/>
          <w:p>
            <w:pPr>
              <w:pStyle w:val="Compact"/>
            </w:pPr>
            <w:r>
              <w:t xml:space="preserve">Melanocortins</w:t>
            </w:r>
          </w:p>
        </w:tc>
        <w:tc>
          <w:tcPr/>
          <w:p>
            <w:pPr>
              <w:pStyle w:val="Compact"/>
            </w:pPr>
            <w:r>
              <w:t xml:space="preserve">POMC → α-MSH, ACTH, β-endorphin</w:t>
            </w:r>
          </w:p>
        </w:tc>
        <w:tc>
          <w:tcPr/>
          <w:p>
            <w:pPr>
              <w:pStyle w:val="Compact"/>
            </w:pPr>
            <w:r>
              <w:t xml:space="preserve">Pigment, barrier and local immune restraint. Module 05 returns to this.</w:t>
            </w:r>
          </w:p>
        </w:tc>
      </w:tr>
    </w:tbl>
    <w:p>
      <w:pPr>
        <w:pStyle w:val="BodyText"/>
      </w:pPr>
      <w:r>
        <w:rPr>
          <w:b/>
          <w:bCs/>
        </w:rPr>
        <w:t xml:space="preserve">Callout:</w:t>
      </w:r>
      <w:r>
        <w:t xml:space="preserve"> </w:t>
      </w:r>
      <w:r>
        <w:t xml:space="preserve">A local axis explains biology. The Aesthetic &amp; Regenerative Endocrinology guide calls it foundation, not a dosing rationale.</w:t>
      </w:r>
    </w:p>
    <w:p>
      <w:pPr>
        <w:pStyle w:val="BodyText"/>
      </w:pPr>
      <w:r>
        <w:t xml:space="preserve">Sources: Slominski A 2013 · Zouboulis CC 2004 · Ito N 2005 · Phan TS 2021 · Mancino G 2021 · Horesh EJ 2023 · Slominski A 2000 · Aesthetic &amp; Regenerative Endocrinology — A Clinician's Pocket Guide 2026</w:t>
      </w:r>
    </w:p>
    <w:bookmarkEnd w:id="17"/>
    <w:bookmarkStart w:id="18" w:name="three-directions-of-traffic."/>
    <w:p>
      <w:pPr>
        <w:pStyle w:val="Heading3"/>
      </w:pPr>
      <w:r>
        <w:t xml:space="preserve">05 / 19 · Three directions of traffic.</w:t>
      </w:r>
    </w:p>
    <w:p>
      <w:pPr>
        <w:pStyle w:val="FirstParagraph"/>
      </w:pPr>
      <w:r>
        <w:rPr>
          <w:i/>
          <w:iCs/>
        </w:rPr>
        <w:t xml:space="preserve">Local or systemic · tool</w:t>
      </w:r>
    </w:p>
    <w:p>
      <w:pPr>
        <w:pStyle w:val="BodyText"/>
      </w:pPr>
      <w:r>
        <w:t xml:space="preserve">Hormone signals in skin run in three directions. Some are made and used in the same patch of skin. Some arrive from the blood. A few leave the skin and act on the rest of the body. Knowing which one you are looking at decides whether the answer lies in the skin or in a systemic assessment.</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Local loop</w:t>
            </w:r>
          </w:p>
        </w:tc>
        <w:tc>
          <w:tcPr/>
          <w:p>
            <w:pPr>
              <w:pStyle w:val="Compact"/>
            </w:pPr>
            <w:r>
              <w:t xml:space="preserve">Made and used in the skin</w:t>
            </w:r>
          </w:p>
        </w:tc>
        <w:tc>
          <w:tcPr/>
          <w:p>
            <w:pPr>
              <w:pStyle w:val="Compact"/>
            </w:pPr>
            <w:r>
              <w:t xml:space="preserve">Between neighbouring cells, back on the same cell, or inside it</w:t>
            </w:r>
          </w:p>
        </w:tc>
      </w:tr>
      <w:tr>
        <w:tc>
          <w:tcPr/>
          <w:p>
            <w:pPr>
              <w:pStyle w:val="Compact"/>
            </w:pPr>
            <w:r>
              <w:t xml:space="preserve">Body to skin</w:t>
            </w:r>
          </w:p>
        </w:tc>
        <w:tc>
          <w:tcPr/>
          <w:p>
            <w:pPr>
              <w:pStyle w:val="Compact"/>
            </w:pPr>
            <w:r>
              <w:t xml:space="preserve">A circulating hormone acting on skin</w:t>
            </w:r>
          </w:p>
        </w:tc>
        <w:tc>
          <w:tcPr/>
          <w:p>
            <w:pPr>
              <w:pStyle w:val="Compact"/>
            </w:pPr>
            <w:r>
              <w:t xml:space="preserve">The skin finding can be the visible sign of a systemic disorder</w:t>
            </w:r>
          </w:p>
        </w:tc>
      </w:tr>
      <w:tr>
        <w:tc>
          <w:tcPr/>
          <w:p>
            <w:pPr>
              <w:pStyle w:val="Compact"/>
            </w:pPr>
            <w:r>
              <w:t xml:space="preserve">Skin to body</w:t>
            </w:r>
          </w:p>
        </w:tc>
        <w:tc>
          <w:tcPr/>
          <w:p>
            <w:pPr>
              <w:pStyle w:val="Compact"/>
            </w:pPr>
            <w:r>
              <w:t xml:space="preserve">A skin product entering the circulation</w:t>
            </w:r>
          </w:p>
        </w:tc>
        <w:tc>
          <w:tcPr/>
          <w:p>
            <w:pPr>
              <w:pStyle w:val="Compact"/>
            </w:pPr>
            <w:r>
              <w:t xml:space="preserve">The skin acting as an endocrine gland for other organs</w:t>
            </w:r>
          </w:p>
        </w:tc>
      </w:tr>
    </w:tbl>
    <w:p>
      <w:pPr>
        <w:pStyle w:val="BodyText"/>
      </w:pPr>
      <w:r>
        <w:rPr>
          <w:b/>
          <w:bCs/>
        </w:rPr>
        <w:t xml:space="preserve">Callout:</w:t>
      </w:r>
      <w:r>
        <w:t xml:space="preserve"> </w:t>
      </w:r>
      <w:r>
        <w:t xml:space="preserve">Before you treat a skin finding, decide which direction it runs.</w:t>
      </w:r>
    </w:p>
    <w:p>
      <w:pPr>
        <w:pStyle w:val="BodyText"/>
      </w:pPr>
      <w:r>
        <w:rPr>
          <w:b/>
          <w:bCs/>
        </w:rPr>
        <w:t xml:space="preserve">Exercise (quickfire) · Which direction?</w:t>
      </w:r>
      <w:r>
        <w:t xml:space="preserve"> </w:t>
      </w:r>
      <w:r>
        <w:t xml:space="preserve">— One finding at a time: which way does the signal run?</w:t>
      </w:r>
      <w:r>
        <w:t xml:space="preserve"> </w:t>
      </w:r>
      <w:r>
        <w:t xml:space="preserve">- Keratinocytes make cortisol that restrains immune cells in the same patch of skin →</w:t>
      </w:r>
      <w:r>
        <w:t xml:space="preserve"> </w:t>
      </w:r>
      <w:r>
        <w:rPr>
          <w:b/>
          <w:bCs/>
        </w:rPr>
        <w:t xml:space="preserve">Local loop</w:t>
      </w:r>
      <w:r>
        <w:t xml:space="preserve"> </w:t>
      </w:r>
      <w:r>
        <w:t xml:space="preserve">—</w:t>
      </w:r>
      <w:r>
        <w:t xml:space="preserve"> </w:t>
      </w:r>
      <w:r>
        <w:rPr>
          <w:i/>
          <w:iCs/>
        </w:rPr>
        <w:t xml:space="preserve">Local loop. Made and used where it is produced; the functional proof comes from mice that cannot make it in keratinocytes and develop skin inflammation.</w:t>
      </w:r>
      <w:r>
        <w:t xml:space="preserve"> </w:t>
      </w:r>
      <w:r>
        <w:t xml:space="preserve">- UVB turns 7-dehydrocholesterol into vitamin D3, which the blood carries to the liver →</w:t>
      </w:r>
      <w:r>
        <w:t xml:space="preserve"> </w:t>
      </w:r>
      <w:r>
        <w:rPr>
          <w:b/>
          <w:bCs/>
        </w:rPr>
        <w:t xml:space="preserve">Skin to body</w:t>
      </w:r>
      <w:r>
        <w:t xml:space="preserve"> </w:t>
      </w:r>
      <w:r>
        <w:t xml:space="preserve">—</w:t>
      </w:r>
      <w:r>
        <w:t xml:space="preserve"> </w:t>
      </w:r>
      <w:r>
        <w:rPr>
          <w:i/>
          <w:iCs/>
        </w:rPr>
        <w:t xml:space="preserve">Skin to body. Vitamin D3 made in the skin is released into the circulation and activated elsewhere. Established human physiology.</w:t>
      </w:r>
      <w:r>
        <w:t xml:space="preserve"> </w:t>
      </w:r>
      <w:r>
        <w:t xml:space="preserve">- Violaceous striae, thin skin and easy bruising in Cushing syndrome →</w:t>
      </w:r>
      <w:r>
        <w:t xml:space="preserve"> </w:t>
      </w:r>
      <w:r>
        <w:rPr>
          <w:b/>
          <w:bCs/>
        </w:rPr>
        <w:t xml:space="preserve">Body to skin</w:t>
      </w:r>
      <w:r>
        <w:t xml:space="preserve"> </w:t>
      </w:r>
      <w:r>
        <w:t xml:space="preserve">—</w:t>
      </w:r>
      <w:r>
        <w:t xml:space="preserve"> </w:t>
      </w:r>
      <w:r>
        <w:rPr>
          <w:i/>
          <w:iCs/>
        </w:rPr>
        <w:t xml:space="preserve">Body to skin. Systemic cortisol excess acting on the dermis. The Aesthetic &amp; Regenerative Endocrinology guide lists suspected Cushing syndrome as a reason to refer promptly.</w:t>
      </w:r>
      <w:r>
        <w:t xml:space="preserve"> </w:t>
      </w:r>
      <w:r>
        <w:t xml:space="preserve">- Scalp hair follicles kept alive in culture secrete cortisol, then switch off their own CRH →</w:t>
      </w:r>
      <w:r>
        <w:t xml:space="preserve"> </w:t>
      </w:r>
      <w:r>
        <w:rPr>
          <w:b/>
          <w:bCs/>
        </w:rPr>
        <w:t xml:space="preserve">Local loop</w:t>
      </w:r>
      <w:r>
        <w:t xml:space="preserve"> </w:t>
      </w:r>
      <w:r>
        <w:t xml:space="preserve">—</w:t>
      </w:r>
      <w:r>
        <w:t xml:space="preserve"> </w:t>
      </w:r>
      <w:r>
        <w:rPr>
          <w:i/>
          <w:iCs/>
        </w:rPr>
        <w:t xml:space="preserve">Local loop, with its own feedback, running with no blood supply or nerves attached. Human tissue, ex vivo.</w:t>
      </w:r>
      <w:r>
        <w:t xml:space="preserve"> </w:t>
      </w:r>
      <w:r>
        <w:t xml:space="preserve">- Skin converts circulating precursors into androgens and estrogens that add to the body's supply →</w:t>
      </w:r>
      <w:r>
        <w:t xml:space="preserve"> </w:t>
      </w:r>
      <w:r>
        <w:rPr>
          <w:b/>
          <w:bCs/>
        </w:rPr>
        <w:t xml:space="preserve">Skin to body</w:t>
      </w:r>
      <w:r>
        <w:t xml:space="preserve"> </w:t>
      </w:r>
      <w:r>
        <w:t xml:space="preserve">—</w:t>
      </w:r>
      <w:r>
        <w:t xml:space="preserve"> </w:t>
      </w:r>
      <w:r>
        <w:rPr>
          <w:i/>
          <w:iCs/>
        </w:rPr>
        <w:t xml:space="preserve">Skin to body. Reviews describe a skin contribution to circulating sex steroids, more so in older people; the evidence is mainly biochemical.</w:t>
      </w:r>
      <w:r>
        <w:t xml:space="preserve"> </w:t>
      </w:r>
      <w:r>
        <w:t xml:space="preserve">- Dry, coarse skin and myxoedema in hypothyroidism →</w:t>
      </w:r>
      <w:r>
        <w:t xml:space="preserve"> </w:t>
      </w:r>
      <w:r>
        <w:rPr>
          <w:b/>
          <w:bCs/>
        </w:rPr>
        <w:t xml:space="preserve">Body to skin</w:t>
      </w:r>
      <w:r>
        <w:t xml:space="preserve"> </w:t>
      </w:r>
      <w:r>
        <w:t xml:space="preserve">—</w:t>
      </w:r>
      <w:r>
        <w:t xml:space="preserve"> </w:t>
      </w:r>
      <w:r>
        <w:rPr>
          <w:i/>
          <w:iCs/>
        </w:rPr>
        <w:t xml:space="preserve">Body to skin. Circulating thyroid hormone sets epidermal turnover and dermal matrix; the skin signs track the systemic deficit.</w:t>
      </w:r>
      <w:r>
        <w:t xml:space="preserve"> </w:t>
      </w:r>
      <w:r>
        <w:t xml:space="preserve">- Scalp follicles convert testosterone to DHT, which shrinks susceptible follicles →</w:t>
      </w:r>
      <w:r>
        <w:t xml:space="preserve"> </w:t>
      </w:r>
      <w:r>
        <w:rPr>
          <w:b/>
          <w:bCs/>
        </w:rPr>
        <w:t xml:space="preserve">Local loop</w:t>
      </w:r>
      <w:r>
        <w:t xml:space="preserve"> </w:t>
      </w:r>
      <w:r>
        <w:t xml:space="preserve">—</w:t>
      </w:r>
      <w:r>
        <w:t xml:space="preserve"> </w:t>
      </w:r>
      <w:r>
        <w:rPr>
          <w:i/>
          <w:iCs/>
        </w:rPr>
        <w:t xml:space="preserve">Local loop. 5α-reductase in the pilosebaceous unit makes DHT where it acts; the guide names it the substrate of acne, androgenetic alopecia and hirsutism.</w:t>
      </w:r>
    </w:p>
    <w:p>
      <w:pPr>
        <w:pStyle w:val="BodyText"/>
      </w:pPr>
      <w:r>
        <w:t xml:space="preserve">Sources: Slominski RM 2025 · Phan TS 2021 · Ito N 2005 · Holick MF 1980 · Bikle DD 2014 · Slominski A 2013 · Zouboulis CC 2004 · Safer JD 2011 · Aesthetic &amp; Regenerative Endocrinology — A Clinician's Pocket Guide 2026</w:t>
      </w:r>
    </w:p>
    <w:bookmarkEnd w:id="18"/>
    <w:bookmarkStart w:id="19" w:name="read-the-skin-before-the-serum."/>
    <w:p>
      <w:pPr>
        <w:pStyle w:val="Heading3"/>
      </w:pPr>
      <w:r>
        <w:t xml:space="preserve">06 / 19 · Read the skin before the serum.</w:t>
      </w:r>
    </w:p>
    <w:p>
      <w:pPr>
        <w:pStyle w:val="FirstParagraph"/>
      </w:pPr>
      <w:r>
        <w:rPr>
          <w:i/>
          <w:iCs/>
        </w:rPr>
        <w:t xml:space="preserve">What changes in practice · audio</w:t>
      </w:r>
    </w:p>
    <w:p>
      <w:pPr>
        <w:pStyle w:val="BodyText"/>
      </w:pPr>
      <w:r>
        <w:t xml:space="preserve">The Aesthetic &amp; Regenerative Endocrinology guide treats the aesthetic exam as a systemic screen. Sudden thinning and easy bruising suggest cortisol excess; coarse, dry, cool skin suggests hypothyroidism; new acanthosis nigricans flags insulin resistance. It lists violaceous striae with new hypertension or diabetes, and rapidly progressive virilisation, among reasons to refer promptly to endocrinology. Local skin biology explains how skin behaves; it does not justify prescribing a hormone.</w:t>
      </w:r>
    </w:p>
    <w:p>
      <w:pPr>
        <w:pStyle w:val="Compact"/>
        <w:numPr>
          <w:ilvl w:val="0"/>
          <w:numId w:val="1006"/>
        </w:numPr>
      </w:pPr>
      <w:r>
        <w:t xml:space="preserve">A skin sign can be the first sign of a systemic disorder</w:t>
      </w:r>
    </w:p>
    <w:p>
      <w:pPr>
        <w:pStyle w:val="Compact"/>
        <w:numPr>
          <w:ilvl w:val="0"/>
          <w:numId w:val="1006"/>
        </w:numPr>
      </w:pPr>
      <w:r>
        <w:t xml:space="preserve">Some patterns need prompt endocrine referral</w:t>
      </w:r>
    </w:p>
    <w:p>
      <w:pPr>
        <w:pStyle w:val="Compact"/>
        <w:numPr>
          <w:ilvl w:val="0"/>
          <w:numId w:val="1006"/>
        </w:numPr>
      </w:pPr>
      <w:r>
        <w:t xml:space="preserve">Local loops explain biology; they do not justify treatment</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When a skin pattern suggests a systemic disorder, assess or refer before any cosmetic plan, and record that you considered it. Local skin biology is no basis for prescribing a hormone for appearance.</w:t>
      </w:r>
      <w:r>
        <w:t xml:space="preserve"> </w:t>
      </w:r>
      <w:r>
        <w:t xml:space="preserve">-</w:t>
      </w:r>
      <w:r>
        <w:t xml:space="preserve"> </w:t>
      </w:r>
      <w:r>
        <w:rPr>
          <w:i/>
          <w:iCs/>
        </w:rPr>
        <w:t xml:space="preserve">Clinical staff:</w:t>
      </w:r>
      <w:r>
        <w:t xml:space="preserve"> </w:t>
      </w:r>
      <w:r>
        <w:t xml:space="preserve">If you see new striae, rapid bruising, sudden hair change or signs of virilisation, record them and raise them with the prescriber before the next treatment.</w:t>
      </w:r>
      <w:r>
        <w:t xml:space="preserve"> </w:t>
      </w:r>
      <w:r>
        <w:t xml:space="preserve">-</w:t>
      </w:r>
      <w:r>
        <w:t xml:space="preserve"> </w:t>
      </w:r>
      <w:r>
        <w:rPr>
          <w:i/>
          <w:iCs/>
        </w:rPr>
        <w:t xml:space="preserve">Advisor:</w:t>
      </w:r>
      <w:r>
        <w:t xml:space="preserve"> </w:t>
      </w:r>
      <w:r>
        <w:t xml:space="preserve">If a client's skin change comes with new systemic symptoms, suggest they see a prescriber before trying another product. A serum cannot answer a systemic question.</w:t>
      </w:r>
    </w:p>
    <w:p>
      <w:pPr>
        <w:pStyle w:val="BodyText"/>
      </w:pPr>
      <w:r>
        <w:t xml:space="preserve">Narration script</w:t>
      </w:r>
    </w:p>
    <w:p>
      <w:pPr>
        <w:pStyle w:val="BodyText"/>
      </w:pPr>
      <w:r>
        <w:t xml:space="preserve">Picture the consultation where a patient asks about thinning, bruising skin. The Aesthetic and Regenerative Endocrinology guide asks you to read that skin as a window on the whole endocrine system before reaching for a serum. Sudden thinning with easy bruising suggests cortisol excess. Coarse, dry, cool skin suggests an underactive thyroid. New acanthosis nigricans points to insulin resistance. The guide lists violaceous striae with new hypertension or diabetes, rapidly progressive virilisation, and signs of an endocrine tumour as reasons to refer promptly to endocrinology. The local loops from the last two moments explain how skin behaves day to day. They are foundation biology, and the guide is explicit that they are no rationale for dosing anyone with a hormone. Whatever your role, a systemic pattern in the skin gets a systemic answer.</w:t>
      </w:r>
    </w:p>
    <w:p>
      <w:pPr>
        <w:pStyle w:val="BodyText"/>
      </w:pPr>
      <w:r>
        <w:t xml:space="preserve">Sources: Aesthetic &amp; Regenerative Endocrinology — A Clinician's Pocket Guide 2026 · Safer JD 2011 · Slominski A 2013</w:t>
      </w:r>
    </w:p>
    <w:bookmarkEnd w:id="19"/>
    <w:bookmarkStart w:id="20" w:name="my-skin-makes-its-own-cortisol."/>
    <w:p>
      <w:pPr>
        <w:pStyle w:val="Heading3"/>
      </w:pPr>
      <w:r>
        <w:t xml:space="preserve">07 / 19 · 'My skin makes its own cortisol.'</w:t>
      </w:r>
    </w:p>
    <w:p>
      <w:pPr>
        <w:pStyle w:val="FirstParagraph"/>
      </w:pPr>
      <w:r>
        <w:rPr>
          <w:i/>
          <w:iCs/>
        </w:rPr>
        <w:t xml:space="preserve">Your turn · quiz</w:t>
      </w:r>
    </w:p>
    <w:p>
      <w:pPr>
        <w:pStyle w:val="BodyText"/>
      </w:pPr>
      <w:r>
        <w:t xml:space="preserve">One question to close lesson 1.1.</w:t>
      </w:r>
    </w:p>
    <w:p>
      <w:pPr>
        <w:pStyle w:val="BodyText"/>
      </w:pPr>
      <w:r>
        <w:rPr>
          <w:b/>
          <w:bCs/>
        </w:rPr>
        <w:t xml:space="preserve">Q.</w:t>
      </w:r>
      <w:r>
        <w:t xml:space="preserve"> </w:t>
      </w:r>
      <w:r>
        <w:t xml:space="preserve">Fictional case. A 52-year-old has new thin, easily bruised skin on her forearms, new violaceous striae and newly raised blood pressure. She has read that skin makes its own cortisol and asks whether a cream could calm it. Which reading is right?</w:t>
      </w:r>
      <w:r>
        <w:t xml:space="preserve"> </w:t>
      </w:r>
      <w:r>
        <w:t xml:space="preserve">- ✗ Her skin's own cortisol explains the picture, so the answer is local. —</w:t>
      </w:r>
      <w:r>
        <w:t xml:space="preserve"> </w:t>
      </w:r>
      <w:r>
        <w:rPr>
          <w:i/>
          <w:iCs/>
        </w:rPr>
        <w:t xml:space="preserve">Local skin cortisol tunes immune activity where it is made. It does not explain new striae together with new hypertension.</w:t>
      </w:r>
      <w:r>
        <w:t xml:space="preserve"> </w:t>
      </w:r>
      <w:r>
        <w:t xml:space="preserve">- ✔ The combination is a systemic pattern; the guide lists it as a reason for prompt endocrine referral before any skin treatment. —</w:t>
      </w:r>
      <w:r>
        <w:t xml:space="preserve"> </w:t>
      </w:r>
      <w:r>
        <w:rPr>
          <w:i/>
          <w:iCs/>
        </w:rPr>
        <w:t xml:space="preserve">Correct. Striae, bruising and new hypertension together point to possible systemic cortisol excess: a body-to-skin signal.</w:t>
      </w:r>
      <w:r>
        <w:t xml:space="preserve"> </w:t>
      </w:r>
      <w:r>
        <w:t xml:space="preserve">- ✗ Local and systemic cortisol are interchangeable, so either explanation fits. —</w:t>
      </w:r>
      <w:r>
        <w:t xml:space="preserve"> </w:t>
      </w:r>
      <w:r>
        <w:rPr>
          <w:i/>
          <w:iCs/>
        </w:rPr>
        <w:t xml:space="preserve">Local synthesis acts within the skin and runs its own feedback; a systemic syndrome needs a systemic assessment.</w:t>
      </w:r>
    </w:p>
    <w:bookmarkEnd w:id="20"/>
    <w:bookmarkEnd w:id="21"/>
    <w:bookmarkStart w:id="27" w:name="X163a9157c42eed0dedf14ceb585962490d63980"/>
    <w:p>
      <w:pPr>
        <w:pStyle w:val="Heading2"/>
      </w:pPr>
      <w:r>
        <w:t xml:space="preserve">Lesson 1.2 · The Hormone Cell Atlas: receptor maps and what they prove</w:t>
      </w:r>
    </w:p>
    <w:bookmarkStart w:id="22" w:name="a-map-of-fourteen-million-cells."/>
    <w:p>
      <w:pPr>
        <w:pStyle w:val="Heading3"/>
      </w:pPr>
      <w:r>
        <w:t xml:space="preserve">08 / 19 · A map of fourteen million cells.</w:t>
      </w:r>
    </w:p>
    <w:p>
      <w:pPr>
        <w:pStyle w:val="FirstParagraph"/>
      </w:pPr>
      <w:r>
        <w:rPr>
          <w:i/>
          <w:iCs/>
        </w:rPr>
        <w:t xml:space="preserve">Lesson 1.2 · Concept · audio</w:t>
      </w:r>
    </w:p>
    <w:p>
      <w:pPr>
        <w:pStyle w:val="BodyText"/>
      </w:pPr>
      <w:r>
        <w:t xml:space="preserve">The Hormone Cell Atlas, published in Science in 2026, read the RNA for 379 hormone and receptor genes in about 14 million single cells and nuclei from 47 human tissues, skin among them. From that RNA it predicted which cell types could make a hormone and which could respond to one. It is a map of predicted capacity; it did not measure hormone release.</w:t>
      </w:r>
    </w:p>
    <w:p>
      <w:pPr>
        <w:pStyle w:val="Compact"/>
        <w:numPr>
          <w:ilvl w:val="0"/>
          <w:numId w:val="1007"/>
        </w:numPr>
      </w:pPr>
      <w:r>
        <w:t xml:space="preserve">RNA for 379 hormone and receptor genes</w:t>
      </w:r>
    </w:p>
    <w:p>
      <w:pPr>
        <w:pStyle w:val="Compact"/>
        <w:numPr>
          <w:ilvl w:val="0"/>
          <w:numId w:val="1007"/>
        </w:numPr>
      </w:pPr>
      <w:r>
        <w:t xml:space="preserve">About 14 million cells and nuclei, 47 tissues</w:t>
      </w:r>
    </w:p>
    <w:p>
      <w:pPr>
        <w:pStyle w:val="Compact"/>
        <w:numPr>
          <w:ilvl w:val="0"/>
          <w:numId w:val="1007"/>
        </w:numPr>
      </w:pPr>
      <w:r>
        <w:t xml:space="preserve">Output: predicted producers and receivers</w:t>
      </w:r>
    </w:p>
    <w:p>
      <w:pPr>
        <w:pStyle w:val="FirstParagraph"/>
      </w:pPr>
      <w:r>
        <w:t xml:space="preserve">Narration script</w:t>
      </w:r>
    </w:p>
    <w:p>
      <w:pPr>
        <w:pStyle w:val="BodyText"/>
      </w:pPr>
      <w:r>
        <w:t xml:space="preserve">Fourteen million cells is the scale of the Hormone Cell Atlas, a Cambridge-led study published in Science in 2026. The team read the RNA for 379 hormone and receptor genes in single cells and nuclei from forty-seven human tissues, skin included. From those readings they scored each cell type for its predicted capacity to make or to receive a hormone, and they flagged unexpected sites, such as RNA for the gut hormone secretin in a type of immune cell. The Aesthetic and Regenerative Endocrinology guide uses the atlas to argue that the skin, built from every major cell lineage, is plausibly one of the body's largest distributed signalling networks. The word plausibly matters. Everything in the atlas starts from RNA, and RNA tells you what a cell could make. Whether the cell actually makes and releases the hormone is the question the rest of this lesson answers.</w:t>
      </w:r>
    </w:p>
    <w:p>
      <w:pPr>
        <w:pStyle w:val="BodyText"/>
      </w:pPr>
      <w:r>
        <w:t xml:space="preserve">Sources: Fei L 2026 · Hormone Cell Atlas team (Farooqi and Teichmann groups) 2026 · Aesthetic &amp; Regenerative Endocrinology — A Clinician's Pocket Guide 2026</w:t>
      </w:r>
    </w:p>
    <w:bookmarkEnd w:id="22"/>
    <w:bookmarkStart w:id="23" w:name="prediction-in-the-authors-own-words."/>
    <w:p>
      <w:pPr>
        <w:pStyle w:val="Heading3"/>
      </w:pPr>
      <w:r>
        <w:t xml:space="preserve">09 / 19 · Prediction, in the authors' own words.</w:t>
      </w:r>
    </w:p>
    <w:p>
      <w:pPr>
        <w:pStyle w:val="FirstParagraph"/>
      </w:pPr>
      <w:r>
        <w:rPr>
          <w:i/>
          <w:iCs/>
        </w:rPr>
        <w:t xml:space="preserve">What the atlas is · stat</w:t>
      </w:r>
    </w:p>
    <w:p>
      <w:pPr>
        <w:pStyle w:val="BodyText"/>
      </w:pPr>
      <w:r>
        <w:t xml:space="preserve">The atlas's own portal describes its scores as 'putative and hypothesis-generating'. A few predictions were tested in cells in the paper itself; the rest are left for users to validate. Across biology, the amount of RNA for a gene is often a poor guide to how much protein a cell makes, and protein is still a step short of secretion.</w:t>
      </w:r>
    </w:p>
    <w:p>
      <w:pPr>
        <w:pStyle w:val="BodyText"/>
      </w:pPr>
      <w:r>
        <w:rPr>
          <w:b/>
          <w:bCs/>
        </w:rPr>
        <w:t xml:space="preserve">379</w:t>
      </w:r>
      <w:r>
        <w:t xml:space="preserve"> </w:t>
      </w:r>
      <w:r>
        <w:t xml:space="preserve">— hormone and receptor genes read as RNA, cell by cell (Fei, Huang-Doran et al., Science 2026 · about 14 million cells and nuclei · 47 human tissues)</w:t>
      </w:r>
      <w:r>
        <w:br/>
      </w:r>
      <w:r>
        <w:rPr>
          <w:i/>
          <w:iCs/>
        </w:rPr>
        <w:t xml:space="preserve">Means:</w:t>
      </w:r>
      <w:r>
        <w:t xml:space="preserve"> </w:t>
      </w:r>
      <w:r>
        <w:t xml:space="preserve">The atlas shows which skin cells carry the RNA to make or sense a hormone. That is a well-founded hypothesis about where to look.</w:t>
      </w:r>
      <w:r>
        <w:br/>
      </w:r>
      <w:r>
        <w:rPr>
          <w:i/>
          <w:iCs/>
        </w:rPr>
        <w:t xml:space="preserve">Does not mean:</w:t>
      </w:r>
      <w:r>
        <w:t xml:space="preserve"> </w:t>
      </w:r>
      <w:r>
        <w:t xml:space="preserve">It does not show that a skin cell secretes a hormone, how much, or that the hormone acts there. A receptor gene on the map is not evidence that a product aimed at it works.</w:t>
      </w:r>
    </w:p>
    <w:p>
      <w:pPr>
        <w:pStyle w:val="BodyText"/>
      </w:pPr>
      <w:r>
        <w:t xml:space="preserve">Sources: Fei L 2026 · Hormone Cell Atlas team (Farooqi and Teichmann groups) 2026 · Liu Y 2016 · Aesthetic &amp; Regenerative Endocrinology — A Clinician's Pocket Guide 2026</w:t>
      </w:r>
    </w:p>
    <w:bookmarkEnd w:id="23"/>
    <w:bookmarkStart w:id="24" w:name="transcript-tissue-or-person"/>
    <w:p>
      <w:pPr>
        <w:pStyle w:val="Heading3"/>
      </w:pPr>
      <w:r>
        <w:t xml:space="preserve">10 / 19 · Transcript, tissue or person?</w:t>
      </w:r>
    </w:p>
    <w:p>
      <w:pPr>
        <w:pStyle w:val="FirstParagraph"/>
      </w:pPr>
      <w:r>
        <w:rPr>
          <w:i/>
          <w:iCs/>
        </w:rPr>
        <w:t xml:space="preserve">Sort the evidence · tool</w:t>
      </w:r>
    </w:p>
    <w:p>
      <w:pPr>
        <w:pStyle w:val="BodyText"/>
      </w:pPr>
      <w:r>
        <w:t xml:space="preserve">Findings about skin as an endocrine organ sit on different rungs of the same ladder. Before you see the answers, decide how far up each one reaches.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Transcript</w:t>
            </w:r>
          </w:p>
        </w:tc>
        <w:tc>
          <w:tcPr/>
          <w:p>
            <w:pPr>
              <w:pStyle w:val="Compact"/>
            </w:pPr>
            <w:r>
              <w:t xml:space="preserve">The cell carries the RNA</w:t>
            </w:r>
          </w:p>
        </w:tc>
        <w:tc>
          <w:tcPr/>
          <w:p>
            <w:pPr>
              <w:pStyle w:val="Compact"/>
            </w:pPr>
            <w:r>
              <w:t xml:space="preserve">Single-cell atlases; a prediction to confirm</w:t>
            </w:r>
          </w:p>
        </w:tc>
      </w:tr>
      <w:tr>
        <w:tc>
          <w:tcPr/>
          <w:p>
            <w:pPr>
              <w:pStyle w:val="Compact"/>
            </w:pPr>
            <w:r>
              <w:t xml:space="preserve">Function in tissue or animals</w:t>
            </w:r>
          </w:p>
        </w:tc>
        <w:tc>
          <w:tcPr/>
          <w:p>
            <w:pPr>
              <w:pStyle w:val="Compact"/>
            </w:pPr>
            <w:r>
              <w:t xml:space="preserve">The pathway works</w:t>
            </w:r>
          </w:p>
        </w:tc>
        <w:tc>
          <w:tcPr/>
          <w:p>
            <w:pPr>
              <w:pStyle w:val="Compact"/>
            </w:pPr>
            <w:r>
              <w:t xml:space="preserve">Human tissue kept alive in culture, or animal models</w:t>
            </w:r>
          </w:p>
        </w:tc>
      </w:tr>
      <w:tr>
        <w:tc>
          <w:tcPr/>
          <w:p>
            <w:pPr>
              <w:pStyle w:val="Compact"/>
            </w:pPr>
            <w:r>
              <w:t xml:space="preserve">Human, in vivo</w:t>
            </w:r>
          </w:p>
        </w:tc>
        <w:tc>
          <w:tcPr/>
          <w:p>
            <w:pPr>
              <w:pStyle w:val="Compact"/>
            </w:pPr>
            <w:r>
              <w:t xml:space="preserve">It happens in living people</w:t>
            </w:r>
          </w:p>
        </w:tc>
        <w:tc>
          <w:tcPr/>
          <w:p>
            <w:pPr>
              <w:pStyle w:val="Compact"/>
            </w:pPr>
            <w:r>
              <w:t xml:space="preserve">Measured in people, in the body</w:t>
            </w:r>
          </w:p>
        </w:tc>
      </w:tr>
    </w:tbl>
    <w:p>
      <w:pPr>
        <w:pStyle w:val="BodyText"/>
      </w:pPr>
      <w:r>
        <w:rPr>
          <w:b/>
          <w:bCs/>
        </w:rPr>
        <w:t xml:space="preserve">Callout:</w:t>
      </w:r>
      <w:r>
        <w:t xml:space="preserve"> </w:t>
      </w:r>
      <w:r>
        <w:t xml:space="preserve">Each rung needs the one below it, and advice to a patient needs the top one.</w:t>
      </w:r>
    </w:p>
    <w:p>
      <w:pPr>
        <w:pStyle w:val="BodyText"/>
      </w:pPr>
      <w:r>
        <w:rPr>
          <w:b/>
          <w:bCs/>
        </w:rPr>
        <w:t xml:space="preserve">Exercise (classify) · How far up?</w:t>
      </w:r>
      <w:r>
        <w:t xml:space="preserve"> </w:t>
      </w:r>
      <w:r>
        <w:t xml:space="preserve">— Tap the highest rung each finding reaches.</w:t>
      </w:r>
      <w:r>
        <w:t xml:space="preserve"> </w:t>
      </w:r>
      <w:r>
        <w:t xml:space="preserve">- A skin cell type scores high as a hormone producer in a single-cell RNA atlas →</w:t>
      </w:r>
      <w:r>
        <w:t xml:space="preserve"> </w:t>
      </w:r>
      <w:r>
        <w:rPr>
          <w:b/>
          <w:bCs/>
        </w:rPr>
        <w:t xml:space="preserve">Transcript prediction</w:t>
      </w:r>
      <w:r>
        <w:t xml:space="preserve"> </w:t>
      </w:r>
      <w:r>
        <w:t xml:space="preserve">—</w:t>
      </w:r>
      <w:r>
        <w:t xml:space="preserve"> </w:t>
      </w:r>
      <w:r>
        <w:rPr>
          <w:i/>
          <w:iCs/>
        </w:rPr>
        <w:t xml:space="preserve">Transcript. The score comes from RNA; the atlas's authors call such predictions putative until validated.</w:t>
      </w:r>
      <w:r>
        <w:t xml:space="preserve"> </w:t>
      </w:r>
      <w:r>
        <w:t xml:space="preserve">- Scalp hair follicles kept alive in culture secrete cortisol and switch off their own CRH →</w:t>
      </w:r>
      <w:r>
        <w:t xml:space="preserve"> </w:t>
      </w:r>
      <w:r>
        <w:rPr>
          <w:b/>
          <w:bCs/>
        </w:rPr>
        <w:t xml:space="preserve">Function in tissue or animals</w:t>
      </w:r>
      <w:r>
        <w:t xml:space="preserve"> </w:t>
      </w:r>
      <w:r>
        <w:t xml:space="preserve">—</w:t>
      </w:r>
      <w:r>
        <w:t xml:space="preserve"> </w:t>
      </w:r>
      <w:r>
        <w:rPr>
          <w:i/>
          <w:iCs/>
        </w:rPr>
        <w:t xml:space="preserve">Function in human tissue. The loop works ex vivo; whether it shapes hair growth in a living scalp is a further step.</w:t>
      </w:r>
      <w:r>
        <w:t xml:space="preserve"> </w:t>
      </w:r>
      <w:r>
        <w:t xml:space="preserve">- A brochure says skin 'has receptors for' a hormone, citing an RNA atlas →</w:t>
      </w:r>
      <w:r>
        <w:t xml:space="preserve"> </w:t>
      </w:r>
      <w:r>
        <w:rPr>
          <w:b/>
          <w:bCs/>
        </w:rPr>
        <w:t xml:space="preserve">Transcript prediction</w:t>
      </w:r>
      <w:r>
        <w:t xml:space="preserve"> </w:t>
      </w:r>
      <w:r>
        <w:t xml:space="preserve">—</w:t>
      </w:r>
      <w:r>
        <w:t xml:space="preserve"> </w:t>
      </w:r>
      <w:r>
        <w:rPr>
          <w:i/>
          <w:iCs/>
        </w:rPr>
        <w:t xml:space="preserve">Transcript. A receptor gene on a map is where the question starts, and where this brochure stops.</w:t>
      </w:r>
      <w:r>
        <w:t xml:space="preserve"> </w:t>
      </w:r>
      <w:r>
        <w:t xml:space="preserve">- Mice unable to make glucocorticoids in keratinocytes develop skin inflammation →</w:t>
      </w:r>
      <w:r>
        <w:t xml:space="preserve"> </w:t>
      </w:r>
      <w:r>
        <w:rPr>
          <w:b/>
          <w:bCs/>
        </w:rPr>
        <w:t xml:space="preserve">Function in tissue or animals</w:t>
      </w:r>
      <w:r>
        <w:t xml:space="preserve"> </w:t>
      </w:r>
      <w:r>
        <w:t xml:space="preserve">—</w:t>
      </w:r>
      <w:r>
        <w:t xml:space="preserve"> </w:t>
      </w:r>
      <w:r>
        <w:rPr>
          <w:i/>
          <w:iCs/>
        </w:rPr>
        <w:t xml:space="preserve">Function in animals. Strong evidence that local glucocorticoids matter in mouse skin; in people there is only an association with inflammatory skin disease.</w:t>
      </w:r>
      <w:r>
        <w:t xml:space="preserve"> </w:t>
      </w:r>
      <w:r>
        <w:t xml:space="preserve">- Sunlight on human skin forms vitamin D3 that the blood carries away →</w:t>
      </w:r>
      <w:r>
        <w:t xml:space="preserve"> </w:t>
      </w:r>
      <w:r>
        <w:rPr>
          <w:b/>
          <w:bCs/>
        </w:rPr>
        <w:t xml:space="preserve">Human, in vivo</w:t>
      </w:r>
      <w:r>
        <w:t xml:space="preserve"> </w:t>
      </w:r>
      <w:r>
        <w:t xml:space="preserve">—</w:t>
      </w:r>
      <w:r>
        <w:t xml:space="preserve"> </w:t>
      </w:r>
      <w:r>
        <w:rPr>
          <w:i/>
          <w:iCs/>
        </w:rPr>
        <w:t xml:space="preserve">Human, in vivo. Cutaneous vitamin D3 synthesis and its release into the circulation were shown in human skin and are established physiology.</w:t>
      </w:r>
    </w:p>
    <w:p>
      <w:pPr>
        <w:pStyle w:val="BodyText"/>
      </w:pPr>
      <w:r>
        <w:t xml:space="preserve">Sources: Fei L 2026 · Hormone Cell Atlas team (Farooqi and Teichmann groups) 2026 · Ito N 2005 · Phan TS 2021 · Horesh EJ 2023 · Holick MF 1980 · Bikle DD 2014 · Aesthetic &amp; Regenerative Endocrinology — A Clinician's Pocket Guide 2026</w:t>
      </w:r>
    </w:p>
    <w:bookmarkEnd w:id="24"/>
    <w:bookmarkStart w:id="25" w:name="a-map-to-confirm-then-a-trial."/>
    <w:p>
      <w:pPr>
        <w:pStyle w:val="Heading3"/>
      </w:pPr>
      <w:r>
        <w:t xml:space="preserve">11 / 19 · A map to confirm, then a trial.</w:t>
      </w:r>
    </w:p>
    <w:p>
      <w:pPr>
        <w:pStyle w:val="FirstParagraph"/>
      </w:pPr>
      <w:r>
        <w:rPr>
          <w:i/>
          <w:iCs/>
        </w:rPr>
        <w:t xml:space="preserve">What changes in practice · audio</w:t>
      </w:r>
    </w:p>
    <w:p>
      <w:pPr>
        <w:pStyle w:val="BodyText"/>
      </w:pPr>
      <w:r>
        <w:t xml:space="preserve">Topical and transdermal treatments act through receptors the skin already carries, and the skin's own enzymes change how strongly a hormone acts, so the skin's response need not mirror the dose. A receptor on a map is where an efficacy question starts. The same caution applies to physiology you think you know: the guide says serum vitamin D falls with sunscreen use, yet field trials of daily sunscreen did not lower it.</w:t>
      </w:r>
    </w:p>
    <w:p>
      <w:pPr>
        <w:pStyle w:val="Compact"/>
        <w:numPr>
          <w:ilvl w:val="0"/>
          <w:numId w:val="1008"/>
        </w:numPr>
      </w:pPr>
      <w:r>
        <w:t xml:space="preserve">A receptor on the map is a hypothesis</w:t>
      </w:r>
    </w:p>
    <w:p>
      <w:pPr>
        <w:pStyle w:val="Compact"/>
        <w:numPr>
          <w:ilvl w:val="0"/>
          <w:numId w:val="1008"/>
        </w:numPr>
      </w:pPr>
      <w:r>
        <w:t xml:space="preserve">Local enzymes change potency in skin</w:t>
      </w:r>
    </w:p>
    <w:p>
      <w:pPr>
        <w:pStyle w:val="Compact"/>
        <w:numPr>
          <w:ilvl w:val="0"/>
          <w:numId w:val="1008"/>
        </w:numPr>
      </w:pPr>
      <w:r>
        <w:t xml:space="preserve">Daily-sunscreen field trials did not lower vitamin D</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When a product or protocol is justified by 'skin has receptors for it', ask for the human trial before you prescribe. Assess vitamin D on clinical grounds, and do not advise patients to drop sun protection.</w:t>
      </w:r>
      <w:r>
        <w:t xml:space="preserve"> </w:t>
      </w:r>
      <w:r>
        <w:t xml:space="preserve">-</w:t>
      </w:r>
      <w:r>
        <w:t xml:space="preserve"> </w:t>
      </w:r>
      <w:r>
        <w:rPr>
          <w:i/>
          <w:iCs/>
        </w:rPr>
        <w:t xml:space="preserve">Clinical staff:</w:t>
      </w:r>
      <w:r>
        <w:t xml:space="preserve"> </w:t>
      </w:r>
      <w:r>
        <w:t xml:space="preserve">If a patient says they stopped sunscreen to raise their vitamin D, note it and pass it to the prescriber; the trials do not support stopping.</w:t>
      </w:r>
      <w:r>
        <w:t xml:space="preserve"> </w:t>
      </w:r>
      <w:r>
        <w:t xml:space="preserve">-</w:t>
      </w:r>
      <w:r>
        <w:t xml:space="preserve"> </w:t>
      </w:r>
      <w:r>
        <w:rPr>
          <w:i/>
          <w:iCs/>
        </w:rPr>
        <w:t xml:space="preserve">Advisor:</w:t>
      </w:r>
      <w:r>
        <w:t xml:space="preserve"> </w:t>
      </w:r>
      <w:r>
        <w:t xml:space="preserve">Describe receptor-based product claims as hypotheses unless a human trial backs them, keep sun-protection advice unchanged, and send vitamin D questions to a prescriber.</w:t>
      </w:r>
    </w:p>
    <w:p>
      <w:pPr>
        <w:pStyle w:val="BodyText"/>
      </w:pPr>
      <w:r>
        <w:t xml:space="preserve">Narration script</w:t>
      </w:r>
    </w:p>
    <w:p>
      <w:pPr>
        <w:pStyle w:val="BodyText"/>
      </w:pPr>
      <w:r>
        <w:t xml:space="preserve">Two habits follow from the atlas. The first concerns product claims. Topical and transdermal treatments act through receptors the skin already carries, and the skin's own enzymes change how strongly a hormone acts once it arrives, so the response in skin can differ from what the dose predicts. A receptor on a map is where an efficacy question starts, and the answer still needs a trial. The second habit concerns the physiology you think you know. The guide's testing pearl says serum vitamin D falls with sunscreen use, which the biology predicts. An independent review found that in real-life field trials, daily sunscreen did not lower blood levels, although the sunscreens tested were moderate and today's high-protection products have never been trialled. Keep recommending sun protection, and treat vitamin D as its own question.</w:t>
      </w:r>
    </w:p>
    <w:p>
      <w:pPr>
        <w:pStyle w:val="BodyText"/>
      </w:pPr>
      <w:r>
        <w:t xml:space="preserve">Sources: Aesthetic &amp; Regenerative Endocrinology — A Clinician's Pocket Guide 2026 · Neale RE 2019 · Fei L 2026 · Bikle DD 2014</w:t>
      </w:r>
    </w:p>
    <w:bookmarkEnd w:id="25"/>
    <w:bookmarkStart w:id="26" w:name="your-skin-has-receptors-for-it."/>
    <w:p>
      <w:pPr>
        <w:pStyle w:val="Heading3"/>
      </w:pPr>
      <w:r>
        <w:t xml:space="preserve">12 / 19 · 'Your skin has receptors for it.'</w:t>
      </w:r>
    </w:p>
    <w:p>
      <w:pPr>
        <w:pStyle w:val="FirstParagraph"/>
      </w:pPr>
      <w:r>
        <w:rPr>
          <w:i/>
          <w:iCs/>
        </w:rPr>
        <w:t xml:space="preserve">Your turn · quiz</w:t>
      </w:r>
    </w:p>
    <w:p>
      <w:pPr>
        <w:pStyle w:val="BodyText"/>
      </w:pPr>
      <w:r>
        <w:t xml:space="preserve">One question to close lesson 1.2.</w:t>
      </w:r>
    </w:p>
    <w:p>
      <w:pPr>
        <w:pStyle w:val="BodyText"/>
      </w:pPr>
      <w:r>
        <w:rPr>
          <w:b/>
          <w:bCs/>
        </w:rPr>
        <w:t xml:space="preserve">Q.</w:t>
      </w:r>
      <w:r>
        <w:t xml:space="preserve"> </w:t>
      </w:r>
      <w:r>
        <w:t xml:space="preserve">A brochure for a hormone-containing serum cites a single-cell atlas showing that dermal fibroblasts carry the RNA for that hormone's receptor. What does that finding establish?</w:t>
      </w:r>
      <w:r>
        <w:t xml:space="preserve"> </w:t>
      </w:r>
      <w:r>
        <w:t xml:space="preserve">- ✗ That the serum reaches those fibroblasts and improves the skin. —</w:t>
      </w:r>
      <w:r>
        <w:t xml:space="preserve"> </w:t>
      </w:r>
      <w:r>
        <w:rPr>
          <w:i/>
          <w:iCs/>
        </w:rPr>
        <w:t xml:space="preserve">That needs penetration data and a clinical trial; an RNA map provides neither.</w:t>
      </w:r>
      <w:r>
        <w:t xml:space="preserve"> </w:t>
      </w:r>
      <w:r>
        <w:t xml:space="preserve">- ✗ That skin secretes the hormone and needs it replaced when levels fall. —</w:t>
      </w:r>
      <w:r>
        <w:t xml:space="preserve"> </w:t>
      </w:r>
      <w:r>
        <w:rPr>
          <w:i/>
          <w:iCs/>
        </w:rPr>
        <w:t xml:space="preserve">The finding concerns a receptor, and RNA says nothing about secretion or deficiency.</w:t>
      </w:r>
      <w:r>
        <w:t xml:space="preserve"> </w:t>
      </w:r>
      <w:r>
        <w:t xml:space="preserve">- ✔ That fibroblasts may respond to the hormone: a hypothesis to confirm at the protein, function and clinical level. —</w:t>
      </w:r>
      <w:r>
        <w:t xml:space="preserve"> </w:t>
      </w:r>
      <w:r>
        <w:rPr>
          <w:i/>
          <w:iCs/>
        </w:rPr>
        <w:t xml:space="preserve">Correct. The atlas's authors call such predictions putative and hypothesis-generating.</w:t>
      </w:r>
    </w:p>
    <w:bookmarkEnd w:id="26"/>
    <w:bookmarkEnd w:id="27"/>
    <w:bookmarkStart w:id="35" w:name="Xc582465ba047e265e03a696be656ff222aa8e4b"/>
    <w:p>
      <w:pPr>
        <w:pStyle w:val="Heading2"/>
      </w:pPr>
      <w:r>
        <w:t xml:space="preserve">Lesson 1.3 · Senescence, the SASP and the ageing dermis</w:t>
      </w:r>
    </w:p>
    <w:bookmarkStart w:id="28" w:name="X5e5d283e486a86df208598b551a716d555a08d2"/>
    <w:p>
      <w:pPr>
        <w:pStyle w:val="Heading3"/>
      </w:pPr>
      <w:r>
        <w:t xml:space="preserve">13 / 19 · Cells that stop dividing and keep talking.</w:t>
      </w:r>
    </w:p>
    <w:p>
      <w:pPr>
        <w:pStyle w:val="FirstParagraph"/>
      </w:pPr>
      <w:r>
        <w:rPr>
          <w:i/>
          <w:iCs/>
        </w:rPr>
        <w:t xml:space="preserve">Lesson 1.3 · Concept · audio</w:t>
      </w:r>
    </w:p>
    <w:p>
      <w:pPr>
        <w:pStyle w:val="BodyText"/>
      </w:pPr>
      <w:r>
        <w:t xml:space="preserve">A senescent cell has stopped dividing for good but stays metabolically active, releasing cytokines, matrix-degrading enzymes and growth factors: the senescence-associated secretory phenotype, or SASP. The SASP was characterised in cultured cells. In human skin, cells carrying the senescence marker p16INK4a become more common with age in both epidermis and dermis.</w:t>
      </w:r>
    </w:p>
    <w:p>
      <w:pPr>
        <w:pStyle w:val="Compact"/>
        <w:numPr>
          <w:ilvl w:val="0"/>
          <w:numId w:val="1009"/>
        </w:numPr>
      </w:pPr>
      <w:r>
        <w:t xml:space="preserve">Senescent: permanent arrest, still secreting</w:t>
      </w:r>
    </w:p>
    <w:p>
      <w:pPr>
        <w:pStyle w:val="Compact"/>
        <w:numPr>
          <w:ilvl w:val="0"/>
          <w:numId w:val="1009"/>
        </w:numPr>
      </w:pPr>
      <w:r>
        <w:t xml:space="preserve">SASP (IL-6, IL-8, MMPs, growth factors): defined in culture</w:t>
      </w:r>
    </w:p>
    <w:p>
      <w:pPr>
        <w:pStyle w:val="Compact"/>
        <w:numPr>
          <w:ilvl w:val="0"/>
          <w:numId w:val="1009"/>
        </w:numPr>
      </w:pPr>
      <w:r>
        <w:t xml:space="preserve">Human skin: p16-positive cells rise with age</w:t>
      </w:r>
    </w:p>
    <w:p>
      <w:pPr>
        <w:pStyle w:val="FirstParagraph"/>
      </w:pPr>
      <w:r>
        <w:t xml:space="preserve">Narration script</w:t>
      </w:r>
    </w:p>
    <w:p>
      <w:pPr>
        <w:pStyle w:val="BodyText"/>
      </w:pPr>
      <w:r>
        <w:t xml:space="preserve">Senescence begins as a safety mechanism. A cell that has taken enough damage stops dividing for good, which helps guard against cancer and is useful during wound repair. The problem is what the cell does next. It stays alive and metabolically busy and releases a mixture of inflammatory cytokines such as interleukin six and eight, enzymes that break down matrix, and growth factors. This secretory profile, the SASP, was characterised in human cells grown in the laboratory after DNA damage. In living human skin, the evidence is observational. Skin samples from older people contain more cells carrying the senescence marker p16, in both the epidermis and the dermis, and fibroblasts, keratinocytes and melanocytes can all become senescent. Researchers also caution that no single marker identifies a senescent cell with certainty, so counts depend on the marker chosen.</w:t>
      </w:r>
    </w:p>
    <w:p>
      <w:pPr>
        <w:pStyle w:val="BodyText"/>
      </w:pPr>
      <w:r>
        <w:t xml:space="preserve">Sources: Coppé JP 2008 · Ressler S 2006 · Ho CY 2021 · Wang AS 2018 · Haykal D 2026 · Baker DJ 2016 · Aesthetic &amp; Regenerative Endocrinology — A Clinician's Pocket Guide 2026</w:t>
      </w:r>
    </w:p>
    <w:bookmarkEnd w:id="28"/>
    <w:bookmarkStart w:id="29" w:name="three-years-of-perceived-age."/>
    <w:p>
      <w:pPr>
        <w:pStyle w:val="Heading3"/>
      </w:pPr>
      <w:r>
        <w:t xml:space="preserve">14 / 19 · Three years of perceived age.</w:t>
      </w:r>
    </w:p>
    <w:p>
      <w:pPr>
        <w:pStyle w:val="FirstParagraph"/>
      </w:pPr>
      <w:r>
        <w:rPr>
          <w:i/>
          <w:iCs/>
        </w:rPr>
        <w:t xml:space="preserve">Human evidence · stat</w:t>
      </w:r>
    </w:p>
    <w:p>
      <w:pPr>
        <w:pStyle w:val="BodyText"/>
      </w:pPr>
      <w:r>
        <w:t xml:space="preserve">In a Dutch cohort, people with more p16-positive cells in sun-protected arm skin had more ageing-type elastic fibres, more facial wrinkles and looked older, after allowing for their actual age. The epidermal p16-positive cells were mostly melanocytes. The study was publicly funded; one co-author worked for Unilever.</w:t>
      </w:r>
    </w:p>
    <w:p>
      <w:pPr>
        <w:pStyle w:val="BodyText"/>
      </w:pPr>
      <w:r>
        <w:rPr>
          <w:b/>
          <w:bCs/>
        </w:rPr>
        <w:t xml:space="preserve">3 years</w:t>
      </w:r>
      <w:r>
        <w:t xml:space="preserve"> </w:t>
      </w:r>
      <w:r>
        <w:t xml:space="preserve">— younger-looking: fewest versus most p16-positive epidermal cells, at the same chronological age (Waaijer et al., 2016 — 178 adults aged 45–81, Leiden Longevity Study, sun-protected arm biopsies)</w:t>
      </w:r>
      <w:r>
        <w:br/>
      </w:r>
      <w:r>
        <w:rPr>
          <w:i/>
          <w:iCs/>
        </w:rPr>
        <w:t xml:space="preserve">Means:</w:t>
      </w:r>
      <w:r>
        <w:t xml:space="preserve"> </w:t>
      </w:r>
      <w:r>
        <w:t xml:space="preserve">Senescent-cell burden in human skin tracks visible ageing, even in skin that sees little sun.</w:t>
      </w:r>
      <w:r>
        <w:br/>
      </w:r>
      <w:r>
        <w:rPr>
          <w:i/>
          <w:iCs/>
        </w:rPr>
        <w:t xml:space="preserve">Does not mean:</w:t>
      </w:r>
      <w:r>
        <w:t xml:space="preserve"> </w:t>
      </w:r>
      <w:r>
        <w:t xml:space="preserve">It does not show that senescent cells cause wrinkles, or that removing them would reverse any. One observational cohort shows an association.</w:t>
      </w:r>
    </w:p>
    <w:p>
      <w:pPr>
        <w:pStyle w:val="BodyText"/>
      </w:pPr>
      <w:r>
        <w:t xml:space="preserve">Sources: Waaijer ME 2016 · Ressler S 2006</w:t>
      </w:r>
    </w:p>
    <w:bookmarkEnd w:id="29"/>
    <w:bookmarkStart w:id="30" w:name="human-mouse-or-dish"/>
    <w:p>
      <w:pPr>
        <w:pStyle w:val="Heading3"/>
      </w:pPr>
      <w:r>
        <w:t xml:space="preserve">15 / 19 · Human, mouse or dish?</w:t>
      </w:r>
    </w:p>
    <w:p>
      <w:pPr>
        <w:pStyle w:val="FirstParagraph"/>
      </w:pPr>
      <w:r>
        <w:rPr>
          <w:i/>
          <w:iCs/>
        </w:rPr>
        <w:t xml:space="preserve">Four registers · tool</w:t>
      </w:r>
    </w:p>
    <w:p>
      <w:pPr>
        <w:pStyle w:val="BodyText"/>
      </w:pPr>
      <w:r>
        <w:t xml:space="preserve">Senescence research mixes human tissue, mice and cultured cells. For the ageing dermis the four answers point in different directions, which is why they belong in separate sentences.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A collagen-fragmentation loop</w:t>
            </w:r>
          </w:p>
        </w:tc>
        <w:tc>
          <w:tcPr/>
          <w:p>
            <w:pPr>
              <w:pStyle w:val="Compact"/>
            </w:pPr>
            <w:r>
              <w:t xml:space="preserve">Skin collagen falls with age. Aged human dermis shows more fibroblast MMP-1 and fragmented collagen; in culture, fragmentation raises MMP-1 further. That senescent cells drive this in living skin is plausible, not shown.</w:t>
            </w:r>
          </w:p>
        </w:tc>
      </w:tr>
      <w:tr>
        <w:tc>
          <w:tcPr/>
          <w:p>
            <w:pPr>
              <w:pStyle w:val="Compact"/>
            </w:pPr>
            <w:r>
              <w:t xml:space="preserve">Human evidence</w:t>
            </w:r>
          </w:p>
        </w:tc>
        <w:tc>
          <w:tcPr/>
          <w:p>
            <w:pPr>
              <w:pStyle w:val="Compact"/>
            </w:pPr>
            <w:r>
              <w:t xml:space="preserve">Association</w:t>
            </w:r>
          </w:p>
        </w:tc>
        <w:tc>
          <w:tcPr/>
          <w:p>
            <w:pPr>
              <w:pStyle w:val="Compact"/>
            </w:pPr>
            <w:r>
              <w:t xml:space="preserve">p16-positive cells rise with age and track with wrinkles and perceived age</w:t>
            </w:r>
          </w:p>
        </w:tc>
      </w:tr>
      <w:tr>
        <w:tc>
          <w:tcPr/>
          <w:p>
            <w:pPr>
              <w:pStyle w:val="Compact"/>
            </w:pPr>
            <w:r>
              <w:t xml:space="preserve">Animal evidence</w:t>
            </w:r>
          </w:p>
        </w:tc>
        <w:tc>
          <w:tcPr/>
          <w:p>
            <w:pPr>
              <w:pStyle w:val="Compact"/>
            </w:pPr>
            <w:r>
              <w:t xml:space="preserve">Causation, in mice</w:t>
            </w:r>
          </w:p>
        </w:tc>
        <w:tc>
          <w:tcPr/>
          <w:p>
            <w:pPr>
              <w:pStyle w:val="Compact"/>
            </w:pPr>
            <w:r>
              <w:t xml:space="preserve">Clearing p16-positive cells, or giving senolytic drugs, extends healthy lifespan in mice. Skin was checked only for safety, and clearing these cells during healing slowed wound closure.</w:t>
            </w:r>
          </w:p>
        </w:tc>
      </w:tr>
      <w:tr>
        <w:tc>
          <w:tcPr/>
          <w:p>
            <w:pPr>
              <w:pStyle w:val="Compact"/>
            </w:pPr>
            <w:r>
              <w:t xml:space="preserve">Open question</w:t>
            </w:r>
          </w:p>
        </w:tc>
        <w:tc>
          <w:tcPr/>
          <w:p>
            <w:pPr>
              <w:pStyle w:val="Compact"/>
            </w:pPr>
            <w:r>
              <w:t xml:space="preserve">Do senotherapies change human skin?</w:t>
            </w:r>
          </w:p>
        </w:tc>
        <w:tc>
          <w:tcPr/>
          <w:p>
            <w:pPr>
              <w:pStyle w:val="Compact"/>
            </w:pPr>
            <w:r>
              <w:t xml:space="preserve">Small pilots measuring tissue markers. One exploratory randomized trial of topical rapamycin (36 enrolled, 19 dropped out) lowered skin p16, and clinical change was only described. No adequately sized trial with clinical skin-ageing outcomes was found (September 2026).</w:t>
            </w:r>
          </w:p>
        </w:tc>
      </w:tr>
    </w:tbl>
    <w:p>
      <w:pPr>
        <w:pStyle w:val="BodyText"/>
      </w:pPr>
      <w:r>
        <w:rPr>
          <w:b/>
          <w:bCs/>
        </w:rPr>
        <w:t xml:space="preserve">Callout:</w:t>
      </w:r>
      <w:r>
        <w:t xml:space="preserve"> </w:t>
      </w:r>
      <w:r>
        <w:t xml:space="preserve">A mouse lifespan result is not a skin treatment.</w:t>
      </w:r>
    </w:p>
    <w:p>
      <w:pPr>
        <w:pStyle w:val="BodyText"/>
      </w:pPr>
      <w:r>
        <w:t xml:space="preserve">Sources: Shuster S 1975 · Varani J 2006 · Fisher GJ 2009 · Waaijer ME 2016 · Baker DJ 2016 · Xu M 2018 · Hickson LJ 2019 · Chung CL 2019 · Haykal D 2026 · Aesthetic &amp; Regenerative Endocrinology — A Clinician's Pocket Guide 2026</w:t>
      </w:r>
    </w:p>
    <w:bookmarkEnd w:id="30"/>
    <w:bookmarkStart w:id="31" w:name="the-levers-with-trials-behind-them."/>
    <w:p>
      <w:pPr>
        <w:pStyle w:val="Heading3"/>
      </w:pPr>
      <w:r>
        <w:t xml:space="preserve">16 / 19 · The levers with trials behind them.</w:t>
      </w:r>
    </w:p>
    <w:p>
      <w:pPr>
        <w:pStyle w:val="FirstParagraph"/>
      </w:pPr>
      <w:r>
        <w:rPr>
          <w:i/>
          <w:iCs/>
        </w:rPr>
        <w:t xml:space="preserve">Where the evidence is strongest · audio</w:t>
      </w:r>
    </w:p>
    <w:p>
      <w:pPr>
        <w:pStyle w:val="BodyText"/>
      </w:pPr>
      <w:r>
        <w:t xml:space="preserve">Two ways of protecting or rebuilding the dermal matrix have randomized human trials. In a community trial of 903 adults, daily sunscreen for four and a half years slowed photoageing compared with discretionary use (GRADE B). Topical tretinoin improves photoageing consistently across randomized trials, and the Aesthetic &amp; Regenerative Endocrinology guide rates topical retinoids first-line, GRADE A. Retinol improved fine wrinkles in very old skin in a small trial (C), and within a week it raised collagen synthesis and lowered MMPs in biopsies of aged human skin.</w:t>
      </w:r>
    </w:p>
    <w:p>
      <w:pPr>
        <w:pStyle w:val="Compact"/>
        <w:numPr>
          <w:ilvl w:val="0"/>
          <w:numId w:val="1010"/>
        </w:numPr>
      </w:pPr>
      <w:r>
        <w:t xml:space="preserve">Daily sunscreen: one large RCT (B)</w:t>
      </w:r>
    </w:p>
    <w:p>
      <w:pPr>
        <w:pStyle w:val="Compact"/>
        <w:numPr>
          <w:ilvl w:val="0"/>
          <w:numId w:val="1010"/>
        </w:numPr>
      </w:pPr>
      <w:r>
        <w:t xml:space="preserve">Topical retinoids for photoageing: GRADE A</w:t>
      </w:r>
    </w:p>
    <w:p>
      <w:pPr>
        <w:pStyle w:val="Compact"/>
        <w:numPr>
          <w:ilvl w:val="0"/>
          <w:numId w:val="1010"/>
        </w:numPr>
      </w:pPr>
      <w:r>
        <w:t xml:space="preserve">Senolytics for skin: no clinical-outcome trials yet</w:t>
      </w:r>
    </w:p>
    <w:p>
      <w:pPr>
        <w:pStyle w:val="FirstParagraph"/>
      </w:pPr>
      <w:r>
        <w:t xml:space="preserve">Narration script</w:t>
      </w:r>
    </w:p>
    <w:p>
      <w:pPr>
        <w:pStyle w:val="BodyText"/>
      </w:pPr>
      <w:r>
        <w:t xml:space="preserve">Set the senescence story beside the interventions that have been tested in people. In Nambour, Australia, a publicly funded trial randomised 903 adults to daily or discretionary sunscreen, and over four and a half years skin ageing was about a quarter lower with daily use. Topical tretinoin has a run of randomised trials in photoaged skin that agree with one another, and the Aesthetic and Regenerative Endocrinology guide rates topical retinoids first-line, grade A. Retinol has smaller trials, including one in residents in their late eighties whose fine wrinkling improved and whose biopsies showed more procollagen. Both levers protect or rebuild the dermal matrix that ultraviolet light and, it is thought, the SASP erode, and both have human outcome data. Senolytics for skin have no such data yet. Keep that order in mind when a patient asks what actually works.</w:t>
      </w:r>
    </w:p>
    <w:p>
      <w:pPr>
        <w:pStyle w:val="BodyText"/>
      </w:pPr>
      <w:r>
        <w:t xml:space="preserve">Sources: Hughes MC 2013 · Sitohang IBS 2022 · Kafi R 2007 · Varani J 2000 · Fisher GJ 2002 · Aesthetic &amp; Regenerative Endocrinology — A Clinician's Pocket Guide 2026</w:t>
      </w:r>
    </w:p>
    <w:bookmarkEnd w:id="31"/>
    <w:bookmarkStart w:id="32" w:name="can-a-senolytic-fix-my-skin"/>
    <w:p>
      <w:pPr>
        <w:pStyle w:val="Heading3"/>
      </w:pPr>
      <w:r>
        <w:t xml:space="preserve">17 / 19 · 'Can a senolytic fix my skin?'</w:t>
      </w:r>
    </w:p>
    <w:p>
      <w:pPr>
        <w:pStyle w:val="FirstParagraph"/>
      </w:pPr>
      <w:r>
        <w:rPr>
          <w:i/>
          <w:iCs/>
        </w:rPr>
        <w:t xml:space="preserve">Fictional case · audio</w:t>
      </w:r>
    </w:p>
    <w:p>
      <w:pPr>
        <w:pStyle w:val="BodyText"/>
      </w:pPr>
      <w:r>
        <w:t xml:space="preserve">A 58-year-old patient has read that senolytic supplements 'clear zombie cells' and reverse skin ageing, and asks whether to start one she found online. She does not use sunscreen daily. The case is fictional and built from the lesson's evidence; decide your first move.</w:t>
      </w:r>
    </w:p>
    <w:p>
      <w:pPr>
        <w:pStyle w:val="Compact"/>
        <w:numPr>
          <w:ilvl w:val="0"/>
          <w:numId w:val="1011"/>
        </w:numPr>
      </w:pPr>
      <w:r>
        <w:t xml:space="preserve">Senescent cells in human skin: real, and linked with visible ageing</w:t>
      </w:r>
    </w:p>
    <w:p>
      <w:pPr>
        <w:pStyle w:val="Compact"/>
        <w:numPr>
          <w:ilvl w:val="0"/>
          <w:numId w:val="1011"/>
        </w:numPr>
      </w:pPr>
      <w:r>
        <w:t xml:space="preserve">Clearing them: mouse evidence and small human biomarker pilots</w:t>
      </w:r>
    </w:p>
    <w:p>
      <w:pPr>
        <w:pStyle w:val="Compact"/>
        <w:numPr>
          <w:ilvl w:val="0"/>
          <w:numId w:val="1011"/>
        </w:numPr>
      </w:pPr>
      <w:r>
        <w:t xml:space="preserve">Sunscreen and retinoids: randomized human trials</w:t>
      </w:r>
    </w:p>
    <w:p>
      <w:pPr>
        <w:pStyle w:val="FirstParagraph"/>
      </w:pPr>
      <w:r>
        <w:rPr>
          <w:b/>
          <w:bCs/>
        </w:rPr>
        <w:t xml:space="preserve">Exercise (scenario) · What do you do first?</w:t>
      </w:r>
      <w:r>
        <w:t xml:space="preserve"> </w:t>
      </w:r>
      <w:r>
        <w:t xml:space="preserve">—</w:t>
      </w:r>
    </w:p>
    <w:p>
      <w:pPr>
        <w:pStyle w:val="BodyText"/>
      </w:pPr>
      <w:r>
        <w:t xml:space="preserve">A 58-year-old patient has read that senolytic supplements 'clear zombie cells' and reverse skin ageing, and asks whether to start one she found online. She does not use sunscreen daily.</w:t>
      </w:r>
    </w:p>
    <w:p>
      <w:pPr>
        <w:pStyle w:val="Compact"/>
        <w:numPr>
          <w:ilvl w:val="0"/>
          <w:numId w:val="1012"/>
        </w:numPr>
      </w:pPr>
      <w:r>
        <w:t xml:space="preserve">✗ Support a trial of the supplement: senescent cells clearly age skin, so clearing them should help. —</w:t>
      </w:r>
      <w:r>
        <w:t xml:space="preserve"> </w:t>
      </w:r>
      <w:r>
        <w:rPr>
          <w:i/>
          <w:iCs/>
        </w:rPr>
        <w:t xml:space="preserve">The human evidence is an association and the clearing evidence is in mice. No trial has tested senolytics on skin-ageing outcomes.</w:t>
      </w:r>
    </w:p>
    <w:p>
      <w:pPr>
        <w:pStyle w:val="Compact"/>
        <w:numPr>
          <w:ilvl w:val="0"/>
          <w:numId w:val="1012"/>
        </w:numPr>
      </w:pPr>
      <w:r>
        <w:t xml:space="preserve">✔ Explain what is known in people and what only in mice, point her to the measures with trials (daily sunscreen, and a topical retinoid discussed with a prescriber), and mention that senolytics are being studied in trials. —</w:t>
      </w:r>
      <w:r>
        <w:t xml:space="preserve"> </w:t>
      </w:r>
      <w:r>
        <w:rPr>
          <w:i/>
          <w:iCs/>
        </w:rPr>
        <w:t xml:space="preserve">Right. It keeps the registers apart and moves her toward the levers with human outcome data. The guide advises that senolytics generally be confined to clinical trials.</w:t>
      </w:r>
    </w:p>
    <w:p>
      <w:pPr>
        <w:pStyle w:val="Compact"/>
        <w:numPr>
          <w:ilvl w:val="0"/>
          <w:numId w:val="1012"/>
        </w:numPr>
      </w:pPr>
      <w:r>
        <w:t xml:space="preserve">✗ Tell her senescence is a mouse phenomenon with no relevance to human skin. —</w:t>
      </w:r>
      <w:r>
        <w:t xml:space="preserve"> </w:t>
      </w:r>
      <w:r>
        <w:rPr>
          <w:i/>
          <w:iCs/>
        </w:rPr>
        <w:t xml:space="preserve">Senescent cells are measurable in human skin and track with wrinkles and perceived age. The biology is real; the treatment evidence is what is missing.</w:t>
      </w:r>
    </w:p>
    <w:p>
      <w:pPr>
        <w:pStyle w:val="FirstParagraph"/>
      </w:pPr>
      <w:r>
        <w:t xml:space="preserve">Follow-up: Then record what she was considering and what you advised, including any product she has already bought.</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 weigh a prescription retinoid against her skin and history, document the discussion, and explain that senolytics are still at the pilot-study stage and belong in trials.</w:t>
      </w:r>
      <w:r>
        <w:t xml:space="preserve"> </w:t>
      </w:r>
      <w:r>
        <w:t xml:space="preserve">-</w:t>
      </w:r>
      <w:r>
        <w:t xml:space="preserve"> </w:t>
      </w:r>
      <w:r>
        <w:rPr>
          <w:i/>
          <w:iCs/>
        </w:rPr>
        <w:t xml:space="preserve">Clinical staff:</w:t>
      </w:r>
      <w:r>
        <w:t xml:space="preserve"> </w:t>
      </w:r>
      <w:r>
        <w:t xml:space="preserve">You record what she plans to buy and anything she already takes, share the evidence summary, and pass the retinoid question to the prescriber.</w:t>
      </w:r>
      <w:r>
        <w:t xml:space="preserve"> </w:t>
      </w:r>
      <w:r>
        <w:t xml:space="preserve">-</w:t>
      </w:r>
      <w:r>
        <w:t xml:space="preserve"> </w:t>
      </w:r>
      <w:r>
        <w:rPr>
          <w:i/>
          <w:iCs/>
        </w:rPr>
        <w:t xml:space="preserve">Advisor:</w:t>
      </w:r>
      <w:r>
        <w:t xml:space="preserve"> </w:t>
      </w:r>
      <w:r>
        <w:t xml:space="preserve">You explain the difference between mouse and human evidence, reinforce daily sunscreen, and suggest a prescriber for a retinoid or if she wants to explore a trial.</w:t>
      </w:r>
    </w:p>
    <w:p>
      <w:pPr>
        <w:pStyle w:val="BodyText"/>
      </w:pPr>
      <w:r>
        <w:t xml:space="preserve">Narration script</w:t>
      </w:r>
    </w:p>
    <w:p>
      <w:pPr>
        <w:pStyle w:val="BodyText"/>
      </w:pPr>
      <w:r>
        <w:t xml:space="preserve">Consider a fifty-eight-year-old patient, fictional and built from this lesson's evidence. She has read that senolytic supplements clear so-called zombie cells and reverse skin ageing, and she asks whether to start one she found online. She does not wear sunscreen every day. Three facts frame the conversation. Senescent cells really do accumulate in human skin, and their number tracks with wrinkles and with how old a person looks. The evidence that clearing them helps comes from mice, and the human studies so far are small pilots measuring markers in tissue. Daily sunscreen and topical retinoids, by contrast, have randomised trials with visible skin outcomes. The Aesthetic and Regenerative Endocrinology guide advises keeping senolytics within clinical trials. Decide what you say first.</w:t>
      </w:r>
    </w:p>
    <w:p>
      <w:pPr>
        <w:pStyle w:val="BodyText"/>
      </w:pPr>
      <w:r>
        <w:t xml:space="preserve">Sources: Waaijer ME 2016 · Baker DJ 2016 · Hickson LJ 2019 · Hughes MC 2013 · Sitohang IBS 2022 · Aesthetic &amp; Regenerative Endocrinology — A Clinician's Pocket Guide 2026</w:t>
      </w:r>
    </w:p>
    <w:bookmarkEnd w:id="32"/>
    <w:bookmarkStart w:id="33" w:name="mouse-human-or-both"/>
    <w:p>
      <w:pPr>
        <w:pStyle w:val="Heading3"/>
      </w:pPr>
      <w:r>
        <w:t xml:space="preserve">18 / 19 · Mouse, human, or both?</w:t>
      </w:r>
    </w:p>
    <w:p>
      <w:pPr>
        <w:pStyle w:val="FirstParagraph"/>
      </w:pPr>
      <w:r>
        <w:rPr>
          <w:i/>
          <w:iCs/>
        </w:rPr>
        <w:t xml:space="preserve">Your turn · quiz</w:t>
      </w:r>
    </w:p>
    <w:p>
      <w:pPr>
        <w:pStyle w:val="BodyText"/>
      </w:pPr>
      <w:r>
        <w:t xml:space="preserve">One question to close lesson 1.3.</w:t>
      </w:r>
    </w:p>
    <w:p>
      <w:pPr>
        <w:pStyle w:val="BodyText"/>
      </w:pPr>
      <w:r>
        <w:rPr>
          <w:b/>
          <w:bCs/>
        </w:rPr>
        <w:t xml:space="preserve">Q.</w:t>
      </w:r>
      <w:r>
        <w:t xml:space="preserve"> </w:t>
      </w:r>
      <w:r>
        <w:t xml:space="preserve">Which statement about senescence and skin ageing matches the evidence?</w:t>
      </w:r>
      <w:r>
        <w:t xml:space="preserve"> </w:t>
      </w:r>
      <w:r>
        <w:t xml:space="preserve">- ✗ Randomized trials show that senolytics reverse human skin ageing. —</w:t>
      </w:r>
      <w:r>
        <w:t xml:space="preserve"> </w:t>
      </w:r>
      <w:r>
        <w:rPr>
          <w:i/>
          <w:iCs/>
        </w:rPr>
        <w:t xml:space="preserve">No randomized trial of a senolytic with clinical skin-ageing outcomes was found. Human data are small pilots measuring tissue markers.</w:t>
      </w:r>
      <w:r>
        <w:t xml:space="preserve"> </w:t>
      </w:r>
      <w:r>
        <w:t xml:space="preserve">- ✗ Senescence has been seen only in mice and cultured cells. —</w:t>
      </w:r>
      <w:r>
        <w:t xml:space="preserve"> </w:t>
      </w:r>
      <w:r>
        <w:rPr>
          <w:i/>
          <w:iCs/>
        </w:rPr>
        <w:t xml:space="preserve">p16-positive cells are measurable in human skin and become more common with age.</w:t>
      </w:r>
      <w:r>
        <w:t xml:space="preserve"> </w:t>
      </w:r>
      <w:r>
        <w:t xml:space="preserve">- ✔ In human skin, senescent cells increase with age and track with wrinkles; the evidence that clearing them improves ageing comes from mice. —</w:t>
      </w:r>
      <w:r>
        <w:t xml:space="preserve"> </w:t>
      </w:r>
      <w:r>
        <w:rPr>
          <w:i/>
          <w:iCs/>
        </w:rPr>
        <w:t xml:space="preserve">Correct. Human association, mouse causation: two registers, kept apart.</w:t>
      </w:r>
    </w:p>
    <w:bookmarkEnd w:id="33"/>
    <w:bookmarkStart w:id="34" w:name="X249e418c3bc13f80c7fc26eda827b1eca17049e"/>
    <w:p>
      <w:pPr>
        <w:pStyle w:val="Heading3"/>
      </w:pPr>
      <w:r>
        <w:t xml:space="preserve">19 / 19 · Before my next skin-and-hormone conversation.</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skin-physiology checklist</w:t>
      </w:r>
      <w:r>
        <w:t xml:space="preserve"> </w:t>
      </w:r>
      <w:r>
        <w:t xml:space="preserve">— Tap everything you will do. Choose as many as you like.</w:t>
      </w:r>
      <w:r>
        <w:t xml:space="preserve"> </w:t>
      </w:r>
      <w:r>
        <w:rPr>
          <w:i/>
          <w:iCs/>
        </w:rPr>
        <w:t xml:space="preserve">Before my next skin-and-hormone conversation I will …</w:t>
      </w:r>
      <w:r>
        <w:t xml:space="preserve"> </w:t>
      </w:r>
      <w:r>
        <w:t xml:space="preserve">decide whether the finding is local or systemic · read the skin as a screen for systemic endocrine disease · send striae with new hypertension, or rapid virilisation, for prompt assessment · ask which rung the evidence reaches: RNA, tissue, animal or person · say whether a senescence finding comes from people or mice · start ageing conversations with sunscreen and retinoid evidence</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the systemic screen: a skin sign that points to an endocrine disorder is assessed or referred before any cosmetic plan.</w:t>
      </w:r>
      <w:r>
        <w:t xml:space="preserve"> </w:t>
      </w:r>
      <w:r>
        <w:t xml:space="preserve">-</w:t>
      </w:r>
      <w:r>
        <w:t xml:space="preserve"> </w:t>
      </w:r>
      <w:r>
        <w:rPr>
          <w:i/>
          <w:iCs/>
        </w:rPr>
        <w:t xml:space="preserve">Clinical staff:</w:t>
      </w:r>
      <w:r>
        <w:t xml:space="preserve"> </w:t>
      </w:r>
      <w:r>
        <w:t xml:space="preserve">Your checklist ends with escalation: new striae, rapid bruising, virilisation or sudden hair change go to the prescriber before the next treatment.</w:t>
      </w:r>
      <w:r>
        <w:t xml:space="preserve"> </w:t>
      </w:r>
      <w:r>
        <w:t xml:space="preserve">-</w:t>
      </w:r>
      <w:r>
        <w:t xml:space="preserve"> </w:t>
      </w:r>
      <w:r>
        <w:rPr>
          <w:i/>
          <w:iCs/>
        </w:rPr>
        <w:t xml:space="preserve">Advisor:</w:t>
      </w:r>
      <w:r>
        <w:t xml:space="preserve"> </w:t>
      </w:r>
      <w:r>
        <w:t xml:space="preserve">Your checklist ends with referral: product questions you can answer; systemic signs and prescription questions go to a prescriber.</w:t>
      </w:r>
    </w:p>
    <w:p>
      <w:pPr>
        <w:pStyle w:val="BodyText"/>
      </w:pPr>
      <w:r>
        <w:t xml:space="preserve">Sources: Aesthetic &amp; Regenerative Endocrinology — A Clinician's Pocket Guide 2026 · Hughes MC 2013 · Sitohang IBS 2022</w:t>
      </w:r>
    </w:p>
    <w:bookmarkEnd w:id="34"/>
    <w:bookmarkEnd w:id="35"/>
    <w:bookmarkStart w:id="36" w:name="module-check"/>
    <w:p>
      <w:pPr>
        <w:pStyle w:val="Heading2"/>
      </w:pPr>
      <w:r>
        <w:t xml:space="preserve">Module check</w:t>
      </w:r>
    </w:p>
    <w:p>
      <w:pPr>
        <w:pStyle w:val="FirstParagraph"/>
      </w:pPr>
      <w:r>
        <w:rPr>
          <w:b/>
          <w:bCs/>
        </w:rPr>
        <w:t xml:space="preserve">Q.</w:t>
      </w:r>
      <w:r>
        <w:t xml:space="preserve"> </w:t>
      </w:r>
      <w:r>
        <w:t xml:space="preserve">Closing Module 1 (fictional case). A 41-year-old with a low serum 25-hydroxyvitamin D says she will stop sunscreen because 'skin makes vitamin D'. Which reply keeps the physiology and the evidence straight?</w:t>
      </w:r>
      <w:r>
        <w:t xml:space="preserve"> </w:t>
      </w:r>
      <w:r>
        <w:t xml:space="preserve">- ✗ Vitamin D made in skin stays in the skin, so sunscreen cannot affect her blood level. —</w:t>
      </w:r>
      <w:r>
        <w:t xml:space="preserve"> </w:t>
      </w:r>
      <w:r>
        <w:rPr>
          <w:i/>
          <w:iCs/>
        </w:rPr>
        <w:t xml:space="preserve">Skin-made vitamin D3 enters the circulation: the skin is acting as an endocrine gland for the whole body.</w:t>
      </w:r>
      <w:r>
        <w:t xml:space="preserve"> </w:t>
      </w:r>
      <w:r>
        <w:t xml:space="preserve">- ✔ Skin synthesis does feed her blood level, but field trials of daily sunscreen did not lower 25-hydroxyvitamin D; keep sun protection and treat the low level as its own clinical question. —</w:t>
      </w:r>
      <w:r>
        <w:t xml:space="preserve"> </w:t>
      </w:r>
      <w:r>
        <w:rPr>
          <w:i/>
          <w:iCs/>
        </w:rPr>
        <w:t xml:space="preserve">Correct. The signal runs skin to body, and the human trials, not the mechanism alone, set the advice.</w:t>
      </w:r>
      <w:r>
        <w:t xml:space="preserve"> </w:t>
      </w:r>
      <w:r>
        <w:t xml:space="preserve">- ✗ The guide says sunscreen lowers vitamin D, so stopping it is reasonable. —</w:t>
      </w:r>
      <w:r>
        <w:t xml:space="preserve"> </w:t>
      </w:r>
      <w:r>
        <w:rPr>
          <w:i/>
          <w:iCs/>
        </w:rPr>
        <w:t xml:space="preserve">Real-life trials did not show a fall, and the guide itself says this biology never licenses unprotected sun exposure.</w:t>
      </w:r>
    </w:p>
    <w:p>
      <w:r>
        <w:pict>
          <v:rect style="width:0;height:1.5pt" o:hralign="center" o:hrstd="t" o:hr="t"/>
        </w:pict>
      </w:r>
    </w:p>
    <w:bookmarkEnd w:id="36"/>
    <w:bookmarkEnd w:id="37"/>
    <w:bookmarkStart w:id="61" w:name="X9d378679b2850582c0ef5cef2cc27853f87de70"/>
    <w:p>
      <w:pPr>
        <w:pStyle w:val="Heading1"/>
      </w:pPr>
      <w:r>
        <w:t xml:space="preserve">Hormones and Peptides for Skin · Module 02 — review draft</w:t>
      </w:r>
    </w:p>
    <w:p>
      <w:pPr>
        <w:pStyle w:val="FirstParagraph"/>
      </w:pPr>
      <w:r>
        <w:rPr>
          <w:i/>
          <w:iCs/>
        </w:rPr>
        <w:t xml:space="preserve">approved · authored 2026-09-24 · 19 moments, ~26 min + module check · 33 sources · 20 claims</w:t>
      </w:r>
    </w:p>
    <w:p>
      <w:pPr>
        <w:pStyle w:val="BodyText"/>
      </w:pPr>
      <w:r>
        <w:t xml:space="preserve">Every factual sentence traces to the graded registry (</w:t>
      </w:r>
      <w:r>
        <w:rPr>
          <w:rStyle w:val="VerbatimChar"/>
        </w:rPr>
        <w:t xml:space="preserve">citations/m02.md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45" w:name="X0db7e593f471ca4c0db89b6ee8fa97dfaea9f33"/>
    <w:p>
      <w:pPr>
        <w:pStyle w:val="Heading2"/>
      </w:pPr>
      <w:r>
        <w:t xml:space="preserve">Lesson 2.1 · Cortisol signatures: local 11β-HSD1 and Cushing's syndrome</w:t>
      </w:r>
    </w:p>
    <w:bookmarkStart w:id="38" w:name="the-face-that-might-be-a-diagnosis."/>
    <w:p>
      <w:pPr>
        <w:pStyle w:val="Heading3"/>
      </w:pPr>
      <w:r>
        <w:t xml:space="preserve">01 / 19 · The face that might be a diagnosis.</w:t>
      </w:r>
    </w:p>
    <w:p>
      <w:pPr>
        <w:pStyle w:val="FirstParagraph"/>
      </w:pPr>
      <w:r>
        <w:rPr>
          <w:i/>
          <w:iCs/>
        </w:rPr>
        <w:t xml:space="preserve">Module 02 · Hormones written on the skin · title</w:t>
      </w:r>
    </w:p>
    <w:p>
      <w:pPr>
        <w:pStyle w:val="BodyText"/>
      </w:pPr>
      <w:r>
        <w:t xml:space="preserve">Most skin changes you see are ageing or lifestyle. A few are the first visible sign of endocrine disease. In three lessons you will separate them: what local and systemic hormones do to skin, what hormone therapy can and cannot do for it, and which signs belong with an endocrinologist.</w:t>
      </w:r>
    </w:p>
    <w:p>
      <w:pPr>
        <w:pStyle w:val="Compact"/>
        <w:numPr>
          <w:ilvl w:val="0"/>
          <w:numId w:val="1013"/>
        </w:numPr>
      </w:pPr>
      <w:r>
        <w:t xml:space="preserve">2.1 Cortisol on the skin: local 11β-HSD1 and Cushing's syndrome</w:t>
      </w:r>
    </w:p>
    <w:p>
      <w:pPr>
        <w:pStyle w:val="Compact"/>
        <w:numPr>
          <w:ilvl w:val="0"/>
          <w:numId w:val="1013"/>
        </w:numPr>
      </w:pPr>
      <w:r>
        <w:t xml:space="preserve">2.2 Estrogen, menopause and collagen: what the trials show</w:t>
      </w:r>
    </w:p>
    <w:p>
      <w:pPr>
        <w:pStyle w:val="Compact"/>
        <w:numPr>
          <w:ilvl w:val="0"/>
          <w:numId w:val="1013"/>
        </w:numPr>
      </w:pPr>
      <w:r>
        <w:t xml:space="preserve">2.3 Skin signs that need an endocrinologist</w:t>
      </w:r>
    </w:p>
    <w:bookmarkEnd w:id="38"/>
    <w:bookmarkStart w:id="39" w:name="the-skin-regenerates-its-own-cortisol."/>
    <w:p>
      <w:pPr>
        <w:pStyle w:val="Heading3"/>
      </w:pPr>
      <w:r>
        <w:t xml:space="preserve">02 / 19 · The skin regenerates its own cortisol.</w:t>
      </w:r>
    </w:p>
    <w:p>
      <w:pPr>
        <w:pStyle w:val="FirstParagraph"/>
      </w:pPr>
      <w:r>
        <w:rPr>
          <w:i/>
          <w:iCs/>
        </w:rPr>
        <w:t xml:space="preserve">Mechanism · audio</w:t>
      </w:r>
    </w:p>
    <w:p>
      <w:pPr>
        <w:pStyle w:val="BodyText"/>
      </w:pPr>
      <w:r>
        <w:t xml:space="preserve">Skin expresses the machinery of a local stress axis, including CRH and POMC with its product ACTH. Keratinocytes and dermal fibroblasts also carry 11β-HSD1, the enzyme that turns inactive cortisone back into active cortisol inside the cell. In human skin samples its activity is higher with age and in sun-exposed skin, and local cortisol availability is set independently of blood levels. Cortisol slows collagen production in dermal fibroblasts, and mice lacking the enzyme kept their dermal thickness with age.</w:t>
      </w:r>
    </w:p>
    <w:p>
      <w:pPr>
        <w:pStyle w:val="Compact"/>
        <w:numPr>
          <w:ilvl w:val="0"/>
          <w:numId w:val="1014"/>
        </w:numPr>
      </w:pPr>
      <w:r>
        <w:t xml:space="preserve">Local axis: CRH, POMC and ACTH are made in skin</w:t>
      </w:r>
    </w:p>
    <w:p>
      <w:pPr>
        <w:pStyle w:val="Compact"/>
        <w:numPr>
          <w:ilvl w:val="0"/>
          <w:numId w:val="1014"/>
        </w:numPr>
      </w:pPr>
      <w:r>
        <w:t xml:space="preserve">11β-HSD1 regenerates cortisol inside skin cells</w:t>
      </w:r>
    </w:p>
    <w:p>
      <w:pPr>
        <w:pStyle w:val="Compact"/>
        <w:numPr>
          <w:ilvl w:val="0"/>
          <w:numId w:val="1014"/>
        </w:numPr>
      </w:pPr>
      <w:r>
        <w:t xml:space="preserve">Mechanism register: human samples, cultured cells and mice</w:t>
      </w:r>
    </w:p>
    <w:p>
      <w:pPr>
        <w:pStyle w:val="FirstParagraph"/>
      </w:pPr>
      <w:r>
        <w:t xml:space="preserve">Narration script</w:t>
      </w:r>
    </w:p>
    <w:p>
      <w:pPr>
        <w:pStyle w:val="BodyText"/>
      </w:pPr>
      <w:r>
        <w:t xml:space="preserve">Picture the skin as a small endocrine organ with its own stress axis. Skin cells make CRH and ACTH, the same signals that drive the adrenal glands, and they carry the receptors to respond to them. They also carry an enzyme called eleven beta HSD one, which turns inactive cortisone back into active cortisol inside the cell. In human skin samples that enzyme works harder with age and in sun-exposed skin, and it sets local cortisol independently of the level in the blood. Cortisol slows collagen production in dermal fibroblasts, and mice bred without the enzyme kept their dermal thickness as they aged. Hold all of this in the mechanism register. It comes from biopsies, cultured cells and mice, and it says nothing yet about how a patient's face will age.</w:t>
      </w:r>
    </w:p>
    <w:p>
      <w:pPr>
        <w:pStyle w:val="BodyText"/>
      </w:pPr>
      <w:r>
        <w:t xml:space="preserve">Sources: Slominski A 2000 · Tiganescu A 2011 · Tiganescu A 2013 · Aesthetic &amp; Regenerative Endocrinology — A Clinician's Pocket Guide 2026</w:t>
      </w:r>
    </w:p>
    <w:bookmarkEnd w:id="39"/>
    <w:bookmarkStart w:id="40" w:name="β-hsd1-four-separate-answers."/>
    <w:p>
      <w:pPr>
        <w:pStyle w:val="Heading3"/>
      </w:pPr>
      <w:r>
        <w:t xml:space="preserve">03 / 19 · 11β-HSD1: four separate answers.</w:t>
      </w:r>
    </w:p>
    <w:p>
      <w:pPr>
        <w:pStyle w:val="FirstParagraph"/>
      </w:pPr>
      <w:r>
        <w:rPr>
          <w:i/>
          <w:iCs/>
        </w:rPr>
        <w:t xml:space="preserve">Four registers · tool</w:t>
      </w:r>
    </w:p>
    <w:p>
      <w:pPr>
        <w:pStyle w:val="BodyText"/>
      </w:pPr>
      <w:r>
        <w:t xml:space="preserve">Local cortisol regeneration is a real and interesting mechanism. Each register below answers a different question, and blending them produces the line you will hear online: that blocking cortisol in the skin reverses ageing.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Plausible</w:t>
            </w:r>
          </w:p>
        </w:tc>
        <w:tc>
          <w:tcPr/>
          <w:p>
            <w:pPr>
              <w:pStyle w:val="Compact"/>
            </w:pPr>
            <w:r>
              <w:t xml:space="preserve">Enzyme activity rises with age and sun exposure in human skin samples; knockout mice resist age-related dermal thinning</w:t>
            </w:r>
          </w:p>
        </w:tc>
      </w:tr>
      <w:tr>
        <w:tc>
          <w:tcPr/>
          <w:p>
            <w:pPr>
              <w:pStyle w:val="Compact"/>
            </w:pPr>
            <w:r>
              <w:t xml:space="preserve">Human evidence</w:t>
            </w:r>
          </w:p>
        </w:tc>
        <w:tc>
          <w:tcPr/>
          <w:p>
            <w:pPr>
              <w:pStyle w:val="Compact"/>
            </w:pPr>
            <w:r>
              <w:t xml:space="preserve">One pilot RCT · GRADE C</w:t>
            </w:r>
          </w:p>
        </w:tc>
        <w:tc>
          <w:tcPr/>
          <w:p>
            <w:pPr>
              <w:pStyle w:val="Compact"/>
            </w:pPr>
            <w:r>
              <w:t xml:space="preserve">28 adults with type 2 diabetes took an oral inhibitor: the primary outcome was missed, wounds closed faster in an exploratory analysis, and barrier function was modestly worse</w:t>
            </w:r>
          </w:p>
        </w:tc>
      </w:tr>
      <w:tr>
        <w:tc>
          <w:tcPr/>
          <w:p>
            <w:pPr>
              <w:pStyle w:val="Compact"/>
            </w:pPr>
            <w:r>
              <w:t xml:space="preserve">Regulatory status (US, 24 September 2026)</w:t>
            </w:r>
          </w:p>
        </w:tc>
        <w:tc>
          <w:tcPr/>
          <w:p>
            <w:pPr>
              <w:pStyle w:val="Compact"/>
            </w:pPr>
            <w:r>
              <w:t xml:space="preserve">Investigational only</w:t>
            </w:r>
          </w:p>
        </w:tc>
        <w:tc>
          <w:tcPr/>
          <w:p>
            <w:pPr>
              <w:pStyle w:val="Compact"/>
            </w:pPr>
            <w:r>
              <w:t xml:space="preserve">The inhibitor tested in human skin is a research compound with no FDA approval</w:t>
            </w:r>
          </w:p>
        </w:tc>
      </w:tr>
      <w:tr>
        <w:tc>
          <w:tcPr/>
          <w:p>
            <w:pPr>
              <w:pStyle w:val="Compact"/>
            </w:pPr>
            <w:r>
              <w:t xml:space="preserve">Open question</w:t>
            </w:r>
          </w:p>
        </w:tc>
        <w:tc>
          <w:tcPr/>
          <w:p>
            <w:pPr>
              <w:pStyle w:val="Compact"/>
            </w:pPr>
            <w:r>
              <w:t xml:space="preserve">Does it drive visible ageing?</w:t>
            </w:r>
          </w:p>
        </w:tc>
        <w:tc>
          <w:tcPr/>
          <w:p>
            <w:pPr>
              <w:pStyle w:val="Compact"/>
            </w:pPr>
            <w:r>
              <w:t xml:space="preserve">No registered trial tests an 11β-HSD1 inhibitor for skin ageing (ClinicalTrials.gov, 24 September 2026)</w:t>
            </w:r>
          </w:p>
        </w:tc>
      </w:tr>
    </w:tbl>
    <w:p>
      <w:pPr>
        <w:pStyle w:val="BodyText"/>
      </w:pPr>
      <w:r>
        <w:rPr>
          <w:b/>
          <w:bCs/>
        </w:rPr>
        <w:t xml:space="preserve">Callout:</w:t>
      </w:r>
      <w:r>
        <w:t xml:space="preserve"> </w:t>
      </w:r>
      <w:r>
        <w:t xml:space="preserve">Local cortisol is set inside the skin, independently of blood levels, so a systemic cortisol test does not measure it.</w:t>
      </w:r>
    </w:p>
    <w:p>
      <w:pPr>
        <w:pStyle w:val="BodyText"/>
      </w:pPr>
      <w:r>
        <w:t xml:space="preserve">Sources: Tiganescu A 2011 · Tiganescu A 2013 · Ajjan RA 2022 · University of Leeds 2018 · Aesthetic &amp; Regenerative Endocrinology — A Clinician's Pocket Guide 2026</w:t>
      </w:r>
    </w:p>
    <w:bookmarkEnd w:id="40"/>
    <w:bookmarkStart w:id="41" w:name="which-features-point-to-cushings"/>
    <w:p>
      <w:pPr>
        <w:pStyle w:val="Heading3"/>
      </w:pPr>
      <w:r>
        <w:t xml:space="preserve">04 / 19 · Which features point to Cushing's?</w:t>
      </w:r>
    </w:p>
    <w:p>
      <w:pPr>
        <w:pStyle w:val="FirstParagraph"/>
      </w:pPr>
      <w:r>
        <w:rPr>
          <w:i/>
          <w:iCs/>
        </w:rPr>
        <w:t xml:space="preserve">Sort the signs · tool</w:t>
      </w:r>
    </w:p>
    <w:p>
      <w:pPr>
        <w:pStyle w:val="BodyText"/>
      </w:pPr>
      <w:r>
        <w:t xml:space="preserve">Cushing's syndrome shares most of its features with ordinary weight gain, poor sleep and stress. The Endocrine Society's diagnostic guideline separates the few that discriminate from the many that are common. Before you see its verdicts, sort these eight.</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Easy bruising</w:t>
            </w:r>
          </w:p>
        </w:tc>
        <w:tc>
          <w:tcPr/>
          <w:p>
            <w:pPr>
              <w:pStyle w:val="Compact"/>
            </w:pPr>
            <w:r>
              <w:t xml:space="preserve">Skin</w:t>
            </w:r>
          </w:p>
        </w:tc>
        <w:tc>
          <w:tcPr/>
          <w:p>
            <w:pPr>
              <w:pStyle w:val="Compact"/>
            </w:pPr>
            <w:r>
              <w:t xml:space="preserve">Bruises without an obvious injury</w:t>
            </w:r>
          </w:p>
        </w:tc>
      </w:tr>
      <w:tr>
        <w:tc>
          <w:tcPr/>
          <w:p>
            <w:pPr>
              <w:pStyle w:val="Compact"/>
            </w:pPr>
            <w:r>
              <w:t xml:space="preserve">Facial plethora</w:t>
            </w:r>
          </w:p>
        </w:tc>
        <w:tc>
          <w:tcPr/>
          <w:p>
            <w:pPr>
              <w:pStyle w:val="Compact"/>
            </w:pPr>
            <w:r>
              <w:t xml:space="preserve">Face</w:t>
            </w:r>
          </w:p>
        </w:tc>
        <w:tc>
          <w:tcPr/>
          <w:p>
            <w:pPr>
              <w:pStyle w:val="Compact"/>
            </w:pPr>
            <w:r>
              <w:t xml:space="preserve">A persistently red, full-blooded complexion</w:t>
            </w:r>
          </w:p>
        </w:tc>
      </w:tr>
      <w:tr>
        <w:tc>
          <w:tcPr/>
          <w:p>
            <w:pPr>
              <w:pStyle w:val="Compact"/>
            </w:pPr>
            <w:r>
              <w:t xml:space="preserve">Proximal muscle weakness</w:t>
            </w:r>
          </w:p>
        </w:tc>
        <w:tc>
          <w:tcPr/>
          <w:p>
            <w:pPr>
              <w:pStyle w:val="Compact"/>
            </w:pPr>
            <w:r>
              <w:t xml:space="preserve">History and examination</w:t>
            </w:r>
          </w:p>
        </w:tc>
        <w:tc>
          <w:tcPr/>
          <w:p>
            <w:pPr>
              <w:pStyle w:val="Compact"/>
            </w:pPr>
            <w:r>
              <w:t xml:space="preserve">Trouble rising from a chair or climbing stairs</w:t>
            </w:r>
          </w:p>
        </w:tc>
      </w:tr>
      <w:tr>
        <w:tc>
          <w:tcPr/>
          <w:p>
            <w:pPr>
              <w:pStyle w:val="Compact"/>
            </w:pPr>
            <w:r>
              <w:t xml:space="preserve">Striae</w:t>
            </w:r>
          </w:p>
        </w:tc>
        <w:tc>
          <w:tcPr/>
          <w:p>
            <w:pPr>
              <w:pStyle w:val="Compact"/>
            </w:pPr>
            <w:r>
              <w:t xml:space="preserve">Abdomen, flanks, thighs</w:t>
            </w:r>
          </w:p>
        </w:tc>
        <w:tc>
          <w:tcPr/>
          <w:p>
            <w:pPr>
              <w:pStyle w:val="Compact"/>
            </w:pPr>
            <w:r>
              <w:t xml:space="preserve">Reddish-purple and wider than 1 cm</w:t>
            </w:r>
          </w:p>
        </w:tc>
      </w:tr>
      <w:tr>
        <w:tc>
          <w:tcPr/>
          <w:p>
            <w:pPr>
              <w:pStyle w:val="Compact"/>
            </w:pPr>
            <w:r>
              <w:t xml:space="preserve">Facial fullness</w:t>
            </w:r>
          </w:p>
        </w:tc>
        <w:tc>
          <w:tcPr/>
          <w:p>
            <w:pPr>
              <w:pStyle w:val="Compact"/>
            </w:pPr>
            <w:r>
              <w:t xml:space="preserve">Face</w:t>
            </w:r>
          </w:p>
        </w:tc>
        <w:tc>
          <w:tcPr/>
          <w:p>
            <w:pPr>
              <w:pStyle w:val="Compact"/>
            </w:pPr>
            <w:r>
              <w:t xml:space="preserve">A rounder face than a year ago</w:t>
            </w:r>
          </w:p>
        </w:tc>
      </w:tr>
      <w:tr>
        <w:tc>
          <w:tcPr/>
          <w:p>
            <w:pPr>
              <w:pStyle w:val="Compact"/>
            </w:pPr>
            <w:r>
              <w:t xml:space="preserve">Weight gain</w:t>
            </w:r>
          </w:p>
        </w:tc>
        <w:tc>
          <w:tcPr/>
          <w:p>
            <w:pPr>
              <w:pStyle w:val="Compact"/>
            </w:pPr>
            <w:r>
              <w:t xml:space="preserve">History</w:t>
            </w:r>
          </w:p>
        </w:tc>
        <w:tc>
          <w:tcPr/>
          <w:p>
            <w:pPr>
              <w:pStyle w:val="Compact"/>
            </w:pPr>
            <w:r>
              <w:t xml:space="preserve">Gradual gain over several years</w:t>
            </w:r>
          </w:p>
        </w:tc>
      </w:tr>
      <w:tr>
        <w:tc>
          <w:tcPr/>
          <w:p>
            <w:pPr>
              <w:pStyle w:val="Compact"/>
            </w:pPr>
            <w:r>
              <w:t xml:space="preserve">Acne or hirsutism</w:t>
            </w:r>
          </w:p>
        </w:tc>
        <w:tc>
          <w:tcPr/>
          <w:p>
            <w:pPr>
              <w:pStyle w:val="Compact"/>
            </w:pPr>
            <w:r>
              <w:t xml:space="preserve">Skin</w:t>
            </w:r>
          </w:p>
        </w:tc>
        <w:tc>
          <w:tcPr/>
          <w:p>
            <w:pPr>
              <w:pStyle w:val="Compact"/>
            </w:pPr>
            <w:r>
              <w:t xml:space="preserve">New or persistent</w:t>
            </w:r>
          </w:p>
        </w:tc>
      </w:tr>
      <w:tr>
        <w:tc>
          <w:tcPr/>
          <w:p>
            <w:pPr>
              <w:pStyle w:val="Compact"/>
            </w:pPr>
            <w:r>
              <w:t xml:space="preserve">Fatigue and poor sleep</w:t>
            </w:r>
          </w:p>
        </w:tc>
        <w:tc>
          <w:tcPr/>
          <w:p>
            <w:pPr>
              <w:pStyle w:val="Compact"/>
            </w:pPr>
            <w:r>
              <w:t xml:space="preserve">History</w:t>
            </w:r>
          </w:p>
        </w:tc>
        <w:tc>
          <w:tcPr/>
          <w:p>
            <w:pPr>
              <w:pStyle w:val="Compact"/>
            </w:pPr>
            <w:r>
              <w:t xml:space="preserve">Tired, sleeping badly</w:t>
            </w:r>
          </w:p>
        </w:tc>
      </w:tr>
    </w:tbl>
    <w:p>
      <w:pPr>
        <w:pStyle w:val="BodyText"/>
      </w:pPr>
      <w:r>
        <w:rPr>
          <w:b/>
          <w:bCs/>
        </w:rPr>
        <w:t xml:space="preserve">Callout:</w:t>
      </w:r>
      <w:r>
        <w:t xml:space="preserve"> </w:t>
      </w:r>
      <w:r>
        <w:t xml:space="preserve">Few features of Cushing's syndrome are unique. Some discriminate far better than others.</w:t>
      </w:r>
    </w:p>
    <w:p>
      <w:pPr>
        <w:pStyle w:val="BodyText"/>
      </w:pPr>
      <w:r>
        <w:rPr>
          <w:b/>
          <w:bCs/>
        </w:rPr>
        <w:t xml:space="preserve">Exercise (classify) · Discriminating or common?</w:t>
      </w:r>
      <w:r>
        <w:t xml:space="preserve"> </w:t>
      </w:r>
      <w:r>
        <w:t xml:space="preserve">— Tap where each feature belongs.</w:t>
      </w:r>
      <w:r>
        <w:t xml:space="preserve"> </w:t>
      </w:r>
      <w:r>
        <w:t xml:space="preserve">- Easy bruising →</w:t>
      </w:r>
      <w:r>
        <w:t xml:space="preserve"> </w:t>
      </w:r>
      <w:r>
        <w:rPr>
          <w:b/>
          <w:bCs/>
        </w:rPr>
        <w:t xml:space="preserve">Best discriminates Cushing's</w:t>
      </w:r>
      <w:r>
        <w:t xml:space="preserve"> </w:t>
      </w:r>
      <w:r>
        <w:t xml:space="preserve">—</w:t>
      </w:r>
      <w:r>
        <w:t xml:space="preserve"> </w:t>
      </w:r>
      <w:r>
        <w:rPr>
          <w:i/>
          <w:iCs/>
        </w:rPr>
        <w:t xml:space="preserve">One of the four features the guideline lists as best discriminating, particularly bruising with no obvious trauma.</w:t>
      </w:r>
      <w:r>
        <w:t xml:space="preserve"> </w:t>
      </w:r>
      <w:r>
        <w:t xml:space="preserve">- Facial plethora →</w:t>
      </w:r>
      <w:r>
        <w:t xml:space="preserve"> </w:t>
      </w:r>
      <w:r>
        <w:rPr>
          <w:b/>
          <w:bCs/>
        </w:rPr>
        <w:t xml:space="preserve">Best discriminates Cushing's</w:t>
      </w:r>
      <w:r>
        <w:t xml:space="preserve"> </w:t>
      </w:r>
      <w:r>
        <w:t xml:space="preserve">—</w:t>
      </w:r>
      <w:r>
        <w:t xml:space="preserve"> </w:t>
      </w:r>
      <w:r>
        <w:rPr>
          <w:i/>
          <w:iCs/>
        </w:rPr>
        <w:t xml:space="preserve">Listed among the best discriminators. Most of the four have low sensitivity, so their absence does not exclude the syndrome.</w:t>
      </w:r>
      <w:r>
        <w:t xml:space="preserve"> </w:t>
      </w:r>
      <w:r>
        <w:t xml:space="preserve">- Proximal muscle weakness →</w:t>
      </w:r>
      <w:r>
        <w:t xml:space="preserve"> </w:t>
      </w:r>
      <w:r>
        <w:rPr>
          <w:b/>
          <w:bCs/>
        </w:rPr>
        <w:t xml:space="preserve">Best discriminates Cushing's</w:t>
      </w:r>
      <w:r>
        <w:t xml:space="preserve"> </w:t>
      </w:r>
      <w:r>
        <w:t xml:space="preserve">—</w:t>
      </w:r>
      <w:r>
        <w:t xml:space="preserve"> </w:t>
      </w:r>
      <w:r>
        <w:rPr>
          <w:i/>
          <w:iCs/>
        </w:rPr>
        <w:t xml:space="preserve">Proximal myopathy is one of the four; ask about stairs and getting up from a low chair.</w:t>
      </w:r>
      <w:r>
        <w:t xml:space="preserve"> </w:t>
      </w:r>
      <w:r>
        <w:t xml:space="preserve">- Striae →</w:t>
      </w:r>
      <w:r>
        <w:t xml:space="preserve"> </w:t>
      </w:r>
      <w:r>
        <w:rPr>
          <w:b/>
          <w:bCs/>
        </w:rPr>
        <w:t xml:space="preserve">Best discriminates Cushing's</w:t>
      </w:r>
      <w:r>
        <w:t xml:space="preserve"> </w:t>
      </w:r>
      <w:r>
        <w:t xml:space="preserve">—</w:t>
      </w:r>
      <w:r>
        <w:t xml:space="preserve"> </w:t>
      </w:r>
      <w:r>
        <w:rPr>
          <w:i/>
          <w:iCs/>
        </w:rPr>
        <w:t xml:space="preserve">The guideline singles out striae that are reddish-purple and wider than 1 cm.</w:t>
      </w:r>
      <w:r>
        <w:t xml:space="preserve"> </w:t>
      </w:r>
      <w:r>
        <w:t xml:space="preserve">- Facial fullness →</w:t>
      </w:r>
      <w:r>
        <w:t xml:space="preserve"> </w:t>
      </w:r>
      <w:r>
        <w:rPr>
          <w:b/>
          <w:bCs/>
        </w:rPr>
        <w:t xml:space="preserve">Common, less discriminating</w:t>
      </w:r>
      <w:r>
        <w:t xml:space="preserve"> </w:t>
      </w:r>
      <w:r>
        <w:t xml:space="preserve">—</w:t>
      </w:r>
      <w:r>
        <w:t xml:space="preserve"> </w:t>
      </w:r>
      <w:r>
        <w:rPr>
          <w:i/>
          <w:iCs/>
        </w:rPr>
        <w:t xml:space="preserve">The guideline lists facial fullness, like the dorsocervical fat pad, among features that are common in the general population. A round face alone is a weak signal.</w:t>
      </w:r>
      <w:r>
        <w:t xml:space="preserve"> </w:t>
      </w:r>
      <w:r>
        <w:t xml:space="preserve">- Weight gain →</w:t>
      </w:r>
      <w:r>
        <w:t xml:space="preserve"> </w:t>
      </w:r>
      <w:r>
        <w:rPr>
          <w:b/>
          <w:bCs/>
        </w:rPr>
        <w:t xml:space="preserve">Common, less discriminating</w:t>
      </w:r>
      <w:r>
        <w:t xml:space="preserve"> </w:t>
      </w:r>
      <w:r>
        <w:t xml:space="preserve">—</w:t>
      </w:r>
      <w:r>
        <w:t xml:space="preserve"> </w:t>
      </w:r>
      <w:r>
        <w:rPr>
          <w:i/>
          <w:iCs/>
        </w:rPr>
        <w:t xml:space="preserve">Common and less discriminatory on its own; many features of cortisol excess are shared with ordinary obesity.</w:t>
      </w:r>
      <w:r>
        <w:t xml:space="preserve"> </w:t>
      </w:r>
      <w:r>
        <w:t xml:space="preserve">- Acne or hirsutism →</w:t>
      </w:r>
      <w:r>
        <w:t xml:space="preserve"> </w:t>
      </w:r>
      <w:r>
        <w:rPr>
          <w:b/>
          <w:bCs/>
        </w:rPr>
        <w:t xml:space="preserve">Common, less discriminating</w:t>
      </w:r>
      <w:r>
        <w:t xml:space="preserve"> </w:t>
      </w:r>
      <w:r>
        <w:t xml:space="preserve">—</w:t>
      </w:r>
      <w:r>
        <w:t xml:space="preserve"> </w:t>
      </w:r>
      <w:r>
        <w:rPr>
          <w:i/>
          <w:iCs/>
        </w:rPr>
        <w:t xml:space="preserve">Both sit on the guideline's common, less discriminatory list; persistent hirsutism more often points to androgen excess (lesson 2.3).</w:t>
      </w:r>
      <w:r>
        <w:t xml:space="preserve"> </w:t>
      </w:r>
      <w:r>
        <w:t xml:space="preserve">- Fatigue and poor sleep →</w:t>
      </w:r>
      <w:r>
        <w:t xml:space="preserve"> </w:t>
      </w:r>
      <w:r>
        <w:rPr>
          <w:b/>
          <w:bCs/>
        </w:rPr>
        <w:t xml:space="preserve">Common, less discriminating</w:t>
      </w:r>
      <w:r>
        <w:t xml:space="preserve"> </w:t>
      </w:r>
      <w:r>
        <w:t xml:space="preserve">—</w:t>
      </w:r>
      <w:r>
        <w:t xml:space="preserve"> </w:t>
      </w:r>
      <w:r>
        <w:rPr>
          <w:i/>
          <w:iCs/>
        </w:rPr>
        <w:t xml:space="preserve">Fatigue, insomnia and poor concentration are common and less discriminatory.</w:t>
      </w:r>
    </w:p>
    <w:p>
      <w:pPr>
        <w:pStyle w:val="BodyText"/>
      </w:pPr>
      <w:r>
        <w:t xml:space="preserve">Sources: Nieman LK 2008 · Aesthetic &amp; Regenerative Endocrinology — A Clinician's Pocket Guide 2026</w:t>
      </w:r>
    </w:p>
    <w:bookmarkEnd w:id="41"/>
    <w:bookmarkStart w:id="42" w:name="rare-and-usually-from-a-prescription."/>
    <w:p>
      <w:pPr>
        <w:pStyle w:val="Heading3"/>
      </w:pPr>
      <w:r>
        <w:t xml:space="preserve">05 / 19 · Rare, and usually from a prescription.</w:t>
      </w:r>
    </w:p>
    <w:p>
      <w:pPr>
        <w:pStyle w:val="FirstParagraph"/>
      </w:pPr>
      <w:r>
        <w:rPr>
          <w:i/>
          <w:iCs/>
        </w:rPr>
        <w:t xml:space="preserve">The evidence · stat</w:t>
      </w:r>
    </w:p>
    <w:p>
      <w:pPr>
        <w:pStyle w:val="BodyText"/>
      </w:pPr>
      <w:r>
        <w:t xml:space="preserve">Endogenous Cushing's syndrome is uncommon: European population studies put it at two to three new cases per million people a year. The commonest cause of Cushing's syndrome is iatrogenic, from glucocorticoids given as medicine. The Endocrine Society therefore asks for a drug history first, covering tablets, inhalers, injections and creams, including skin-bleaching products, and recommends testing when features are multiple and progressive.</w:t>
      </w:r>
    </w:p>
    <w:p>
      <w:pPr>
        <w:pStyle w:val="BodyText"/>
      </w:pPr>
      <w:r>
        <w:rPr>
          <w:b/>
          <w:bCs/>
        </w:rPr>
        <w:t xml:space="preserve">2–3</w:t>
      </w:r>
      <w:r>
        <w:t xml:space="preserve"> </w:t>
      </w:r>
      <w:r>
        <w:t xml:space="preserve">— new cases of endogenous Cushing's syndrome per million people per year (European population studies) (As cited in the Endocrine Society diagnostic guideline, 2008)</w:t>
      </w:r>
      <w:r>
        <w:br/>
      </w:r>
      <w:r>
        <w:rPr>
          <w:i/>
          <w:iCs/>
        </w:rPr>
        <w:t xml:space="preserve">Means:</w:t>
      </w:r>
      <w:r>
        <w:t xml:space="preserve"> </w:t>
      </w:r>
      <w:r>
        <w:t xml:space="preserve">A round, puffy face in an aesthetic clinic is almost always something other than Cushing's syndrome, and when cortisol excess is real it most often comes from a glucocorticoid the patient is already using.</w:t>
      </w:r>
      <w:r>
        <w:br/>
      </w:r>
      <w:r>
        <w:rPr>
          <w:i/>
          <w:iCs/>
        </w:rPr>
        <w:t xml:space="preserve">Does not mean:</w:t>
      </w:r>
      <w:r>
        <w:t xml:space="preserve"> </w:t>
      </w:r>
      <w:r>
        <w:t xml:space="preserve">It does not mean you can dismiss it. The guideline recommends testing when discriminating features are multiple and progressive or unusual for age, and some groups, such as people with poorly controlled diabetes, carry a higher rate.</w:t>
      </w:r>
    </w:p>
    <w:p>
      <w:pPr>
        <w:pStyle w:val="BodyText"/>
      </w:pPr>
      <w:r>
        <w:t xml:space="preserve">Sources: Nieman LK 2008 · Aesthetic &amp; Regenerative Endocrinology — A Clinician's Pocket Guide 2026</w:t>
      </w:r>
    </w:p>
    <w:bookmarkEnd w:id="42"/>
    <w:bookmarkStart w:id="43" w:name="reassure-the-many-refer-the-few."/>
    <w:p>
      <w:pPr>
        <w:pStyle w:val="Heading3"/>
      </w:pPr>
      <w:r>
        <w:t xml:space="preserve">06 / 19 · Reassure the many, refer the few.</w:t>
      </w:r>
    </w:p>
    <w:p>
      <w:pPr>
        <w:pStyle w:val="FirstParagraph"/>
      </w:pPr>
      <w:r>
        <w:rPr>
          <w:i/>
          <w:iCs/>
        </w:rPr>
        <w:t xml:space="preserve">What changes in practice · audio</w:t>
      </w:r>
    </w:p>
    <w:p>
      <w:pPr>
        <w:pStyle w:val="BodyText"/>
      </w:pPr>
      <w:r>
        <w:t xml:space="preserve">When a patient asks about 'cortisol face', start with the drug history: steroid creams, skin-lighteners, herbal tonics and injections. Then look for the discriminating features. Without them, the Aesthetic &amp; Regenerative Endocrinology guide reads most puffiness as sleep, alcohol, salt and fluid, and the Endocrine Society recommends against widespread testing. With them, especially when they are progressing, the next step is formal testing and an endocrinologist. A cortisol supplement or a consumer cortisol panel answers the wrong question.</w:t>
      </w:r>
    </w:p>
    <w:p>
      <w:pPr>
        <w:pStyle w:val="Compact"/>
        <w:numPr>
          <w:ilvl w:val="0"/>
          <w:numId w:val="1015"/>
        </w:numPr>
      </w:pPr>
      <w:r>
        <w:t xml:space="preserve">Drug history first, including creams and injections</w:t>
      </w:r>
    </w:p>
    <w:p>
      <w:pPr>
        <w:pStyle w:val="Compact"/>
        <w:numPr>
          <w:ilvl w:val="0"/>
          <w:numId w:val="1015"/>
        </w:numPr>
      </w:pPr>
      <w:r>
        <w:t xml:space="preserve">Look for bruising, plethora, proximal weakness, wide purple striae</w:t>
      </w:r>
    </w:p>
    <w:p>
      <w:pPr>
        <w:pStyle w:val="Compact"/>
        <w:numPr>
          <w:ilvl w:val="0"/>
          <w:numId w:val="1015"/>
        </w:numPr>
      </w:pPr>
      <w:r>
        <w:t xml:space="preserve">Refer for testing; skip supplements and consumer panels</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If discriminating features are present, arrange one of the guideline's first-line tests or refer directly to endocrinology, and document the drug history, including creams and injections. An abnormal result goes to an endocrinologist.</w:t>
      </w:r>
      <w:r>
        <w:t xml:space="preserve"> </w:t>
      </w:r>
      <w:r>
        <w:t xml:space="preserve">-</w:t>
      </w:r>
      <w:r>
        <w:t xml:space="preserve"> </w:t>
      </w:r>
      <w:r>
        <w:rPr>
          <w:i/>
          <w:iCs/>
        </w:rPr>
        <w:t xml:space="preserve">Clinical staff:</w:t>
      </w:r>
      <w:r>
        <w:t xml:space="preserve"> </w:t>
      </w:r>
      <w:r>
        <w:t xml:space="preserve">Record any steroid creams, skin-lighteners or injections the patient mentions, note bruising or wide purple striae you see, and bring it to the prescriber before the next treatment.</w:t>
      </w:r>
      <w:r>
        <w:t xml:space="preserve"> </w:t>
      </w:r>
      <w:r>
        <w:t xml:space="preserve">-</w:t>
      </w:r>
      <w:r>
        <w:t xml:space="preserve"> </w:t>
      </w:r>
      <w:r>
        <w:rPr>
          <w:i/>
          <w:iCs/>
        </w:rPr>
        <w:t xml:space="preserve">Advisor:</w:t>
      </w:r>
      <w:r>
        <w:t xml:space="preserve"> </w:t>
      </w:r>
      <w:r>
        <w:t xml:space="preserve">Do not recommend 'cortisol-lowering' supplements or consumer cortisol kits. If a patient describes easy bruising, muscle weakness or new wide purple stretch marks, point them to a prescriber.</w:t>
      </w:r>
    </w:p>
    <w:p>
      <w:pPr>
        <w:pStyle w:val="BodyText"/>
      </w:pPr>
      <w:r>
        <w:t xml:space="preserve">Narration script</w:t>
      </w:r>
    </w:p>
    <w:p>
      <w:pPr>
        <w:pStyle w:val="BodyText"/>
      </w:pPr>
      <w:r>
        <w:t xml:space="preserve">Here is how that plays out when a patient asks about cortisol face. Begin with a drug history, because the commonest cause of cortisol excess is a glucocorticoid someone is already using. The guideline names the easy ones to miss, such as skin-bleaching creams, herbal tonics, and joint or nerve injections. Then look for the four features that shift the odds, meaning easy bruising, a plethoric face, weakness in the hips and shoulders, and wide reddish-purple striae. Without them, the Aesthetic and Regenerative Endocrinology guide reads most puffiness as sleep, alcohol, salt and fluid, and the Endocrine Society advises against testing everyone. With them, and especially when they are progressing, the patient needs formal testing and an endocrinologist. A cortisol supplement or a mail-order saliva panel answers the wrong question.</w:t>
      </w:r>
    </w:p>
    <w:p>
      <w:pPr>
        <w:pStyle w:val="BodyText"/>
      </w:pPr>
      <w:r>
        <w:t xml:space="preserve">Sources: Nieman LK 2008 · Aesthetic &amp; Regenerative Endocrinology — A Clinician's Pocket Guide 2026</w:t>
      </w:r>
    </w:p>
    <w:bookmarkEnd w:id="43"/>
    <w:bookmarkStart w:id="44" w:name="is-this-cortisol-face"/>
    <w:p>
      <w:pPr>
        <w:pStyle w:val="Heading3"/>
      </w:pPr>
      <w:r>
        <w:t xml:space="preserve">07 / 19 · 'Is this cortisol face?'</w:t>
      </w:r>
    </w:p>
    <w:p>
      <w:pPr>
        <w:pStyle w:val="FirstParagraph"/>
      </w:pPr>
      <w:r>
        <w:rPr>
          <w:i/>
          <w:iCs/>
        </w:rPr>
        <w:t xml:space="preserve">Your turn · quiz</w:t>
      </w:r>
    </w:p>
    <w:p>
      <w:pPr>
        <w:pStyle w:val="BodyText"/>
      </w:pPr>
      <w:r>
        <w:t xml:space="preserve">One question to close lesson 2.1.</w:t>
      </w:r>
    </w:p>
    <w:p>
      <w:pPr>
        <w:pStyle w:val="BodyText"/>
      </w:pPr>
      <w:r>
        <w:rPr>
          <w:b/>
          <w:bCs/>
        </w:rPr>
        <w:t xml:space="preserve">Q.</w:t>
      </w:r>
      <w:r>
        <w:t xml:space="preserve"> </w:t>
      </w:r>
      <w:r>
        <w:t xml:space="preserve">A 38-year-old asks whether her puffy morning face is 'cortisol face'. She sleeps badly and drinks most evenings. What is the best next step?</w:t>
      </w:r>
      <w:r>
        <w:t xml:space="preserve"> </w:t>
      </w:r>
      <w:r>
        <w:t xml:space="preserve">- ✗ Recommend a consumer saliva cortisol panel to check her levels. —</w:t>
      </w:r>
      <w:r>
        <w:t xml:space="preserve"> </w:t>
      </w:r>
      <w:r>
        <w:rPr>
          <w:i/>
          <w:iCs/>
        </w:rPr>
        <w:t xml:space="preserve">Testing is for multiple, progressive discriminating features; the guideline advises against widespread testing and random cortisol measures, and the guide calls consumer panels poorly validated.</w:t>
      </w:r>
      <w:r>
        <w:t xml:space="preserve"> </w:t>
      </w:r>
      <w:r>
        <w:t xml:space="preserve">- ✔ Take a drug history, including creams and injections, and examine for bruising, plethora, proximal weakness and wide purple striae; refer if they are present. —</w:t>
      </w:r>
      <w:r>
        <w:t xml:space="preserve"> </w:t>
      </w:r>
      <w:r>
        <w:rPr>
          <w:i/>
          <w:iCs/>
        </w:rPr>
        <w:t xml:space="preserve">Correct. Exclude exogenous glucocorticoids, then look for the discriminating features before anyone orders a test.</w:t>
      </w:r>
      <w:r>
        <w:t xml:space="preserve"> </w:t>
      </w:r>
      <w:r>
        <w:t xml:space="preserve">- ✗ Reassure her that Cushing's syndrome is too rare to consider. —</w:t>
      </w:r>
      <w:r>
        <w:t xml:space="preserve"> </w:t>
      </w:r>
      <w:r>
        <w:rPr>
          <w:i/>
          <w:iCs/>
        </w:rPr>
        <w:t xml:space="preserve">It is rare, but the guideline asks you to consider it when discriminating features cluster; reassurance comes after the history and examination.</w:t>
      </w:r>
    </w:p>
    <w:bookmarkEnd w:id="44"/>
    <w:bookmarkEnd w:id="45"/>
    <w:bookmarkStart w:id="51" w:name="X6f40ad31070981954e50d105e3c41a28edcfbe2"/>
    <w:p>
      <w:pPr>
        <w:pStyle w:val="Heading2"/>
      </w:pPr>
      <w:r>
        <w:t xml:space="preserve">Lesson 2.2 · Estrogen, menopause and dermal collagen</w:t>
      </w:r>
    </w:p>
    <w:bookmarkStart w:id="46" w:name="estrogen-and-the-dermis."/>
    <w:p>
      <w:pPr>
        <w:pStyle w:val="Heading3"/>
      </w:pPr>
      <w:r>
        <w:t xml:space="preserve">08 / 19 · Estrogen and the dermis.</w:t>
      </w:r>
    </w:p>
    <w:p>
      <w:pPr>
        <w:pStyle w:val="FirstParagraph"/>
      </w:pPr>
      <w:r>
        <w:rPr>
          <w:i/>
          <w:iCs/>
        </w:rPr>
        <w:t xml:space="preserve">Lesson 2.2 · Concept · audio</w:t>
      </w:r>
    </w:p>
    <w:p>
      <w:pPr>
        <w:pStyle w:val="BodyText"/>
      </w:pPr>
      <w:r>
        <w:t xml:space="preserve">Skin carries estrogen receptors (ERα, ERβ and the membrane receptor GPER) in both sun-protected and sun-damaged sites. In postmenopausal women, two weeks of topical estradiol raised collagen production in sun-protected hip skin; photoaged facial skin showed no such response. After menopause, small biopsy studies found skin collagen and thickness falling year by year, following years since menopause more closely than age. That is mechanism and natural history. What hormone therapy does to a face is a separate question.</w:t>
      </w:r>
    </w:p>
    <w:p>
      <w:pPr>
        <w:pStyle w:val="Compact"/>
        <w:numPr>
          <w:ilvl w:val="0"/>
          <w:numId w:val="1016"/>
        </w:numPr>
      </w:pPr>
      <w:r>
        <w:t xml:space="preserve">Receptors: ERα, ERβ and GPER in aged and photoaged skin</w:t>
      </w:r>
    </w:p>
    <w:p>
      <w:pPr>
        <w:pStyle w:val="Compact"/>
        <w:numPr>
          <w:ilvl w:val="0"/>
          <w:numId w:val="1016"/>
        </w:numPr>
      </w:pPr>
      <w:r>
        <w:t xml:space="preserve">Topical estradiol raises collagen in sun-protected skin only</w:t>
      </w:r>
    </w:p>
    <w:p>
      <w:pPr>
        <w:pStyle w:val="Compact"/>
        <w:numPr>
          <w:ilvl w:val="0"/>
          <w:numId w:val="1016"/>
        </w:numPr>
      </w:pPr>
      <w:r>
        <w:t xml:space="preserve">Collagen loss follows years since menopause</w:t>
      </w:r>
    </w:p>
    <w:p>
      <w:pPr>
        <w:pStyle w:val="FirstParagraph"/>
      </w:pPr>
      <w:r>
        <w:t xml:space="preserve">Narration script</w:t>
      </w:r>
    </w:p>
    <w:p>
      <w:pPr>
        <w:pStyle w:val="BodyText"/>
      </w:pPr>
      <w:r>
        <w:t xml:space="preserve">Estrogen is the hormone the guide says dominates the visible ageing of women's skin, so start with what it does in the dermis. Skin carries estrogen receptors in sun-protected and sun-damaged sites alike. In a vehicle-controlled study, two weeks of topical estradiol raised collagen production in the hip skin of postmenopausal women; in photoaged forearm and facial skin, the same treatment made no measurable difference. Small biopsy studies from the nineteen eighties and nineties found that skin collagen and thickness fall after menopause, and that the fall follows years since the last period more closely than birthdays. Keep two questions apart as you go. One is what estrogen does in the dermis. The other is whether giving it changes how a face ages, and those answers come from different trials.</w:t>
      </w:r>
    </w:p>
    <w:p>
      <w:pPr>
        <w:pStyle w:val="BodyText"/>
      </w:pPr>
      <w:r>
        <w:t xml:space="preserve">Sources: Rittié L 2008 · Thornton MJ 2013 · Brincat M 1985 · Affinito P 1999 · Aesthetic &amp; Regenerative Endocrinology — A Clinician's Pocket Guide 2026</w:t>
      </w:r>
    </w:p>
    <w:bookmarkEnd w:id="46"/>
    <w:bookmarkStart w:id="47" w:name="one-to-two-per-cent-a-year."/>
    <w:p>
      <w:pPr>
        <w:pStyle w:val="Heading3"/>
      </w:pPr>
      <w:r>
        <w:t xml:space="preserve">09 / 19 · One to two per cent a year.</w:t>
      </w:r>
    </w:p>
    <w:p>
      <w:pPr>
        <w:pStyle w:val="FirstParagraph"/>
      </w:pPr>
      <w:r>
        <w:rPr>
          <w:i/>
          <w:iCs/>
        </w:rPr>
        <w:t xml:space="preserve">The evidence · stat</w:t>
      </w:r>
    </w:p>
    <w:p>
      <w:pPr>
        <w:pStyle w:val="BodyText"/>
      </w:pPr>
      <w:r>
        <w:t xml:space="preserve">In small biopsy studies of postmenopausal women, skin collagen content and skin thickness fell by about 1–2% a year, in step with bone mass, and followed years since menopause more than age. Reviews, and the Aesthetic &amp; Regenerative Endocrinology guide, quote a steeper early loss of up to 30% in the first five years. That figure traces to the same small studies, and a check of their abstracts in September 2026 did not find it stated.</w:t>
      </w:r>
    </w:p>
    <w:p>
      <w:pPr>
        <w:pStyle w:val="BodyText"/>
      </w:pPr>
      <w:r>
        <w:rPr>
          <w:b/>
          <w:bCs/>
        </w:rPr>
        <w:t xml:space="preserve">1–2%</w:t>
      </w:r>
      <w:r>
        <w:t xml:space="preserve"> </w:t>
      </w:r>
      <w:r>
        <w:t xml:space="preserve">— fall in skin collagen content and thickness per year after menopause (small biopsy studies) (Brincat et al., 1987 — in parallel with bone mass)</w:t>
      </w:r>
      <w:r>
        <w:br/>
      </w:r>
      <w:r>
        <w:rPr>
          <w:i/>
          <w:iCs/>
        </w:rPr>
        <w:t xml:space="preserve">Means:</w:t>
      </w:r>
      <w:r>
        <w:t xml:space="preserve"> </w:t>
      </w:r>
      <w:r>
        <w:t xml:space="preserve">Estrogen withdrawal is a measurable contributor to dermal thinning, and it follows the menopause clock rather than age alone.</w:t>
      </w:r>
      <w:r>
        <w:br/>
      </w:r>
      <w:r>
        <w:rPr>
          <w:i/>
          <w:iCs/>
        </w:rPr>
        <w:t xml:space="preserve">Does not mean:</w:t>
      </w:r>
      <w:r>
        <w:t xml:space="preserve"> </w:t>
      </w:r>
      <w:r>
        <w:t xml:space="preserve">It does not show that hormone therapy restores a younger-looking face. These are small observational studies, mostly of non-facial skin; the treatment trials come next.</w:t>
      </w:r>
    </w:p>
    <w:p>
      <w:pPr>
        <w:pStyle w:val="BodyText"/>
      </w:pPr>
      <w:r>
        <w:t xml:space="preserve">Sources: Brincat M 1987 · Brincat M 1985 · Affinito P 1999 · Thornton MJ 2013 · Aesthetic &amp; Regenerative Endocrinology — A Clinician's Pocket Guide 2026</w:t>
      </w:r>
    </w:p>
    <w:bookmarkEnd w:id="47"/>
    <w:bookmarkStart w:id="48" w:name="biopsy-gains-mirror-results."/>
    <w:p>
      <w:pPr>
        <w:pStyle w:val="Heading3"/>
      </w:pPr>
      <w:r>
        <w:t xml:space="preserve">10 / 19 · Biopsy gains, mirror results.</w:t>
      </w:r>
    </w:p>
    <w:p>
      <w:pPr>
        <w:pStyle w:val="FirstParagraph"/>
      </w:pPr>
      <w:r>
        <w:rPr>
          <w:i/>
          <w:iCs/>
        </w:rPr>
        <w:t xml:space="preserve">Human evidence · tool</w:t>
      </w:r>
    </w:p>
    <w:p>
      <w:pPr>
        <w:pStyle w:val="BodyText"/>
      </w:pPr>
      <w:r>
        <w:t xml:space="preserve">Hormone therapy has two kinds of trial behind it. Small trials measure the dermis; larger trials measure the face. They point in different directions, so read them separately. The Aesthetic &amp; Regenerative Endocrinology guide grades the skin benefit B; the North American Menopause Society rates the same evidence 'limited or inconsistent'. This course grades the structural gains C and teaches the negative wrinkle trials alongside them.</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Systemic HT · skin thickness and collagen</w:t>
            </w:r>
          </w:p>
        </w:tc>
        <w:tc>
          <w:tcPr/>
          <w:p>
            <w:pPr>
              <w:pStyle w:val="Compact"/>
            </w:pPr>
            <w:r>
              <w:t xml:space="preserve">Increased · GRADE C</w:t>
            </w:r>
          </w:p>
        </w:tc>
        <w:tc>
          <w:tcPr/>
          <w:p>
            <w:pPr>
              <w:pStyle w:val="Compact"/>
            </w:pPr>
            <w:r>
              <w:t xml:space="preserve">Two small RCTs (60 and 41 women) measured hip and upper-arm skin</w:t>
            </w:r>
          </w:p>
        </w:tc>
      </w:tr>
      <w:tr>
        <w:tc>
          <w:tcPr/>
          <w:p>
            <w:pPr>
              <w:pStyle w:val="Compact"/>
            </w:pPr>
            <w:r>
              <w:t xml:space="preserve">Systemic HT · facial wrinkles</w:t>
            </w:r>
          </w:p>
        </w:tc>
        <w:tc>
          <w:tcPr/>
          <w:p>
            <w:pPr>
              <w:pStyle w:val="Compact"/>
            </w:pPr>
            <w:r>
              <w:t xml:space="preserve">No difference · GRADE B</w:t>
            </w:r>
          </w:p>
        </w:tc>
        <w:tc>
          <w:tcPr/>
          <w:p>
            <w:pPr>
              <w:pStyle w:val="Compact"/>
            </w:pPr>
            <w:r>
              <w:t xml:space="preserve">485 women for 48 weeks on low-dose therapy; a four-year trial in recently menopausal women also found no difference</w:t>
            </w:r>
          </w:p>
        </w:tc>
      </w:tr>
      <w:tr>
        <w:tc>
          <w:tcPr/>
          <w:p>
            <w:pPr>
              <w:pStyle w:val="Compact"/>
            </w:pPr>
            <w:r>
              <w:t xml:space="preserve">Pooled analysis (2023)</w:t>
            </w:r>
          </w:p>
        </w:tc>
        <w:tc>
          <w:tcPr/>
          <w:p>
            <w:pPr>
              <w:pStyle w:val="Compact"/>
            </w:pPr>
            <w:r>
              <w:t xml:space="preserve">Positive, heterogeneous · GRADE C</w:t>
            </w:r>
          </w:p>
        </w:tc>
        <w:tc>
          <w:tcPr/>
          <w:p>
            <w:pPr>
              <w:pStyle w:val="Compact"/>
            </w:pPr>
            <w:r>
              <w:t xml:space="preserve">Small studies, some non-randomized, varying widely; its authors do not propose hormone therapy as a skin treatment</w:t>
            </w:r>
          </w:p>
        </w:tc>
      </w:tr>
      <w:tr>
        <w:tc>
          <w:tcPr/>
          <w:p>
            <w:pPr>
              <w:pStyle w:val="Compact"/>
            </w:pPr>
            <w:r>
              <w:t xml:space="preserve">Topical estrogen on the face</w:t>
            </w:r>
          </w:p>
        </w:tc>
        <w:tc>
          <w:tcPr/>
          <w:p>
            <w:pPr>
              <w:pStyle w:val="Compact"/>
            </w:pPr>
            <w:r>
              <w:t xml:space="preserve">Small and mixed · GRADE C</w:t>
            </w:r>
          </w:p>
        </w:tc>
        <w:tc>
          <w:tcPr/>
          <w:p>
            <w:pPr>
              <w:pStyle w:val="Compact"/>
            </w:pPr>
            <w:r>
              <w:t xml:space="preserve">One 24-week RCT improved thickness and fine lines; a biopsy study found no collagen response in photoaged facial skin</w:t>
            </w:r>
          </w:p>
        </w:tc>
      </w:tr>
      <w:tr>
        <w:tc>
          <w:tcPr/>
          <w:p>
            <w:pPr>
              <w:pStyle w:val="Compact"/>
            </w:pPr>
            <w:r>
              <w:t xml:space="preserve">Topical estrogen · acute wounds</w:t>
            </w:r>
          </w:p>
        </w:tc>
        <w:tc>
          <w:tcPr/>
          <w:p>
            <w:pPr>
              <w:pStyle w:val="Compact"/>
            </w:pPr>
            <w:r>
              <w:t xml:space="preserve">Faster healing · GRADE C</w:t>
            </w:r>
          </w:p>
        </w:tc>
        <w:tc>
          <w:tcPr/>
          <w:p>
            <w:pPr>
              <w:pStyle w:val="Compact"/>
            </w:pPr>
            <w:r>
              <w:t xml:space="preserve">A small randomized study in healthy older adults</w:t>
            </w:r>
          </w:p>
        </w:tc>
      </w:tr>
    </w:tbl>
    <w:p>
      <w:pPr>
        <w:pStyle w:val="BodyText"/>
      </w:pPr>
      <w:r>
        <w:rPr>
          <w:b/>
          <w:bCs/>
        </w:rPr>
        <w:t xml:space="preserve">Callout:</w:t>
      </w:r>
      <w:r>
        <w:t xml:space="preserve"> </w:t>
      </w:r>
      <w:r>
        <w:t xml:space="preserve">A thicker dermis on biopsy and a younger-looking face are different outcomes. Ask which one a trial measured.</w:t>
      </w:r>
    </w:p>
    <w:p>
      <w:pPr>
        <w:pStyle w:val="BodyText"/>
      </w:pPr>
      <w:r>
        <w:t xml:space="preserve">Sources: Maheux R 1994 · Sauerbronn AV 2000 · Phillips TJ 2008 · Owen CM 2016 · Pivazyan L 2023 · Creidi P 1994 · Rittié L 2008 · Ashcroft GS 1999 · North American Menopause Society (2022 Hormone Therapy Advisory Panel) 2022 · Aesthetic &amp; Regenerative Endocrinology — A Clinician's Pocket Guide 2026</w:t>
      </w:r>
    </w:p>
    <w:bookmarkEnd w:id="48"/>
    <w:bookmarkStart w:id="49" w:name="symptoms-and-bone.-skin-is-a-bystander."/>
    <w:p>
      <w:pPr>
        <w:pStyle w:val="Heading3"/>
      </w:pPr>
      <w:r>
        <w:t xml:space="preserve">11 / 19 · Symptoms and bone. Skin is a bystander.</w:t>
      </w:r>
    </w:p>
    <w:p>
      <w:pPr>
        <w:pStyle w:val="FirstParagraph"/>
      </w:pPr>
      <w:r>
        <w:rPr>
          <w:i/>
          <w:iCs/>
        </w:rPr>
        <w:t xml:space="preserve">Regulatory status and indications · audio</w:t>
      </w:r>
    </w:p>
    <w:p>
      <w:pPr>
        <w:pStyle w:val="BodyText"/>
      </w:pPr>
      <w:r>
        <w:t xml:space="preserve">In the US, as of February 2026, FDA-approved menopausal hormone therapy is for moderate-to-severe hot flashes, vaginal and vulvar symptoms and, for some products, preventing bone loss. FDA's 2025–26 labeling changes removed cardiovascular, breast-cancer and dementia statements from the boxed warning; skin did not become an indication. The North American Menopause Society's 2022 statement finds benefit outweighs risk for bothersome symptoms and bone protection when therapy starts before 60 or within 10 years of menopause, and finds insufficient evidence for compounded 'bioidentical' hormones. Under US rules an over-the-counter 'hormone cream' is an unapproved drug. For the skin itself, daily sunscreen has a large randomized trial behind it, and one tretinoin cream is FDA-approved as an adjunct for fine facial wrinkles.</w:t>
      </w:r>
    </w:p>
    <w:p>
      <w:pPr>
        <w:pStyle w:val="Compact"/>
        <w:numPr>
          <w:ilvl w:val="0"/>
          <w:numId w:val="1017"/>
        </w:numPr>
      </w:pPr>
      <w:r>
        <w:t xml:space="preserve">Indications: hot flashes, genitourinary symptoms, bone</w:t>
      </w:r>
    </w:p>
    <w:p>
      <w:pPr>
        <w:pStyle w:val="Compact"/>
        <w:numPr>
          <w:ilvl w:val="0"/>
          <w:numId w:val="1017"/>
        </w:numPr>
      </w:pPr>
      <w:r>
        <w:t xml:space="preserve">Low-dose vaginal estrogen for GSM: the one estrogen-for-tissue use</w:t>
      </w:r>
    </w:p>
    <w:p>
      <w:pPr>
        <w:pStyle w:val="Compact"/>
        <w:numPr>
          <w:ilvl w:val="0"/>
          <w:numId w:val="1017"/>
        </w:numPr>
      </w:pPr>
      <w:r>
        <w:t xml:space="preserve">For the skin itself: daily sunscreen and a retinoid</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Prescribe hormone therapy for its labeled indications and the position statement's timing, and record that skin was discussed only as a secondary effect. Do not prescribe systemic or topical estrogen for wrinkles alone, and prefer FDA-approved products to compounded 'bioidentical' preparations.</w:t>
      </w:r>
      <w:r>
        <w:t xml:space="preserve"> </w:t>
      </w:r>
      <w:r>
        <w:t xml:space="preserve">-</w:t>
      </w:r>
      <w:r>
        <w:t xml:space="preserve"> </w:t>
      </w:r>
      <w:r>
        <w:rPr>
          <w:i/>
          <w:iCs/>
        </w:rPr>
        <w:t xml:space="preserve">Clinical staff:</w:t>
      </w:r>
      <w:r>
        <w:t xml:space="preserve"> </w:t>
      </w:r>
      <w:r>
        <w:t xml:space="preserve">If a patient asks for 'hormones for my skin', ask about hot flashes, sleep and vaginal symptoms, record what she says, and route those symptoms to the prescriber. The skin concern stays with skin-directed care.</w:t>
      </w:r>
      <w:r>
        <w:t xml:space="preserve"> </w:t>
      </w:r>
      <w:r>
        <w:t xml:space="preserve">-</w:t>
      </w:r>
      <w:r>
        <w:t xml:space="preserve"> </w:t>
      </w:r>
      <w:r>
        <w:rPr>
          <w:i/>
          <w:iCs/>
        </w:rPr>
        <w:t xml:space="preserve">Advisor:</w:t>
      </w:r>
      <w:r>
        <w:t xml:space="preserve"> </w:t>
      </w:r>
      <w:r>
        <w:t xml:space="preserve">In the US, a cream sold as containing estrogen for the face is regulated as a drug, and compounded 'bioidentical' products lack efficacy and safety data. Menopausal symptoms are a conversation for a prescriber; sun protection is advice you can give.</w:t>
      </w:r>
    </w:p>
    <w:p>
      <w:pPr>
        <w:pStyle w:val="BodyText"/>
      </w:pPr>
      <w:r>
        <w:t xml:space="preserve">Narration script</w:t>
      </w:r>
    </w:p>
    <w:p>
      <w:pPr>
        <w:pStyle w:val="BodyText"/>
      </w:pPr>
      <w:r>
        <w:t xml:space="preserve">Where does that leave hormone therapy for skin? In the United States, as of February 2026, the approved uses of menopausal hormone therapy are hot flashes, vaginal and vulvar symptoms, and for some products the prevention of bone loss. In late 2025 the FDA asked manufacturers to remove heart, breast cancer and dementia statements from the boxed warning, and it approved the first revised labels in February 2026. Skin still appears nowhere among the uses. The menopause society's 2022 position statement finds the balance favourable for symptoms and bone when therapy starts before sixty or within ten years of menopause, and it finds too little evidence for compounded bioidentical hormones. Low-dose vaginal estrogen for genitourinary symptoms is the one use aimed at the tissue itself. For the face, daily sunscreen and a prescription retinoid carry better evidence than any hormone. Treat symptoms on their merits, and count any skin change as a bonus.</w:t>
      </w:r>
    </w:p>
    <w:p>
      <w:pPr>
        <w:pStyle w:val="BodyText"/>
      </w:pPr>
      <w:r>
        <w:t xml:space="preserve">Sources: US Food and Drug Administration 2025 · US Food and Drug Administration 2026 · North American Menopause Society (2022 Hormone Therapy Advisory Panel) 2022 · North American Menopause Society (2020 GSM Editorial Panel) 2020 · Manson JE 2013 · US Food and Drug Administration 1993 · Hughes MC 2013 · Bausch Health US LLC (FDA-approved labeling) 2026 · Aesthetic &amp; Regenerative Endocrinology — A Clinician's Pocket Guide 2026</w:t>
      </w:r>
    </w:p>
    <w:bookmarkEnd w:id="49"/>
    <w:bookmarkStart w:id="50" w:name="hormones-for-my-skin."/>
    <w:p>
      <w:pPr>
        <w:pStyle w:val="Heading3"/>
      </w:pPr>
      <w:r>
        <w:t xml:space="preserve">12 / 19 · 'Hormones for my skin.'</w:t>
      </w:r>
    </w:p>
    <w:p>
      <w:pPr>
        <w:pStyle w:val="FirstParagraph"/>
      </w:pPr>
      <w:r>
        <w:rPr>
          <w:i/>
          <w:iCs/>
        </w:rPr>
        <w:t xml:space="preserve">Your turn · quiz</w:t>
      </w:r>
    </w:p>
    <w:p>
      <w:pPr>
        <w:pStyle w:val="BodyText"/>
      </w:pPr>
      <w:r>
        <w:t xml:space="preserve">One question to close lesson 2.2.</w:t>
      </w:r>
    </w:p>
    <w:p>
      <w:pPr>
        <w:pStyle w:val="BodyText"/>
      </w:pPr>
      <w:r>
        <w:rPr>
          <w:b/>
          <w:bCs/>
        </w:rPr>
        <w:t xml:space="preserve">Q.</w:t>
      </w:r>
      <w:r>
        <w:t xml:space="preserve"> </w:t>
      </w:r>
      <w:r>
        <w:t xml:space="preserve">A 52-year-old with no hot flashes, no sleep disturbance and no vaginal symptoms asks for estrogen 'to stop my face ageing'. What does the evidence support?</w:t>
      </w:r>
      <w:r>
        <w:t xml:space="preserve"> </w:t>
      </w:r>
      <w:r>
        <w:t xml:space="preserve">- ✗ Estrogen rebuilds collagen, so hormone therapy is a reasonable anti-ageing choice. —</w:t>
      </w:r>
      <w:r>
        <w:t xml:space="preserve"> </w:t>
      </w:r>
      <w:r>
        <w:rPr>
          <w:i/>
          <w:iCs/>
        </w:rPr>
        <w:t xml:space="preserve">That is the mechanism talking. Small trials show thicker skin, the largest trials found no difference in wrinkles, and skin is not an approved indication.</w:t>
      </w:r>
      <w:r>
        <w:t xml:space="preserve"> </w:t>
      </w:r>
      <w:r>
        <w:t xml:space="preserve">- ✗ A compounded 'bioidentical' estrogen face cream avoids the risks of systemic therapy. —</w:t>
      </w:r>
      <w:r>
        <w:t xml:space="preserve"> </w:t>
      </w:r>
      <w:r>
        <w:rPr>
          <w:i/>
          <w:iCs/>
        </w:rPr>
        <w:t xml:space="preserve">Compounded 'bioidentical' preparations lack efficacy and safety data and carry quality concerns; the menopause society says preference alone should not justify them.</w:t>
      </w:r>
      <w:r>
        <w:t xml:space="preserve"> </w:t>
      </w:r>
      <w:r>
        <w:t xml:space="preserve">- ✔ Skin alone is not a reason to start hormone therapy; offer skin-directed care such as daily sunscreen and a retinoid, and revisit therapy if menopausal symptoms appear. —</w:t>
      </w:r>
      <w:r>
        <w:t xml:space="preserve"> </w:t>
      </w:r>
      <w:r>
        <w:rPr>
          <w:i/>
          <w:iCs/>
        </w:rPr>
        <w:t xml:space="preserve">Correct. Symptoms decide hormone therapy. For skin, daily sunscreen has a large trial behind it and one tretinoin cream is FDA-approved as an adjunct for fine wrinkles.</w:t>
      </w:r>
    </w:p>
    <w:bookmarkEnd w:id="50"/>
    <w:bookmarkEnd w:id="51"/>
    <w:bookmarkStart w:id="59" w:name="X02b6753e440693264fe340306b0bfa541165ad3"/>
    <w:p>
      <w:pPr>
        <w:pStyle w:val="Heading2"/>
      </w:pPr>
      <w:r>
        <w:t xml:space="preserve">Lesson 2.3 · Skin hallmarks of inherited and systemic endocrinopathies</w:t>
      </w:r>
    </w:p>
    <w:bookmarkStart w:id="52" w:name="some-syndromes-show-on-the-skin-first."/>
    <w:p>
      <w:pPr>
        <w:pStyle w:val="Heading3"/>
      </w:pPr>
      <w:r>
        <w:t xml:space="preserve">13 / 19 · Some syndromes show on the skin first.</w:t>
      </w:r>
    </w:p>
    <w:p>
      <w:pPr>
        <w:pStyle w:val="FirstParagraph"/>
      </w:pPr>
      <w:r>
        <w:rPr>
          <w:i/>
          <w:iCs/>
        </w:rPr>
        <w:t xml:space="preserve">Lesson 2.3 · Concept · audio</w:t>
      </w:r>
    </w:p>
    <w:p>
      <w:pPr>
        <w:pStyle w:val="BodyText"/>
      </w:pPr>
      <w:r>
        <w:t xml:space="preserve">A handful of inherited endocrine syndromes appear on the skin before the glands declare themselves. In multiple endocrine neoplasia type 1 (MEN1), multiple facial angiofibromas and collagenomas are common. In Carney complex, lentigines on the lips, eyelids and canthi, blue naevi and small skin myxomas sit alongside myxomas of the heart and cortisol-secreting adrenal disease. In MEN2A, an itchy, rippled, pigmented plaque between the shoulder blades can precede medullary thyroid cancer.</w:t>
      </w:r>
    </w:p>
    <w:p>
      <w:pPr>
        <w:pStyle w:val="Compact"/>
        <w:numPr>
          <w:ilvl w:val="0"/>
          <w:numId w:val="1018"/>
        </w:numPr>
      </w:pPr>
      <w:r>
        <w:t xml:space="preserve">MEN1: facial angiofibromas, collagenomas</w:t>
      </w:r>
    </w:p>
    <w:p>
      <w:pPr>
        <w:pStyle w:val="Compact"/>
        <w:numPr>
          <w:ilvl w:val="0"/>
          <w:numId w:val="1018"/>
        </w:numPr>
      </w:pPr>
      <w:r>
        <w:t xml:space="preserve">Carney complex: lip and eyelid lentigines, myxomas</w:t>
      </w:r>
    </w:p>
    <w:p>
      <w:pPr>
        <w:pStyle w:val="Compact"/>
        <w:numPr>
          <w:ilvl w:val="0"/>
          <w:numId w:val="1018"/>
        </w:numPr>
      </w:pPr>
      <w:r>
        <w:t xml:space="preserve">MEN2A: lichen amyloidosis between the shoulder blades</w:t>
      </w:r>
    </w:p>
    <w:p>
      <w:pPr>
        <w:pStyle w:val="FirstParagraph"/>
      </w:pPr>
      <w:r>
        <w:t xml:space="preserve">Narration script</w:t>
      </w:r>
    </w:p>
    <w:p>
      <w:pPr>
        <w:pStyle w:val="BodyText"/>
      </w:pPr>
      <w:r>
        <w:t xml:space="preserve">Some endocrine syndromes are written on the skin years before the glands give them away. In multiple endocrine neoplasia type one, most patients in one careful series had several facial angiofibromas, the same lesions seen in tuberous sclerosis, along with collagenomas on the trunk. In Carney complex, usually caused by inactivating variants in the PRKAR1A gene, freckle-like lentigines cluster on the lips, eyelids and the corners of the eyes, alongside blue naevi and small skin myxomas. The same patients can develop myxomas in the heart and cortisol-secreting adrenal disease. In MEN two A, an itchy, rippled, darkened patch between the shoulder blades, called cutaneous lichen amyloidosis, can appear long before medullary thyroid cancer. Each of these is a referral finding, and none of them is yours to diagnose alone.</w:t>
      </w:r>
    </w:p>
    <w:p>
      <w:pPr>
        <w:pStyle w:val="BodyText"/>
      </w:pPr>
      <w:r>
        <w:t xml:space="preserve">Sources: Darling TN 1997 · Kirschner LS 2000 · Correa R 2015 · Stanescu LS 2024 · Lause M 2017 · Aesthetic &amp; Regenerative Endocrinology — A Clinician's Pocket Guide 2026</w:t>
      </w:r>
    </w:p>
    <w:bookmarkEnd w:id="52"/>
    <w:bookmarkStart w:id="53" w:name="eighty-eight-per-cent."/>
    <w:p>
      <w:pPr>
        <w:pStyle w:val="Heading3"/>
      </w:pPr>
      <w:r>
        <w:t xml:space="preserve">14 / 19 · Eighty-eight per cent.</w:t>
      </w:r>
    </w:p>
    <w:p>
      <w:pPr>
        <w:pStyle w:val="FirstParagraph"/>
      </w:pPr>
      <w:r>
        <w:rPr>
          <w:i/>
          <w:iCs/>
        </w:rPr>
        <w:t xml:space="preserve">The evidence · stat</w:t>
      </w:r>
    </w:p>
    <w:p>
      <w:pPr>
        <w:pStyle w:val="BodyText"/>
      </w:pPr>
      <w:r>
        <w:t xml:space="preserve">In a consecutive series of 32 people with MEN1 examined at the US National Institutes of Health, 88% had multiple facial angiofibromas and 72% had collagenomas. The angiofibromas were clinically and histologically identical to those of tuberous sclerosis. The authors concluded that angiofibromas in someone without tuberous sclerosis call for biochemical testing for MEN1.</w:t>
      </w:r>
    </w:p>
    <w:p>
      <w:pPr>
        <w:pStyle w:val="BodyText"/>
      </w:pPr>
      <w:r>
        <w:rPr>
          <w:b/>
          <w:bCs/>
        </w:rPr>
        <w:t xml:space="preserve">88%</w:t>
      </w:r>
      <w:r>
        <w:t xml:space="preserve"> </w:t>
      </w:r>
      <w:r>
        <w:t xml:space="preserve">— of 32 people with MEN1 had multiple facial angiofibromas (Darling et al., 1997 — collagenomas in 72%)</w:t>
      </w:r>
      <w:r>
        <w:br/>
      </w:r>
      <w:r>
        <w:rPr>
          <w:i/>
          <w:iCs/>
        </w:rPr>
        <w:t xml:space="preserve">Means:</w:t>
      </w:r>
      <w:r>
        <w:t xml:space="preserve"> </w:t>
      </w:r>
      <w:r>
        <w:t xml:space="preserve">Multiple facial angiofibromas are common in MEN1 and can be its first visible sign; in someone without tuberous sclerosis they are a reason for endocrine testing, whatever the cosmetic plan.</w:t>
      </w:r>
      <w:r>
        <w:br/>
      </w:r>
      <w:r>
        <w:rPr>
          <w:i/>
          <w:iCs/>
        </w:rPr>
        <w:t xml:space="preserve">Does not mean:</w:t>
      </w:r>
      <w:r>
        <w:t xml:space="preserve"> </w:t>
      </w:r>
      <w:r>
        <w:t xml:space="preserve">It does not mean a single facial papule is MEN1. This is one small referral-centre series, and angiofibromas have other causes, tuberous sclerosis above all.</w:t>
      </w:r>
    </w:p>
    <w:p>
      <w:pPr>
        <w:pStyle w:val="BodyText"/>
      </w:pPr>
      <w:r>
        <w:t xml:space="preserve">Sources: Darling TN 1997 · Aesthetic &amp; Regenerative Endocrinology — A Clinician's Pocket Guide 2026</w:t>
      </w:r>
    </w:p>
    <w:bookmarkEnd w:id="53"/>
    <w:bookmarkStart w:id="54" w:name="the-everyday-endocrine-signs."/>
    <w:p>
      <w:pPr>
        <w:pStyle w:val="Heading3"/>
      </w:pPr>
      <w:r>
        <w:t xml:space="preserve">15 / 19 · The everyday endocrine signs.</w:t>
      </w:r>
    </w:p>
    <w:p>
      <w:pPr>
        <w:pStyle w:val="FirstParagraph"/>
      </w:pPr>
      <w:r>
        <w:rPr>
          <w:i/>
          <w:iCs/>
        </w:rPr>
        <w:t xml:space="preserve">Concept · audio</w:t>
      </w:r>
    </w:p>
    <w:p>
      <w:pPr>
        <w:pStyle w:val="BodyText"/>
      </w:pPr>
      <w:r>
        <w:t xml:space="preserve">Most endocrine skin signs you meet come from common disease. New generalised darkening, strongest in skin creases, scars, mucosa and sun-exposed skin, can signal primary adrenal insufficiency, which can turn into a life-threatening crisis. Hirsutism that appears fast, keeps progressing, or comes with a deepening voice or clitoromegaly makes an androgen-secreting tumour more likely. Velvety dark plaques of acanthosis nigricans track insulin resistance, pretibial myxoedema points to Graves' disease, and cold, dry skin suggests hypothyroidism.</w:t>
      </w:r>
    </w:p>
    <w:p>
      <w:pPr>
        <w:pStyle w:val="Compact"/>
        <w:numPr>
          <w:ilvl w:val="0"/>
          <w:numId w:val="1019"/>
        </w:numPr>
      </w:pPr>
      <w:r>
        <w:t xml:space="preserve">Darkening in creases, scars and gums: adrenal insufficiency</w:t>
      </w:r>
    </w:p>
    <w:p>
      <w:pPr>
        <w:pStyle w:val="Compact"/>
        <w:numPr>
          <w:ilvl w:val="0"/>
          <w:numId w:val="1019"/>
        </w:numPr>
      </w:pPr>
      <w:r>
        <w:t xml:space="preserve">Rapid hirsutism or virilization: exclude a tumour</w:t>
      </w:r>
    </w:p>
    <w:p>
      <w:pPr>
        <w:pStyle w:val="Compact"/>
        <w:numPr>
          <w:ilvl w:val="0"/>
          <w:numId w:val="1019"/>
        </w:numPr>
      </w:pPr>
      <w:r>
        <w:t xml:space="preserve">Acanthosis, pretibial plaques, dry cool skin: metabolic and thyroid</w:t>
      </w:r>
    </w:p>
    <w:p>
      <w:pPr>
        <w:pStyle w:val="FirstParagraph"/>
      </w:pPr>
      <w:r>
        <w:t xml:space="preserve">Narration script</w:t>
      </w:r>
    </w:p>
    <w:p>
      <w:pPr>
        <w:pStyle w:val="BodyText"/>
      </w:pPr>
      <w:r>
        <w:t xml:space="preserve">Most of the endocrine skin signs you will actually meet come from common conditions. New, generalised darkening, most obvious in skin creases such as the palms, in scars, on the gums and on sun-exposed skin, can be the sign of primary adrenal insufficiency. In a patient who is also unwell, the Endocrine Society recommends testing, and a suspected adrenal crisis is treated before the results come back, because delay raises the risk of death. Hirsutism that arrives quickly, keeps progressing, or comes with a deeper voice or clitoromegaly makes an androgen-secreting tumour more likely, and more than half of those tumours are malignant. Velvety dark plaques in the neck folds track insulin resistance. Firm plaques on the shins point to Graves' disease, and cold, dry, coarse skin suggests an underactive thyroid. The skin shows you which door to knock on.</w:t>
      </w:r>
    </w:p>
    <w:p>
      <w:pPr>
        <w:pStyle w:val="BodyText"/>
      </w:pPr>
      <w:r>
        <w:t xml:space="preserve">Sources: Bornstein SR 2016 · Martin KA 2018 · Lause M 2017 · Aesthetic &amp; Regenerative Endocrinology — A Clinician's Pocket Guide 2026</w:t>
      </w:r>
    </w:p>
    <w:bookmarkEnd w:id="54"/>
    <w:bookmarkStart w:id="55" w:name="where-does-this-skin-finding-go"/>
    <w:p>
      <w:pPr>
        <w:pStyle w:val="Heading3"/>
      </w:pPr>
      <w:r>
        <w:t xml:space="preserve">16 / 19 · Where does this skin finding go?</w:t>
      </w:r>
    </w:p>
    <w:p>
      <w:pPr>
        <w:pStyle w:val="FirstParagraph"/>
      </w:pPr>
      <w:r>
        <w:rPr>
          <w:i/>
          <w:iCs/>
        </w:rPr>
        <w:t xml:space="preserve">Triage · tool</w:t>
      </w:r>
    </w:p>
    <w:p>
      <w:pPr>
        <w:pStyle w:val="BodyText"/>
      </w:pPr>
      <w:r>
        <w:t xml:space="preserve">Seven presentations from an aesthetic list, and three routes. Your job is to route the finding, not to make the diagnosis. The verdict and the source behind each appear as you answer.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Urgent assessment</w:t>
            </w:r>
          </w:p>
        </w:tc>
        <w:tc>
          <w:tcPr/>
          <w:p>
            <w:pPr>
              <w:pStyle w:val="Compact"/>
            </w:pPr>
            <w:r>
              <w:t xml:space="preserve">Before any cosmetic treatment</w:t>
            </w:r>
          </w:p>
        </w:tc>
        <w:tc>
          <w:tcPr/>
          <w:p>
            <w:pPr>
              <w:pStyle w:val="Compact"/>
            </w:pPr>
            <w:r>
              <w:t xml:space="preserve">Findings that suggest a hormone-secreting tumour or an adrenal crisis</w:t>
            </w:r>
          </w:p>
        </w:tc>
      </w:tr>
      <w:tr>
        <w:tc>
          <w:tcPr/>
          <w:p>
            <w:pPr>
              <w:pStyle w:val="Compact"/>
            </w:pPr>
            <w:r>
              <w:t xml:space="preserve">Endocrine referral</w:t>
            </w:r>
          </w:p>
        </w:tc>
        <w:tc>
          <w:tcPr/>
          <w:p>
            <w:pPr>
              <w:pStyle w:val="Compact"/>
            </w:pPr>
            <w:r>
              <w:t xml:space="preserve">Planned work-up</w:t>
            </w:r>
          </w:p>
        </w:tc>
        <w:tc>
          <w:tcPr/>
          <w:p>
            <w:pPr>
              <w:pStyle w:val="Compact"/>
            </w:pPr>
            <w:r>
              <w:t xml:space="preserve">Findings that point to treatable or inherited endocrine disease</w:t>
            </w:r>
          </w:p>
        </w:tc>
      </w:tr>
      <w:tr>
        <w:tc>
          <w:tcPr/>
          <w:p>
            <w:pPr>
              <w:pStyle w:val="Compact"/>
            </w:pPr>
            <w:r>
              <w:t xml:space="preserve">No endocrine flag on this alone</w:t>
            </w:r>
          </w:p>
        </w:tc>
        <w:tc>
          <w:tcPr/>
          <w:p>
            <w:pPr>
              <w:pStyle w:val="Compact"/>
            </w:pPr>
            <w:r>
              <w:t xml:space="preserve">Skin-directed care</w:t>
            </w:r>
          </w:p>
        </w:tc>
        <w:tc>
          <w:tcPr/>
          <w:p>
            <w:pPr>
              <w:pStyle w:val="Compact"/>
            </w:pPr>
            <w:r>
              <w:t xml:space="preserve">Common findings without discriminating features; reassess if others appear</w:t>
            </w:r>
          </w:p>
        </w:tc>
      </w:tr>
    </w:tbl>
    <w:p>
      <w:pPr>
        <w:pStyle w:val="BodyText"/>
      </w:pPr>
      <w:r>
        <w:rPr>
          <w:b/>
          <w:bCs/>
        </w:rPr>
        <w:t xml:space="preserve">Callout:</w:t>
      </w:r>
      <w:r>
        <w:t xml:space="preserve"> </w:t>
      </w:r>
      <w:r>
        <w:t xml:space="preserve">You route; the endocrinologist diagnoses.</w:t>
      </w:r>
    </w:p>
    <w:p>
      <w:pPr>
        <w:pStyle w:val="BodyText"/>
      </w:pPr>
      <w:r>
        <w:rPr>
          <w:b/>
          <w:bCs/>
        </w:rPr>
        <w:t xml:space="preserve">Exercise (quickfire) · Route the finding</w:t>
      </w:r>
      <w:r>
        <w:t xml:space="preserve"> </w:t>
      </w:r>
      <w:r>
        <w:t xml:space="preserve">— One patient at a time: which route does this finding take?</w:t>
      </w:r>
      <w:r>
        <w:t xml:space="preserve"> </w:t>
      </w:r>
      <w:r>
        <w:t xml:space="preserve">- Coarse chin and chest hair over four months; her voice has deepened →</w:t>
      </w:r>
      <w:r>
        <w:t xml:space="preserve"> </w:t>
      </w:r>
      <w:r>
        <w:rPr>
          <w:b/>
          <w:bCs/>
        </w:rPr>
        <w:t xml:space="preserve">Urgent assessment</w:t>
      </w:r>
      <w:r>
        <w:t xml:space="preserve"> </w:t>
      </w:r>
      <w:r>
        <w:t xml:space="preserve">—</w:t>
      </w:r>
      <w:r>
        <w:t xml:space="preserve"> </w:t>
      </w:r>
      <w:r>
        <w:rPr>
          <w:i/>
          <w:iCs/>
        </w:rPr>
        <w:t xml:space="preserve">Rapid progression with virilization raises the likelihood of an androgen-secreting tumour, over half of which are malignant (Endocrine Society, 2018). The guide calls rapid virilization the one finding that demands urgent work-up.</w:t>
      </w:r>
      <w:r>
        <w:t xml:space="preserve"> </w:t>
      </w:r>
      <w:r>
        <w:t xml:space="preserve">- Darkening of palm creases and gums, weight loss, feeling faint on standing →</w:t>
      </w:r>
      <w:r>
        <w:t xml:space="preserve"> </w:t>
      </w:r>
      <w:r>
        <w:rPr>
          <w:b/>
          <w:bCs/>
        </w:rPr>
        <w:t xml:space="preserve">Urgent assessment</w:t>
      </w:r>
      <w:r>
        <w:t xml:space="preserve"> </w:t>
      </w:r>
      <w:r>
        <w:t xml:space="preserve">—</w:t>
      </w:r>
      <w:r>
        <w:t xml:space="preserve"> </w:t>
      </w:r>
      <w:r>
        <w:rPr>
          <w:i/>
          <w:iCs/>
        </w:rPr>
        <w:t xml:space="preserve">Hyperpigmentation with systemic symptoms suggests primary adrenal insufficiency; the guideline recommends testing in unwell patients and treating a suspected crisis without waiting for results.</w:t>
      </w:r>
      <w:r>
        <w:t xml:space="preserve"> </w:t>
      </w:r>
      <w:r>
        <w:t xml:space="preserve">- Wide purple abdominal striae, easy bruising, trouble climbing stairs →</w:t>
      </w:r>
      <w:r>
        <w:t xml:space="preserve"> </w:t>
      </w:r>
      <w:r>
        <w:rPr>
          <w:b/>
          <w:bCs/>
        </w:rPr>
        <w:t xml:space="preserve">Endocrine referral</w:t>
      </w:r>
      <w:r>
        <w:t xml:space="preserve"> </w:t>
      </w:r>
      <w:r>
        <w:t xml:space="preserve">—</w:t>
      </w:r>
      <w:r>
        <w:t xml:space="preserve"> </w:t>
      </w:r>
      <w:r>
        <w:rPr>
          <w:i/>
          <w:iCs/>
        </w:rPr>
        <w:t xml:space="preserve">Several discriminating features together: the guideline recommends testing for Cushing's syndrome, and the guide lists it for prompt endocrine referral.</w:t>
      </w:r>
      <w:r>
        <w:t xml:space="preserve"> </w:t>
      </w:r>
      <w:r>
        <w:t xml:space="preserve">- Several facial angiofibromas, no tuberous sclerosis; her father had parathyroid surgery →</w:t>
      </w:r>
      <w:r>
        <w:t xml:space="preserve"> </w:t>
      </w:r>
      <w:r>
        <w:rPr>
          <w:b/>
          <w:bCs/>
        </w:rPr>
        <w:t xml:space="preserve">Endocrine referral</w:t>
      </w:r>
      <w:r>
        <w:t xml:space="preserve"> </w:t>
      </w:r>
      <w:r>
        <w:t xml:space="preserve">—</w:t>
      </w:r>
      <w:r>
        <w:t xml:space="preserve"> </w:t>
      </w:r>
      <w:r>
        <w:rPr>
          <w:i/>
          <w:iCs/>
        </w:rPr>
        <w:t xml:space="preserve">Angiofibromas outside tuberous sclerosis call for biochemical testing for MEN1, and a relative with parathyroid disease strengthens the case.</w:t>
      </w:r>
      <w:r>
        <w:t xml:space="preserve"> </w:t>
      </w:r>
      <w:r>
        <w:t xml:space="preserve">- Itchy, rippled brown patch between the shoulder blades; an aunt had thyroid cancer →</w:t>
      </w:r>
      <w:r>
        <w:t xml:space="preserve"> </w:t>
      </w:r>
      <w:r>
        <w:rPr>
          <w:b/>
          <w:bCs/>
        </w:rPr>
        <w:t xml:space="preserve">Endocrine referral</w:t>
      </w:r>
      <w:r>
        <w:t xml:space="preserve"> </w:t>
      </w:r>
      <w:r>
        <w:t xml:space="preserve">—</w:t>
      </w:r>
      <w:r>
        <w:t xml:space="preserve"> </w:t>
      </w:r>
      <w:r>
        <w:rPr>
          <w:i/>
          <w:iCs/>
        </w:rPr>
        <w:t xml:space="preserve">Interscapular lichen amyloidosis clusters with RET variants in MEN2A and can precede medullary thyroid cancer; with that family history it needs endocrine and genetic assessment.</w:t>
      </w:r>
      <w:r>
        <w:t xml:space="preserve"> </w:t>
      </w:r>
      <w:r>
        <w:t xml:space="preserve">- Puffy face after late nights; no bruising, striae or weakness →</w:t>
      </w:r>
      <w:r>
        <w:t xml:space="preserve"> </w:t>
      </w:r>
      <w:r>
        <w:rPr>
          <w:b/>
          <w:bCs/>
        </w:rPr>
        <w:t xml:space="preserve">No endocrine flag alone</w:t>
      </w:r>
      <w:r>
        <w:t xml:space="preserve"> </w:t>
      </w:r>
      <w:r>
        <w:t xml:space="preserve">—</w:t>
      </w:r>
      <w:r>
        <w:t xml:space="preserve"> </w:t>
      </w:r>
      <w:r>
        <w:rPr>
          <w:i/>
          <w:iCs/>
        </w:rPr>
        <w:t xml:space="preserve">Facial fullness alone is a common, weakly discriminating feature, and the guideline advises against testing everyone. Reassess if discriminating features appear.</w:t>
      </w:r>
      <w:r>
        <w:t xml:space="preserve"> </w:t>
      </w:r>
      <w:r>
        <w:t xml:space="preserve">- A few coarse hairs on the chin only; regular periods →</w:t>
      </w:r>
      <w:r>
        <w:t xml:space="preserve"> </w:t>
      </w:r>
      <w:r>
        <w:rPr>
          <w:b/>
          <w:bCs/>
        </w:rPr>
        <w:t xml:space="preserve">No endocrine flag alone</w:t>
      </w:r>
      <w:r>
        <w:t xml:space="preserve"> </w:t>
      </w:r>
      <w:r>
        <w:t xml:space="preserve">—</w:t>
      </w:r>
      <w:r>
        <w:t xml:space="preserve"> </w:t>
      </w:r>
      <w:r>
        <w:rPr>
          <w:i/>
          <w:iCs/>
        </w:rPr>
        <w:t xml:space="preserve">The Endocrine Society suggests against androgen testing in women with regular cycles and unwanted local hair without an abnormal hirsutism score. Hair removal is a reasonable cosmetic choice.</w:t>
      </w:r>
    </w:p>
    <w:p>
      <w:pPr>
        <w:pStyle w:val="BodyText"/>
      </w:pPr>
      <w:r>
        <w:t xml:space="preserve">Sources: Martin KA 2018 · Bornstein SR 2016 · Nieman LK 2008 · Darling TN 1997 · Stanescu LS 2024 · Lause M 2017 · Aesthetic &amp; Regenerative Endocrinology — A Clinician's Pocket Guide 2026</w:t>
      </w:r>
    </w:p>
    <w:bookmarkEnd w:id="55"/>
    <w:bookmarkStart w:id="56" w:name="freckles-before-the-wedding."/>
    <w:p>
      <w:pPr>
        <w:pStyle w:val="Heading3"/>
      </w:pPr>
      <w:r>
        <w:t xml:space="preserve">17 / 19 · Freckles before the wedding.</w:t>
      </w:r>
    </w:p>
    <w:p>
      <w:pPr>
        <w:pStyle w:val="FirstParagraph"/>
      </w:pPr>
      <w:r>
        <w:rPr>
          <w:i/>
          <w:iCs/>
        </w:rPr>
        <w:t xml:space="preserve">Fictional case · audio</w:t>
      </w:r>
    </w:p>
    <w:p>
      <w:pPr>
        <w:pStyle w:val="BodyText"/>
      </w:pPr>
      <w:r>
        <w:t xml:space="preserve">A 29-year-old asks for laser removal of 'freckles' on her lips and at the corners of her eyes before her wedding. You notice a soft, skin-coloured papule on one eyelid. She mentions her father had 'a heart tumour' removed in his thirties. This is a fictional case built from the lesson's evidence; choose the first move that fits it.</w:t>
      </w:r>
    </w:p>
    <w:p>
      <w:pPr>
        <w:pStyle w:val="Compact"/>
        <w:numPr>
          <w:ilvl w:val="0"/>
          <w:numId w:val="1020"/>
        </w:numPr>
      </w:pPr>
      <w:r>
        <w:t xml:space="preserve">Lip and canthal lentigines: typical of Carney complex</w:t>
      </w:r>
    </w:p>
    <w:p>
      <w:pPr>
        <w:pStyle w:val="Compact"/>
        <w:numPr>
          <w:ilvl w:val="0"/>
          <w:numId w:val="1020"/>
        </w:numPr>
      </w:pPr>
      <w:r>
        <w:t xml:space="preserve">Eyelid papule: a possible cutaneous myxoma</w:t>
      </w:r>
    </w:p>
    <w:p>
      <w:pPr>
        <w:pStyle w:val="Compact"/>
        <w:numPr>
          <w:ilvl w:val="0"/>
          <w:numId w:val="1020"/>
        </w:numPr>
      </w:pPr>
      <w:r>
        <w:t xml:space="preserve">A family heart tumour: the reason not to wait</w:t>
      </w:r>
    </w:p>
    <w:p>
      <w:pPr>
        <w:pStyle w:val="FirstParagraph"/>
      </w:pPr>
      <w:r>
        <w:rPr>
          <w:b/>
          <w:bCs/>
        </w:rPr>
        <w:t xml:space="preserve">Exercise (scenario) · What do you do first?</w:t>
      </w:r>
      <w:r>
        <w:t xml:space="preserve"> </w:t>
      </w:r>
      <w:r>
        <w:t xml:space="preserve">—</w:t>
      </w:r>
    </w:p>
    <w:p>
      <w:pPr>
        <w:pStyle w:val="BodyText"/>
      </w:pPr>
      <w:r>
        <w:t xml:space="preserve">A 29-year-old asks for laser removal of 'freckles' on her lips and at the corners of her eyes before her wedding. You notice a soft, skin-coloured papule on one eyelid. She mentions her father had 'a heart tumour' removed in his thirties.</w:t>
      </w:r>
    </w:p>
    <w:p>
      <w:pPr>
        <w:pStyle w:val="Compact"/>
        <w:numPr>
          <w:ilvl w:val="0"/>
          <w:numId w:val="1021"/>
        </w:numPr>
      </w:pPr>
      <w:r>
        <w:t xml:space="preserve">✗ Proceed with the laser: lentigines are benign and she has a deadline. —</w:t>
      </w:r>
      <w:r>
        <w:t xml:space="preserve"> </w:t>
      </w:r>
      <w:r>
        <w:rPr>
          <w:i/>
          <w:iCs/>
        </w:rPr>
        <w:t xml:space="preserve">The spots may well be benign. Their distribution, the eyelid papule and the family history are what matter, and together they flag a possible syndrome.</w:t>
      </w:r>
    </w:p>
    <w:p>
      <w:pPr>
        <w:pStyle w:val="Compact"/>
        <w:numPr>
          <w:ilvl w:val="0"/>
          <w:numId w:val="1021"/>
        </w:numPr>
      </w:pPr>
      <w:r>
        <w:t xml:space="preserve">✔ Pause the cosmetic plan, document the findings and family history, and refer her promptly for endocrine and genetic assessment. —</w:t>
      </w:r>
      <w:r>
        <w:t xml:space="preserve"> </w:t>
      </w:r>
      <w:r>
        <w:rPr>
          <w:i/>
          <w:iCs/>
        </w:rPr>
        <w:t xml:space="preserve">Right. Canthal and lip lentigines with a possible myxoma and a family cardiac tumour fit Carney complex, where early echocardiographic screening matters. You route; the specialist diagnoses.</w:t>
      </w:r>
    </w:p>
    <w:p>
      <w:pPr>
        <w:pStyle w:val="Compact"/>
        <w:numPr>
          <w:ilvl w:val="0"/>
          <w:numId w:val="1021"/>
        </w:numPr>
      </w:pPr>
      <w:r>
        <w:t xml:space="preserve">✗ Order a cortisol test to check for Cushing's before deciding. —</w:t>
      </w:r>
      <w:r>
        <w:t xml:space="preserve"> </w:t>
      </w:r>
      <w:r>
        <w:rPr>
          <w:i/>
          <w:iCs/>
        </w:rPr>
        <w:t xml:space="preserve">Cortisol excess is one feature of Carney complex, but a single test neither assesses the syndrome nor its cardiac risk. Referral comes first.</w:t>
      </w:r>
    </w:p>
    <w:p>
      <w:pPr>
        <w:pStyle w:val="FirstParagraph"/>
      </w:pPr>
      <w:r>
        <w:t xml:space="preserve">Follow-up: Then explain why in plain words: the pattern of spots, the eyelid bump and her father's history together deserve a specialist's look, and the laser can wait.</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Document the lentigines, the eyelid lesion and the family history, refer to endocrinology or clinical genetics, and leave echocardiography and testing to that assessment. Defer the laser until then.</w:t>
      </w:r>
      <w:r>
        <w:t xml:space="preserve"> </w:t>
      </w:r>
      <w:r>
        <w:t xml:space="preserve">-</w:t>
      </w:r>
      <w:r>
        <w:t xml:space="preserve"> </w:t>
      </w:r>
      <w:r>
        <w:rPr>
          <w:i/>
          <w:iCs/>
        </w:rPr>
        <w:t xml:space="preserve">Clinical staff:</w:t>
      </w:r>
      <w:r>
        <w:t xml:space="preserve"> </w:t>
      </w:r>
      <w:r>
        <w:t xml:space="preserve">Hold the booking, photograph with consent if your setting allows, record the family history in her words, and bring it to the prescriber the same day.</w:t>
      </w:r>
      <w:r>
        <w:t xml:space="preserve"> </w:t>
      </w:r>
      <w:r>
        <w:t xml:space="preserve">-</w:t>
      </w:r>
      <w:r>
        <w:t xml:space="preserve"> </w:t>
      </w:r>
      <w:r>
        <w:rPr>
          <w:i/>
          <w:iCs/>
        </w:rPr>
        <w:t xml:space="preserve">Advisor:</w:t>
      </w:r>
      <w:r>
        <w:t xml:space="preserve"> </w:t>
      </w:r>
      <w:r>
        <w:t xml:space="preserve">Explain that the pattern of spots is worth a specialist's look before any cosmetic treatment, and point her to a prescriber; do not suggest a product to fade them.</w:t>
      </w:r>
    </w:p>
    <w:p>
      <w:pPr>
        <w:pStyle w:val="BodyText"/>
      </w:pPr>
      <w:r>
        <w:t xml:space="preserve">Narration script</w:t>
      </w:r>
    </w:p>
    <w:p>
      <w:pPr>
        <w:pStyle w:val="BodyText"/>
      </w:pPr>
      <w:r>
        <w:t xml:space="preserve">Consider a fictional patient, built from this lesson's evidence. She is twenty-nine and wants the freckles on her lips and at the corners of her eyes lasered before her wedding. While you examine her you notice a soft, skin-coloured bump on one eyelid. She mentions that her father had a heart tumour removed in his thirties. Pigmented spots at the corners of the eyes are seen in Carney complex and Peutz–Jeghers syndrome, and small skin myxomas favour the eyelids and ears. In Carney complex, tumours of the heart cause more than half of the deaths, which is why screening matters once the diagnosis is suspected. The laser itself may be harmless. The question is what the skin is telling you. Choose your first move.</w:t>
      </w:r>
    </w:p>
    <w:p>
      <w:pPr>
        <w:pStyle w:val="BodyText"/>
      </w:pPr>
      <w:r>
        <w:t xml:space="preserve">Sources: Correa R 2015 · Kirschner LS 2000 · Lause M 2017 · Aesthetic &amp; Regenerative Endocrinology — A Clinician's Pocket Guide 2026</w:t>
      </w:r>
    </w:p>
    <w:bookmarkEnd w:id="56"/>
    <w:bookmarkStart w:id="57" w:name="hair-removal-or-referral"/>
    <w:p>
      <w:pPr>
        <w:pStyle w:val="Heading3"/>
      </w:pPr>
      <w:r>
        <w:t xml:space="preserve">18 / 19 · Hair removal, or referral?</w:t>
      </w:r>
    </w:p>
    <w:p>
      <w:pPr>
        <w:pStyle w:val="FirstParagraph"/>
      </w:pPr>
      <w:r>
        <w:rPr>
          <w:i/>
          <w:iCs/>
        </w:rPr>
        <w:t xml:space="preserve">Your turn · quiz</w:t>
      </w:r>
    </w:p>
    <w:p>
      <w:pPr>
        <w:pStyle w:val="BodyText"/>
      </w:pPr>
      <w:r>
        <w:t xml:space="preserve">One question to close lesson 2.3.</w:t>
      </w:r>
    </w:p>
    <w:p>
      <w:pPr>
        <w:pStyle w:val="BodyText"/>
      </w:pPr>
      <w:r>
        <w:rPr>
          <w:b/>
          <w:bCs/>
        </w:rPr>
        <w:t xml:space="preserve">Q.</w:t>
      </w:r>
      <w:r>
        <w:t xml:space="preserve"> </w:t>
      </w:r>
      <w:r>
        <w:t xml:space="preserve">A 31-year-old wants laser hair removal for coarse hair on her chin and chest that appeared over four months. Her voice has deepened. What comes first?</w:t>
      </w:r>
      <w:r>
        <w:t xml:space="preserve"> </w:t>
      </w:r>
      <w:r>
        <w:t xml:space="preserve">- ✗ Start the laser now and review her in three months. —</w:t>
      </w:r>
      <w:r>
        <w:t xml:space="preserve"> </w:t>
      </w:r>
      <w:r>
        <w:rPr>
          <w:i/>
          <w:iCs/>
        </w:rPr>
        <w:t xml:space="preserve">Rapid onset with virilization raises the likelihood of an androgen-secreting tumour; hair removal does nothing about it.</w:t>
      </w:r>
      <w:r>
        <w:t xml:space="preserve"> </w:t>
      </w:r>
      <w:r>
        <w:t xml:space="preserve">- ✔ Urgent endocrine assessment for an androgen-secreting tumour, before any cosmetic treatment. —</w:t>
      </w:r>
      <w:r>
        <w:t xml:space="preserve"> </w:t>
      </w:r>
      <w:r>
        <w:rPr>
          <w:i/>
          <w:iCs/>
        </w:rPr>
        <w:t xml:space="preserve">Correct. Rapid progression and virilization are the red flags in the Endocrine Society guideline, and the guide calls this the one finding that demands urgent work-up.</w:t>
      </w:r>
      <w:r>
        <w:t xml:space="preserve"> </w:t>
      </w:r>
      <w:r>
        <w:t xml:space="preserve">- ✗ Treat it as polycystic ovary syndrome and combine laser with a topical cream. —</w:t>
      </w:r>
      <w:r>
        <w:t xml:space="preserve"> </w:t>
      </w:r>
      <w:r>
        <w:rPr>
          <w:i/>
          <w:iCs/>
        </w:rPr>
        <w:t xml:space="preserve">Rapid onset with a deepening voice is outside the usual picture, and a tumour needs excluding before any label is attached.</w:t>
      </w:r>
    </w:p>
    <w:bookmarkEnd w:id="57"/>
    <w:bookmarkStart w:id="58" w:name="X27eed1c1713062980dee6999a1725a683e683b7"/>
    <w:p>
      <w:pPr>
        <w:pStyle w:val="Heading3"/>
      </w:pPr>
      <w:r>
        <w:t xml:space="preserve">19 / 19 · Before I treat a face that might be hormonal.</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hormone-and-skin checklist</w:t>
      </w:r>
      <w:r>
        <w:t xml:space="preserve"> </w:t>
      </w:r>
      <w:r>
        <w:t xml:space="preserve">— Tap everything you will do. Choose as many as you like.</w:t>
      </w:r>
      <w:r>
        <w:t xml:space="preserve"> </w:t>
      </w:r>
      <w:r>
        <w:rPr>
          <w:i/>
          <w:iCs/>
        </w:rPr>
        <w:t xml:space="preserve">Before I treat a skin complaint that might be hormonal I will …</w:t>
      </w:r>
      <w:r>
        <w:t xml:space="preserve"> </w:t>
      </w:r>
      <w:r>
        <w:t xml:space="preserve">take a steroid history, including creams, skin-lighteners and injections · check for bruising, plethora, proximal weakness and wide purple striae · keep hormone therapy to its approved uses (symptoms and bone); skin is not one of them · route rapid hirsutism, virilization or new darkening urgently · refer lip and eyelid lentigines, angiofibromas or interscapular amyloidosis · document what I saw and where I referred</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the order or the referral: which test, which specialist, and what you documented.</w:t>
      </w:r>
      <w:r>
        <w:t xml:space="preserve"> </w:t>
      </w:r>
      <w:r>
        <w:t xml:space="preserve">-</w:t>
      </w:r>
      <w:r>
        <w:t xml:space="preserve"> </w:t>
      </w:r>
      <w:r>
        <w:rPr>
          <w:i/>
          <w:iCs/>
        </w:rPr>
        <w:t xml:space="preserve">Clinical staff:</w:t>
      </w:r>
      <w:r>
        <w:t xml:space="preserve"> </w:t>
      </w:r>
      <w:r>
        <w:t xml:space="preserve">Your checklist ends with escalation: red-flag findings go to the prescriber before the next treatment.</w:t>
      </w:r>
      <w:r>
        <w:t xml:space="preserve"> </w:t>
      </w:r>
      <w:r>
        <w:t xml:space="preserve">-</w:t>
      </w:r>
      <w:r>
        <w:t xml:space="preserve"> </w:t>
      </w:r>
      <w:r>
        <w:rPr>
          <w:i/>
          <w:iCs/>
        </w:rPr>
        <w:t xml:space="preserve">Advisor:</w:t>
      </w:r>
      <w:r>
        <w:t xml:space="preserve"> </w:t>
      </w:r>
      <w:r>
        <w:t xml:space="preserve">Your checklist ends with referral: product questions you can answer; hormonal signs and hormone requests go to a prescriber.</w:t>
      </w:r>
    </w:p>
    <w:p>
      <w:pPr>
        <w:pStyle w:val="BodyText"/>
      </w:pPr>
      <w:r>
        <w:t xml:space="preserve">Sources: US Food and Drug Administration 2026 · Aesthetic &amp; Regenerative Endocrinology — A Clinician's Pocket Guide 2026 · Martin KA 2018 · North American Menopause Society (2022 Hormone Therapy Advisory Panel) 2022 · Nieman LK 2008</w:t>
      </w:r>
    </w:p>
    <w:bookmarkEnd w:id="58"/>
    <w:bookmarkEnd w:id="59"/>
    <w:bookmarkStart w:id="60" w:name="module-check-1"/>
    <w:p>
      <w:pPr>
        <w:pStyle w:val="Heading2"/>
      </w:pPr>
      <w:r>
        <w:t xml:space="preserve">Module check</w:t>
      </w:r>
    </w:p>
    <w:p>
      <w:pPr>
        <w:pStyle w:val="FirstParagraph"/>
      </w:pPr>
      <w:r>
        <w:rPr>
          <w:b/>
          <w:bCs/>
        </w:rPr>
        <w:t xml:space="preserve">Q.</w:t>
      </w:r>
      <w:r>
        <w:t xml:space="preserve"> </w:t>
      </w:r>
      <w:r>
        <w:t xml:space="preserve">Closing Module 2: which statement keeps mechanism, evidence, regulation and the open question apart?</w:t>
      </w:r>
      <w:r>
        <w:t xml:space="preserve"> </w:t>
      </w:r>
      <w:r>
        <w:t xml:space="preserve">- ✗ Estrogen raises dermal collagen, so hormone therapy is indicated for skin ageing. —</w:t>
      </w:r>
      <w:r>
        <w:t xml:space="preserve"> </w:t>
      </w:r>
      <w:r>
        <w:rPr>
          <w:i/>
          <w:iCs/>
        </w:rPr>
        <w:t xml:space="preserve">That blends mechanism into indication. The collagen effect is real in small trials; the approved uses are symptoms and bone.</w:t>
      </w:r>
      <w:r>
        <w:t xml:space="preserve"> </w:t>
      </w:r>
      <w:r>
        <w:t xml:space="preserve">- ✔ Estrogen acts on skin receptors (mechanism); small trials show thicker skin, while the largest found no wrinkle difference (evidence); US approved uses are symptoms and bone (regulation); whether longer treatment changes facial ageing is untested (open question). —</w:t>
      </w:r>
      <w:r>
        <w:t xml:space="preserve"> </w:t>
      </w:r>
      <w:r>
        <w:rPr>
          <w:i/>
          <w:iCs/>
        </w:rPr>
        <w:t xml:space="preserve">Correct. Four separate answers, each with its own source.</w:t>
      </w:r>
      <w:r>
        <w:t xml:space="preserve"> </w:t>
      </w:r>
      <w:r>
        <w:t xml:space="preserve">- ✗ A round, puffy face is a sign of Cushing's syndrome and should be tested. —</w:t>
      </w:r>
      <w:r>
        <w:t xml:space="preserve"> </w:t>
      </w:r>
      <w:r>
        <w:rPr>
          <w:i/>
          <w:iCs/>
        </w:rPr>
        <w:t xml:space="preserve">Facial fullness is common and weakly discriminating; testing is for multiple, progressive discriminating features.</w:t>
      </w:r>
    </w:p>
    <w:p>
      <w:r>
        <w:pict>
          <v:rect style="width:0;height:1.5pt" o:hralign="center" o:hrstd="t" o:hr="t"/>
        </w:pict>
      </w:r>
    </w:p>
    <w:bookmarkEnd w:id="60"/>
    <w:bookmarkEnd w:id="61"/>
    <w:bookmarkStart w:id="86" w:name="X9bf112b2dd1b11ff33bfe5186b496ce9ac52eb7"/>
    <w:p>
      <w:pPr>
        <w:pStyle w:val="Heading1"/>
      </w:pPr>
      <w:r>
        <w:t xml:space="preserve">Hormones and Peptides for Skin · Module 03 — review draft</w:t>
      </w:r>
    </w:p>
    <w:p>
      <w:pPr>
        <w:pStyle w:val="FirstParagraph"/>
      </w:pPr>
      <w:r>
        <w:rPr>
          <w:i/>
          <w:iCs/>
        </w:rPr>
        <w:t xml:space="preserve">approved · authored 2026-09-24 · 20 moments, ~27 min + module check · 51 sources · 20 claims</w:t>
      </w:r>
    </w:p>
    <w:p>
      <w:pPr>
        <w:pStyle w:val="BodyText"/>
      </w:pPr>
      <w:r>
        <w:t xml:space="preserve">Every factual sentence traces to the graded registry (</w:t>
      </w:r>
      <w:r>
        <w:rPr>
          <w:rStyle w:val="VerbatimChar"/>
        </w:rPr>
        <w:t xml:space="preserve">citations/m03.md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69" w:name="X470a1e5cedf5352c600452818250be6a3a0ef1d"/>
    <w:p>
      <w:pPr>
        <w:pStyle w:val="Heading2"/>
      </w:pPr>
      <w:r>
        <w:t xml:space="preserve">Lesson 3.1 · Dermal fat and matrix glycation</w:t>
      </w:r>
    </w:p>
    <w:bookmarkStart w:id="62" w:name="the-face-changes-when-the-fat-does."/>
    <w:p>
      <w:pPr>
        <w:pStyle w:val="Heading3"/>
      </w:pPr>
      <w:r>
        <w:t xml:space="preserve">01 / 20 · The face changes when the fat does.</w:t>
      </w:r>
    </w:p>
    <w:p>
      <w:pPr>
        <w:pStyle w:val="FirstParagraph"/>
      </w:pPr>
      <w:r>
        <w:rPr>
          <w:i/>
          <w:iCs/>
        </w:rPr>
        <w:t xml:space="preserve">Module 03 · Fat, incretins and the ageing face · title</w:t>
      </w:r>
    </w:p>
    <w:p>
      <w:pPr>
        <w:pStyle w:val="BodyText"/>
      </w:pPr>
      <w:r>
        <w:t xml:space="preserve">Facial shape depends on fat as much as on collagen. In three lessons you will separate what is known about the skin's own fat, sugar damage to the dermis, weight-loss drugs and the gut from what is still mechanism, marketing or an open question.</w:t>
      </w:r>
    </w:p>
    <w:p>
      <w:pPr>
        <w:pStyle w:val="Compact"/>
        <w:numPr>
          <w:ilvl w:val="0"/>
          <w:numId w:val="1022"/>
        </w:numPr>
      </w:pPr>
      <w:r>
        <w:t xml:space="preserve">3.1 Dermal fat and sugar damage to collagen</w:t>
      </w:r>
    </w:p>
    <w:p>
      <w:pPr>
        <w:pStyle w:val="Compact"/>
        <w:numPr>
          <w:ilvl w:val="0"/>
          <w:numId w:val="1022"/>
        </w:numPr>
      </w:pPr>
      <w:r>
        <w:t xml:space="preserve">3.2 Semaglutide, tirzepatide and the changing face</w:t>
      </w:r>
    </w:p>
    <w:p>
      <w:pPr>
        <w:pStyle w:val="Compact"/>
        <w:numPr>
          <w:ilvl w:val="0"/>
          <w:numId w:val="1022"/>
        </w:numPr>
      </w:pPr>
      <w:r>
        <w:t xml:space="preserve">3.3 The gut barrier, endotoxaemia and inflammaging</w:t>
      </w:r>
    </w:p>
    <w:bookmarkEnd w:id="62"/>
    <w:bookmarkStart w:id="63" w:name="the-skin-keeps-its-own-fat."/>
    <w:p>
      <w:pPr>
        <w:pStyle w:val="Heading3"/>
      </w:pPr>
      <w:r>
        <w:t xml:space="preserve">02 / 20 · The skin keeps its own fat.</w:t>
      </w:r>
    </w:p>
    <w:p>
      <w:pPr>
        <w:pStyle w:val="FirstParagraph"/>
      </w:pPr>
      <w:r>
        <w:rPr>
          <w:i/>
          <w:iCs/>
        </w:rPr>
        <w:t xml:space="preserve">Mechanism · audio</w:t>
      </w:r>
    </w:p>
    <w:p>
      <w:pPr>
        <w:pStyle w:val="BodyText"/>
      </w:pPr>
      <w:r>
        <w:t xml:space="preserve">Beneath the dermis lies subcutaneous fat. Within the reticular dermis itself sits a thinner layer, dermal white adipose tissue. In mice, this layer expands rapidly after a Staphylococcus aureus infection, its new fat cells release the antimicrobial peptide cathelicidin, and the capacity fades with age through TGF-β signalling. Human skin arranges this fat differently, in cones around hair follicles, and human acne lesions contain perifollicular preadipocytes that make cathelicidin. What the layer contributes to human skin ageing has not been measured.</w:t>
      </w:r>
    </w:p>
    <w:p>
      <w:pPr>
        <w:pStyle w:val="Compact"/>
        <w:numPr>
          <w:ilvl w:val="0"/>
          <w:numId w:val="1023"/>
        </w:numPr>
      </w:pPr>
      <w:r>
        <w:t xml:space="preserve">A second fat layer inside the dermis</w:t>
      </w:r>
    </w:p>
    <w:p>
      <w:pPr>
        <w:pStyle w:val="Compact"/>
        <w:numPr>
          <w:ilvl w:val="0"/>
          <w:numId w:val="1023"/>
        </w:numPr>
      </w:pPr>
      <w:r>
        <w:t xml:space="preserve">In mice: antimicrobial, and lost with age</w:t>
      </w:r>
    </w:p>
    <w:p>
      <w:pPr>
        <w:pStyle w:val="Compact"/>
        <w:numPr>
          <w:ilvl w:val="0"/>
          <w:numId w:val="1023"/>
        </w:numPr>
      </w:pPr>
      <w:r>
        <w:t xml:space="preserve">In people: a different shape, and an open question about ageing</w:t>
      </w:r>
    </w:p>
    <w:p>
      <w:pPr>
        <w:pStyle w:val="FirstParagraph"/>
      </w:pPr>
      <w:r>
        <w:t xml:space="preserve">Narration script</w:t>
      </w:r>
    </w:p>
    <w:p>
      <w:pPr>
        <w:pStyle w:val="BodyText"/>
      </w:pPr>
      <w:r>
        <w:t xml:space="preserve">Most people picture skin fat as one layer under the dermis. There is a second, thinner layer inside the reticular dermis itself, called dermal white adipose tissue. In mice, this layer expands rapidly after a Staphylococcus aureus infection, and its new fat cells release cathelicidin, an antimicrobial peptide. Older mice lose much of that capacity, through TGF-beta signalling. Human skin arranges this fat differently, in small cones around hair follicles, and human acne lesions contain preadipocytes around the follicle that make cathelicidin. What the layer contributes to human skin ageing has not yet been measured. So hold two things apart when you hear about skin fat. The defence story is strong in mice and emerging in people. The ageing story in people is still a proposal.</w:t>
      </w:r>
    </w:p>
    <w:p>
      <w:pPr>
        <w:pStyle w:val="BodyText"/>
      </w:pPr>
      <w:r>
        <w:t xml:space="preserve">Sources: Chen SX 2019 · Zhang LJ 2015 · Zhang LJ 2019 · Kruglikov IL 2016 · O'Neill AM 2022 · Kershaw EE 2004 · Aesthetic &amp; Regenerative Endocrinology — A Clinician's Pocket Guide 2026</w:t>
      </w:r>
    </w:p>
    <w:bookmarkEnd w:id="63"/>
    <w:bookmarkStart w:id="64" w:name="fat-that-holds-the-face-up."/>
    <w:p>
      <w:pPr>
        <w:pStyle w:val="Heading3"/>
      </w:pPr>
      <w:r>
        <w:t xml:space="preserve">03 / 20 · Fat that holds the face up.</w:t>
      </w:r>
    </w:p>
    <w:p>
      <w:pPr>
        <w:pStyle w:val="FirstParagraph"/>
      </w:pPr>
      <w:r>
        <w:rPr>
          <w:i/>
          <w:iCs/>
        </w:rPr>
        <w:t xml:space="preserve">Human evidence · stat</w:t>
      </w:r>
    </w:p>
    <w:p>
      <w:pPr>
        <w:pStyle w:val="BodyText"/>
      </w:pPr>
      <w:r>
        <w:t xml:space="preserve">Cadaver dissection shows that the face's subcutaneous fat sits in separate compartments, and facial ageing is partly how each compartment changes. Weight shows the same thing from the outside. In a study of 186 pairs of identical twins, the twin with the higher body-mass index looked older before about age 40 and younger after it.</w:t>
      </w:r>
    </w:p>
    <w:p>
      <w:pPr>
        <w:pStyle w:val="BodyText"/>
      </w:pPr>
      <w:r>
        <w:rPr>
          <w:b/>
          <w:bCs/>
        </w:rPr>
        <w:t xml:space="preserve">186</w:t>
      </w:r>
      <w:r>
        <w:t xml:space="preserve"> </w:t>
      </w:r>
      <w:r>
        <w:t xml:space="preserve">— pairs of identical twins compared for facial ageing (Guyuron et al., 2009 — a four-point higher BMI tracked with an older look before about 40 and a younger look after it)</w:t>
      </w:r>
      <w:r>
        <w:br/>
      </w:r>
      <w:r>
        <w:rPr>
          <w:i/>
          <w:iCs/>
        </w:rPr>
        <w:t xml:space="preserve">Means:</w:t>
      </w:r>
      <w:r>
        <w:t xml:space="preserve"> </w:t>
      </w:r>
      <w:r>
        <w:t xml:space="preserve">From midlife on, facial fat goes with a younger-looking face. That fits the anatomy: the face ages partly as its fat compartments change. GRADE C, observational.</w:t>
      </w:r>
      <w:r>
        <w:br/>
      </w:r>
      <w:r>
        <w:rPr>
          <w:i/>
          <w:iCs/>
        </w:rPr>
        <w:t xml:space="preserve">Does not mean:</w:t>
      </w:r>
      <w:r>
        <w:t xml:space="preserve"> </w:t>
      </w:r>
      <w:r>
        <w:t xml:space="preserve">It is an observational comparison of photographs. It does not show that gaining weight rejuvenates, or that fat loss on a drug changes the skin itself.</w:t>
      </w:r>
    </w:p>
    <w:p>
      <w:pPr>
        <w:pStyle w:val="BodyText"/>
      </w:pPr>
      <w:r>
        <w:t xml:space="preserve">Sources: Rohrich RJ 2007 · Guyuron B 2009 · Aesthetic &amp; Regenerative Endocrinology — A Clinician's Pocket Guide 2026</w:t>
      </w:r>
    </w:p>
    <w:bookmarkEnd w:id="64"/>
    <w:bookmarkStart w:id="65" w:name="sugar-that-sticks-to-collagen."/>
    <w:p>
      <w:pPr>
        <w:pStyle w:val="Heading3"/>
      </w:pPr>
      <w:r>
        <w:t xml:space="preserve">04 / 20 · Sugar that sticks to collagen.</w:t>
      </w:r>
    </w:p>
    <w:p>
      <w:pPr>
        <w:pStyle w:val="FirstParagraph"/>
      </w:pPr>
      <w:r>
        <w:rPr>
          <w:i/>
          <w:iCs/>
        </w:rPr>
        <w:t xml:space="preserve">Mechanism · audio</w:t>
      </w:r>
    </w:p>
    <w:p>
      <w:pPr>
        <w:pStyle w:val="BodyText"/>
      </w:pPr>
      <w:r>
        <w:t xml:space="preserve">Glycation is a slow, non-enzymatic reaction. Reducing sugars attach to protein amino groups, rearrange into Amadori products and end as advanced glycation end products, or AGEs. On long-lived dermal collagen, AGEs form cross-links that stiffen the matrix. Through their receptor, RAGE, AGEs switch on inflammatory signalling in laboratory studies. The Aesthetic &amp; Regenerative Endocrinology guide rates the structural and inflammatory effects B; the course grades the causal link to visible ageing D, because the human data are associations.</w:t>
      </w:r>
    </w:p>
    <w:p>
      <w:pPr>
        <w:pStyle w:val="Compact"/>
        <w:numPr>
          <w:ilvl w:val="0"/>
          <w:numId w:val="1024"/>
        </w:numPr>
      </w:pPr>
      <w:r>
        <w:t xml:space="preserve">Sugar + protein → Schiff base → Amadori product → AGE</w:t>
      </w:r>
    </w:p>
    <w:p>
      <w:pPr>
        <w:pStyle w:val="Compact"/>
        <w:numPr>
          <w:ilvl w:val="0"/>
          <w:numId w:val="1024"/>
        </w:numPr>
      </w:pPr>
      <w:r>
        <w:t xml:space="preserve">Cross-links stiffen long-lived collagen</w:t>
      </w:r>
    </w:p>
    <w:p>
      <w:pPr>
        <w:pStyle w:val="Compact"/>
        <w:numPr>
          <w:ilvl w:val="0"/>
          <w:numId w:val="1024"/>
        </w:numPr>
      </w:pPr>
      <w:r>
        <w:t xml:space="preserve">RAGE signalling: shown in the laboratory</w:t>
      </w:r>
    </w:p>
    <w:p>
      <w:pPr>
        <w:pStyle w:val="FirstParagraph"/>
      </w:pPr>
      <w:r>
        <w:t xml:space="preserve">Narration script</w:t>
      </w:r>
    </w:p>
    <w:p>
      <w:pPr>
        <w:pStyle w:val="BodyText"/>
      </w:pPr>
      <w:r>
        <w:t xml:space="preserve">Glycation is chemistry before it is biology. Reducing sugars attach to the amino groups of proteins, rearrange into more stable products, and end as advanced glycation end products, known as AGEs. Dermal collagen lasts for years, so it collects AGEs, and they form cross-links that make the matrix stiffer. AGEs also bind a receptor called RAGE, which in laboratory studies switches on inflammatory signalling and enzymes that break down matrix. Keep the registers apart here. The chemistry, and the build-up of AGEs in human skin, are well documented. The idea that AGEs cause the wrinkles and laxity you see in clinic rests on laboratory and animal work plus human associations. The Aesthetic and Regenerative Endocrinology guide rates the structural and inflammatory effects grade B. This course grades the causal link D, and the next moment shows why.</w:t>
      </w:r>
    </w:p>
    <w:p>
      <w:pPr>
        <w:pStyle w:val="BodyText"/>
      </w:pPr>
      <w:r>
        <w:t xml:space="preserve">Sources: Gkogkolou P 2012 · Dyer DG 1993 · Aesthetic &amp; Regenerative Endocrinology — A Clinician's Pocket Guide 2026</w:t>
      </w:r>
    </w:p>
    <w:bookmarkEnd w:id="65"/>
    <w:bookmarkStart w:id="66" w:name="fifteen-years-on-the-same-collagen."/>
    <w:p>
      <w:pPr>
        <w:pStyle w:val="Heading3"/>
      </w:pPr>
      <w:r>
        <w:t xml:space="preserve">05 / 20 · Fifteen years on the same collagen.</w:t>
      </w:r>
    </w:p>
    <w:p>
      <w:pPr>
        <w:pStyle w:val="FirstParagraph"/>
      </w:pPr>
      <w:r>
        <w:rPr>
          <w:i/>
          <w:iCs/>
        </w:rPr>
        <w:t xml:space="preserve">Human evidence · stat</w:t>
      </w:r>
    </w:p>
    <w:p>
      <w:pPr>
        <w:pStyle w:val="BodyText"/>
      </w:pPr>
      <w:r>
        <w:t xml:space="preserve">Human skin collagen turns over slowly; tissue analysis puts its half-life at about 15 years. In skin biopsies, glycoxidation products in collagen rose about five-fold between ages 20 and 85, and were up to twice as high in type 1 diabetes. Skin autofluorescence, a non-invasive reading, correlates moderately with those biopsy measures and was validated in non-pigmented skin.</w:t>
      </w:r>
    </w:p>
    <w:p>
      <w:pPr>
        <w:pStyle w:val="BodyText"/>
      </w:pPr>
      <w:r>
        <w:rPr>
          <w:b/>
          <w:bCs/>
        </w:rPr>
        <w:t xml:space="preserve">~15 years</w:t>
      </w:r>
      <w:r>
        <w:t xml:space="preserve"> </w:t>
      </w:r>
      <w:r>
        <w:t xml:space="preserve">— estimated half-life of human skin collagen (Verzijl et al., 2000 · AGE content of skin collagen rises about five-fold from age 20 to 85 (Dyer et al., 1993))</w:t>
      </w:r>
      <w:r>
        <w:br/>
      </w:r>
      <w:r>
        <w:rPr>
          <w:i/>
          <w:iCs/>
        </w:rPr>
        <w:t xml:space="preserve">Means:</w:t>
      </w:r>
      <w:r>
        <w:t xml:space="preserve"> </w:t>
      </w:r>
      <w:r>
        <w:t xml:space="preserve">Glycation damage accumulates on the same collagen for years, and faster with higher glucose exposure. That much is measured in human skin: direct, observational, GRADE C.</w:t>
      </w:r>
      <w:r>
        <w:br/>
      </w:r>
      <w:r>
        <w:rPr>
          <w:i/>
          <w:iCs/>
        </w:rPr>
        <w:t xml:space="preserve">Does not mean:</w:t>
      </w:r>
      <w:r>
        <w:t xml:space="preserve"> </w:t>
      </w:r>
      <w:r>
        <w:t xml:space="preserve">It does not show how much of visible ageing AGEs cause, or that any product reverses established cross-links. Skin autofluorescence is a surrogate reading of AGE load.</w:t>
      </w:r>
    </w:p>
    <w:p>
      <w:pPr>
        <w:pStyle w:val="BodyText"/>
      </w:pPr>
      <w:r>
        <w:t xml:space="preserve">Sources: Verzijl N 2000 · Dyer DG 1993 · Meerwaldt R 2004 · Aesthetic &amp; Regenerative Endocrinology — A Clinician's Pocket Guide 2026</w:t>
      </w:r>
    </w:p>
    <w:bookmarkEnd w:id="66"/>
    <w:bookmarkStart w:id="67" w:name="mouse-human-or-marketing"/>
    <w:p>
      <w:pPr>
        <w:pStyle w:val="Heading3"/>
      </w:pPr>
      <w:r>
        <w:t xml:space="preserve">06 / 20 · Mouse, human or marketing?</w:t>
      </w:r>
    </w:p>
    <w:p>
      <w:pPr>
        <w:pStyle w:val="FirstParagraph"/>
      </w:pPr>
      <w:r>
        <w:rPr>
          <w:i/>
          <w:iCs/>
        </w:rPr>
        <w:t xml:space="preserve">Sort the evidence · tool</w:t>
      </w:r>
    </w:p>
    <w:p>
      <w:pPr>
        <w:pStyle w:val="BodyText"/>
      </w:pPr>
      <w:r>
        <w:t xml:space="preserve">Six statements you will hear about skin fat and glycation. Before you see where each one stands, decide what kind of evidence is behind it.</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Dermal fat cells release cathelicidin to fight Staphylococcus aureus</w:t>
            </w:r>
          </w:p>
        </w:tc>
        <w:tc>
          <w:tcPr/>
          <w:p>
            <w:pPr>
              <w:pStyle w:val="Compact"/>
            </w:pPr>
            <w:r>
              <w:t xml:space="preserve">Skin fat</w:t>
            </w:r>
          </w:p>
        </w:tc>
        <w:tc>
          <w:tcPr/>
          <w:p>
            <w:pPr>
              <w:pStyle w:val="Compact"/>
            </w:pPr>
            <w:r>
              <w:t xml:space="preserve">Defence</w:t>
            </w:r>
          </w:p>
        </w:tc>
      </w:tr>
      <w:tr>
        <w:tc>
          <w:tcPr/>
          <w:p>
            <w:pPr>
              <w:pStyle w:val="Compact"/>
            </w:pPr>
            <w:r>
              <w:t xml:space="preserve">Dermal fat loses its defensive capacity with age</w:t>
            </w:r>
          </w:p>
        </w:tc>
        <w:tc>
          <w:tcPr/>
          <w:p>
            <w:pPr>
              <w:pStyle w:val="Compact"/>
            </w:pPr>
            <w:r>
              <w:t xml:space="preserve">Skin fat</w:t>
            </w:r>
          </w:p>
        </w:tc>
        <w:tc>
          <w:tcPr/>
          <w:p>
            <w:pPr>
              <w:pStyle w:val="Compact"/>
            </w:pPr>
            <w:r>
              <w:t xml:space="preserve">Ageing</w:t>
            </w:r>
          </w:p>
        </w:tc>
      </w:tr>
      <w:tr>
        <w:tc>
          <w:tcPr/>
          <w:p>
            <w:pPr>
              <w:pStyle w:val="Compact"/>
            </w:pPr>
            <w:r>
              <w:t xml:space="preserve">AGEs build up in skin collagen with age, faster in diabetes</w:t>
            </w:r>
          </w:p>
        </w:tc>
        <w:tc>
          <w:tcPr/>
          <w:p>
            <w:pPr>
              <w:pStyle w:val="Compact"/>
            </w:pPr>
            <w:r>
              <w:t xml:space="preserve">Glycation</w:t>
            </w:r>
          </w:p>
        </w:tc>
        <w:tc>
          <w:tcPr/>
          <w:p>
            <w:pPr>
              <w:pStyle w:val="Compact"/>
            </w:pPr>
            <w:r>
              <w:t xml:space="preserve">Accumulation</w:t>
            </w:r>
          </w:p>
        </w:tc>
      </w:tr>
      <w:tr>
        <w:tc>
          <w:tcPr/>
          <w:p>
            <w:pPr>
              <w:pStyle w:val="Compact"/>
            </w:pPr>
            <w:r>
              <w:t xml:space="preserve">Skin collagen stays in place for many years</w:t>
            </w:r>
          </w:p>
        </w:tc>
        <w:tc>
          <w:tcPr/>
          <w:p>
            <w:pPr>
              <w:pStyle w:val="Compact"/>
            </w:pPr>
            <w:r>
              <w:t xml:space="preserve">Glycation</w:t>
            </w:r>
          </w:p>
        </w:tc>
        <w:tc>
          <w:tcPr/>
          <w:p>
            <w:pPr>
              <w:pStyle w:val="Compact"/>
            </w:pPr>
            <w:r>
              <w:t xml:space="preserve">Turnover</w:t>
            </w:r>
          </w:p>
        </w:tc>
      </w:tr>
      <w:tr>
        <w:tc>
          <w:tcPr/>
          <w:p>
            <w:pPr>
              <w:pStyle w:val="Compact"/>
            </w:pPr>
            <w:r>
              <w:t xml:space="preserve">AGEs drive skin inflammation through their receptor, RAGE</w:t>
            </w:r>
          </w:p>
        </w:tc>
        <w:tc>
          <w:tcPr/>
          <w:p>
            <w:pPr>
              <w:pStyle w:val="Compact"/>
            </w:pPr>
            <w:r>
              <w:t xml:space="preserve">Glycation</w:t>
            </w:r>
          </w:p>
        </w:tc>
        <w:tc>
          <w:tcPr/>
          <w:p>
            <w:pPr>
              <w:pStyle w:val="Compact"/>
            </w:pPr>
            <w:r>
              <w:t xml:space="preserve">Signalling</w:t>
            </w:r>
          </w:p>
        </w:tc>
      </w:tr>
      <w:tr>
        <w:tc>
          <w:tcPr/>
          <w:p>
            <w:pPr>
              <w:pStyle w:val="Compact"/>
            </w:pPr>
            <w:r>
              <w:t xml:space="preserve">An anti-glycation serum reverses cross-linked collagen</w:t>
            </w:r>
          </w:p>
        </w:tc>
        <w:tc>
          <w:tcPr/>
          <w:p>
            <w:pPr>
              <w:pStyle w:val="Compact"/>
            </w:pPr>
            <w:r>
              <w:t xml:space="preserve">Glycation</w:t>
            </w:r>
          </w:p>
        </w:tc>
        <w:tc>
          <w:tcPr/>
          <w:p>
            <w:pPr>
              <w:pStyle w:val="Compact"/>
            </w:pPr>
            <w:r>
              <w:t xml:space="preserve">Treatment</w:t>
            </w:r>
          </w:p>
        </w:tc>
      </w:tr>
    </w:tbl>
    <w:p>
      <w:pPr>
        <w:pStyle w:val="BodyText"/>
      </w:pPr>
      <w:r>
        <w:rPr>
          <w:b/>
          <w:bCs/>
        </w:rPr>
        <w:t xml:space="preserve">Callout:</w:t>
      </w:r>
      <w:r>
        <w:t xml:space="preserve"> </w:t>
      </w:r>
      <w:r>
        <w:t xml:space="preserve">Ask where a statement was shown: in mice, in human skin, or only on a label.</w:t>
      </w:r>
    </w:p>
    <w:p>
      <w:pPr>
        <w:pStyle w:val="BodyText"/>
      </w:pPr>
      <w:r>
        <w:rPr>
          <w:b/>
          <w:bCs/>
        </w:rPr>
        <w:t xml:space="preserve">Exercise (classify) · Mouse, human or marketing?</w:t>
      </w:r>
      <w:r>
        <w:t xml:space="preserve"> </w:t>
      </w:r>
      <w:r>
        <w:t xml:space="preserve">— Tap what stands behind each statement.</w:t>
      </w:r>
      <w:r>
        <w:t xml:space="preserve"> </w:t>
      </w:r>
      <w:r>
        <w:t xml:space="preserve">- Dermal fat cells release cathelicidin to fight Staphylococcus aureus →</w:t>
      </w:r>
      <w:r>
        <w:t xml:space="preserve"> </w:t>
      </w:r>
      <w:r>
        <w:rPr>
          <w:b/>
          <w:bCs/>
        </w:rPr>
        <w:t xml:space="preserve">Shown in mice or cells</w:t>
      </w:r>
      <w:r>
        <w:t xml:space="preserve"> </w:t>
      </w:r>
      <w:r>
        <w:t xml:space="preserve">—</w:t>
      </w:r>
      <w:r>
        <w:t xml:space="preserve"> </w:t>
      </w:r>
      <w:r>
        <w:rPr>
          <w:i/>
          <w:iCs/>
        </w:rPr>
        <w:t xml:space="preserve">Shown in mouse infection models (D). Human acne lesions contain preadipocytes that make cathelicidin, but protection against infection has not been tested in people.</w:t>
      </w:r>
      <w:r>
        <w:t xml:space="preserve"> </w:t>
      </w:r>
      <w:r>
        <w:t xml:space="preserve">- Dermal fat loses its defensive capacity with age →</w:t>
      </w:r>
      <w:r>
        <w:t xml:space="preserve"> </w:t>
      </w:r>
      <w:r>
        <w:rPr>
          <w:b/>
          <w:bCs/>
        </w:rPr>
        <w:t xml:space="preserve">Shown in mice or cells</w:t>
      </w:r>
      <w:r>
        <w:t xml:space="preserve"> </w:t>
      </w:r>
      <w:r>
        <w:t xml:space="preserve">—</w:t>
      </w:r>
      <w:r>
        <w:t xml:space="preserve"> </w:t>
      </w:r>
      <w:r>
        <w:rPr>
          <w:i/>
          <w:iCs/>
        </w:rPr>
        <w:t xml:space="preserve">Shown in mice, through TGF-β signalling (D). The equivalent change in human skin has not been measured.</w:t>
      </w:r>
      <w:r>
        <w:t xml:space="preserve"> </w:t>
      </w:r>
      <w:r>
        <w:t xml:space="preserve">- AGEs build up in skin collagen with age, faster in diabetes →</w:t>
      </w:r>
      <w:r>
        <w:t xml:space="preserve"> </w:t>
      </w:r>
      <w:r>
        <w:rPr>
          <w:b/>
          <w:bCs/>
        </w:rPr>
        <w:t xml:space="preserve">Shown in human skin</w:t>
      </w:r>
      <w:r>
        <w:t xml:space="preserve"> </w:t>
      </w:r>
      <w:r>
        <w:t xml:space="preserve">—</w:t>
      </w:r>
      <w:r>
        <w:t xml:space="preserve"> </w:t>
      </w:r>
      <w:r>
        <w:rPr>
          <w:i/>
          <w:iCs/>
        </w:rPr>
        <w:t xml:space="preserve">Measured directly in human skin biopsies (C, observational), and up to twice as high in type 1 diabetes.</w:t>
      </w:r>
      <w:r>
        <w:t xml:space="preserve"> </w:t>
      </w:r>
      <w:r>
        <w:t xml:space="preserve">- Skin collagen stays in place for many years →</w:t>
      </w:r>
      <w:r>
        <w:t xml:space="preserve"> </w:t>
      </w:r>
      <w:r>
        <w:rPr>
          <w:b/>
          <w:bCs/>
        </w:rPr>
        <w:t xml:space="preserve">Shown in human skin</w:t>
      </w:r>
      <w:r>
        <w:t xml:space="preserve"> </w:t>
      </w:r>
      <w:r>
        <w:t xml:space="preserve">—</w:t>
      </w:r>
      <w:r>
        <w:t xml:space="preserve"> </w:t>
      </w:r>
      <w:r>
        <w:rPr>
          <w:i/>
          <w:iCs/>
        </w:rPr>
        <w:t xml:space="preserve">Human tissue analysis puts the half-life of skin collagen at about 15 years (C), which is why glycation damage accumulates.</w:t>
      </w:r>
      <w:r>
        <w:t xml:space="preserve"> </w:t>
      </w:r>
      <w:r>
        <w:t xml:space="preserve">- AGEs drive skin inflammation through their receptor, RAGE →</w:t>
      </w:r>
      <w:r>
        <w:t xml:space="preserve"> </w:t>
      </w:r>
      <w:r>
        <w:rPr>
          <w:b/>
          <w:bCs/>
        </w:rPr>
        <w:t xml:space="preserve">Shown in mice or cells</w:t>
      </w:r>
      <w:r>
        <w:t xml:space="preserve"> </w:t>
      </w:r>
      <w:r>
        <w:t xml:space="preserve">—</w:t>
      </w:r>
      <w:r>
        <w:t xml:space="preserve"> </w:t>
      </w:r>
      <w:r>
        <w:rPr>
          <w:i/>
          <w:iCs/>
        </w:rPr>
        <w:t xml:space="preserve">Laboratory and animal work. The Aesthetic &amp; Regenerative Endocrinology guide rates it B; the course grades the causal link D because the human data are associations.</w:t>
      </w:r>
      <w:r>
        <w:t xml:space="preserve"> </w:t>
      </w:r>
      <w:r>
        <w:t xml:space="preserve">- An anti-glycation serum reverses cross-linked collagen →</w:t>
      </w:r>
      <w:r>
        <w:t xml:space="preserve"> </w:t>
      </w:r>
      <w:r>
        <w:rPr>
          <w:b/>
          <w:bCs/>
        </w:rPr>
        <w:t xml:space="preserve">Marketing only, not shown</w:t>
      </w:r>
      <w:r>
        <w:t xml:space="preserve"> </w:t>
      </w:r>
      <w:r>
        <w:t xml:space="preserve">—</w:t>
      </w:r>
      <w:r>
        <w:t xml:space="preserve"> </w:t>
      </w:r>
      <w:r>
        <w:rPr>
          <w:i/>
          <w:iCs/>
        </w:rPr>
        <w:t xml:space="preserve">Not shown. Trials of 'anti-glycation' products measure surrogate readings or appearance scores; none found for this course measured cross-links in human skin. The guide rates the evidence for these products C, on surrogate endpoints.</w:t>
      </w:r>
    </w:p>
    <w:p>
      <w:pPr>
        <w:pStyle w:val="BodyText"/>
      </w:pPr>
      <w:r>
        <w:t xml:space="preserve">Sources: Zhang LJ 2015 · Zhang LJ 2019 · O'Neill AM 2022 · Kruglikov IL 2016 · Dyer DG 1993 · Verzijl N 2000 · Gkogkolou P 2012 · Draelos ZD 2025 · Aesthetic &amp; Regenerative Endocrinology — A Clinician's Pocket Guide 2026</w:t>
      </w:r>
    </w:p>
    <w:bookmarkEnd w:id="67"/>
    <w:bookmarkStart w:id="68" w:name="a-lower-reading."/>
    <w:p>
      <w:pPr>
        <w:pStyle w:val="Heading3"/>
      </w:pPr>
      <w:r>
        <w:t xml:space="preserve">07 / 20 · A lower reading.</w:t>
      </w:r>
    </w:p>
    <w:p>
      <w:pPr>
        <w:pStyle w:val="FirstParagraph"/>
      </w:pPr>
      <w:r>
        <w:rPr>
          <w:i/>
          <w:iCs/>
        </w:rPr>
        <w:t xml:space="preserve">Your turn · quiz</w:t>
      </w:r>
    </w:p>
    <w:p>
      <w:pPr>
        <w:pStyle w:val="BodyText"/>
      </w:pPr>
      <w:r>
        <w:t xml:space="preserve">One question to close lesson 3.1.</w:t>
      </w:r>
    </w:p>
    <w:p>
      <w:pPr>
        <w:pStyle w:val="BodyText"/>
      </w:pPr>
      <w:r>
        <w:rPr>
          <w:b/>
          <w:bCs/>
        </w:rPr>
        <w:t xml:space="preserve">Q.</w:t>
      </w:r>
      <w:r>
        <w:t xml:space="preserve"> </w:t>
      </w:r>
      <w:r>
        <w:t xml:space="preserve">A patient shows you her skin autofluorescence reading, lower after eight weeks on an 'anti-glycation' supplement. What does that result show?</w:t>
      </w:r>
      <w:r>
        <w:t xml:space="preserve"> </w:t>
      </w:r>
      <w:r>
        <w:t xml:space="preserve">- ✗ The supplement has reversed glycation damage in her dermis. —</w:t>
      </w:r>
      <w:r>
        <w:t xml:space="preserve"> </w:t>
      </w:r>
      <w:r>
        <w:rPr>
          <w:i/>
          <w:iCs/>
        </w:rPr>
        <w:t xml:space="preserve">A lower surrogate reading is not a measurement of collagen cross-links, and the device was validated in non-pigmented skin.</w:t>
      </w:r>
      <w:r>
        <w:t xml:space="preserve"> </w:t>
      </w:r>
      <w:r>
        <w:t xml:space="preserve">- ✔ A change in a surrogate marker; it shows nothing yet about collagen cross-links, how her skin looks or how it ages. —</w:t>
      </w:r>
      <w:r>
        <w:t xml:space="preserve"> </w:t>
      </w:r>
      <w:r>
        <w:rPr>
          <w:i/>
          <w:iCs/>
        </w:rPr>
        <w:t xml:space="preserve">Correct. The surrogate moved; the outcome is unknown.</w:t>
      </w:r>
      <w:r>
        <w:t xml:space="preserve"> </w:t>
      </w:r>
      <w:r>
        <w:t xml:space="preserve">- ✗ Nothing at all, because glycation does not happen in human skin. —</w:t>
      </w:r>
      <w:r>
        <w:t xml:space="preserve"> </w:t>
      </w:r>
      <w:r>
        <w:rPr>
          <w:i/>
          <w:iCs/>
        </w:rPr>
        <w:t xml:space="preserve">It does: AGEs accumulate in human skin collagen with age and faster in diabetes. The question is what the product changed.</w:t>
      </w:r>
    </w:p>
    <w:bookmarkEnd w:id="68"/>
    <w:bookmarkEnd w:id="69"/>
    <w:bookmarkStart w:id="77" w:name="Xef0d3a20074ce71de6cb30642398623f332ffc2"/>
    <w:p>
      <w:pPr>
        <w:pStyle w:val="Heading2"/>
      </w:pPr>
      <w:r>
        <w:t xml:space="preserve">Lesson 3.2 · Incretin therapy and the changing face</w:t>
      </w:r>
    </w:p>
    <w:bookmarkStart w:id="70" w:name="two-gut-hormones-re-engineered."/>
    <w:p>
      <w:pPr>
        <w:pStyle w:val="Heading3"/>
      </w:pPr>
      <w:r>
        <w:t xml:space="preserve">08 / 20 · Two gut hormones, re-engineered.</w:t>
      </w:r>
    </w:p>
    <w:p>
      <w:pPr>
        <w:pStyle w:val="FirstParagraph"/>
      </w:pPr>
      <w:r>
        <w:rPr>
          <w:i/>
          <w:iCs/>
        </w:rPr>
        <w:t xml:space="preserve">Lesson 3.2 · Concept · audio</w:t>
      </w:r>
    </w:p>
    <w:p>
      <w:pPr>
        <w:pStyle w:val="BodyText"/>
      </w:pPr>
      <w:r>
        <w:t xml:space="preserve">GLP-1 and GIP are incretins, hormones the gut releases after a meal that amplify glucose-dependent insulin release; GLP-1 also slows gastric emptying and reduces appetite. Native GLP-1 is broken down within minutes. Semaglutide is a long-acting GLP-1 receptor agonist, and tirzepatide activates both GIP and GLP-1 receptors. In the US, as of September 2026, both are FDA-approved drugs for defined indications, set out in the next moment.</w:t>
      </w:r>
    </w:p>
    <w:p>
      <w:pPr>
        <w:pStyle w:val="Compact"/>
        <w:numPr>
          <w:ilvl w:val="0"/>
          <w:numId w:val="1025"/>
        </w:numPr>
      </w:pPr>
      <w:r>
        <w:t xml:space="preserve">Incretins amplify insulin after meals</w:t>
      </w:r>
    </w:p>
    <w:p>
      <w:pPr>
        <w:pStyle w:val="Compact"/>
        <w:numPr>
          <w:ilvl w:val="0"/>
          <w:numId w:val="1025"/>
        </w:numPr>
      </w:pPr>
      <w:r>
        <w:t xml:space="preserve">Semaglutide: GLP-1 receptor agonist</w:t>
      </w:r>
    </w:p>
    <w:p>
      <w:pPr>
        <w:pStyle w:val="Compact"/>
        <w:numPr>
          <w:ilvl w:val="0"/>
          <w:numId w:val="1025"/>
        </w:numPr>
      </w:pPr>
      <w:r>
        <w:t xml:space="preserve">Tirzepatide: GIP and GLP-1 receptor agonist</w:t>
      </w:r>
    </w:p>
    <w:p>
      <w:pPr>
        <w:pStyle w:val="FirstParagraph"/>
      </w:pPr>
      <w:r>
        <w:t xml:space="preserve">Narration script</w:t>
      </w:r>
    </w:p>
    <w:p>
      <w:pPr>
        <w:pStyle w:val="BodyText"/>
      </w:pPr>
      <w:r>
        <w:t xml:space="preserve">After a meal, the gut releases two hormones called incretins, GLP-1 and GIP. Both amplify insulin release when glucose is high, and GLP-1 also slows the stomach and reduces appetite. Native GLP-1 lasts only minutes in the blood before an enzyme breaks it down, so the drug molecules are engineered to last far longer. Semaglutide activates the GLP-1 receptor. Tirzepatide activates both the GIP and the GLP-1 receptors. Those are the mechanisms. The regulatory facts sit in a separate register. In the United States, as of September 2026, both molecules are FDA-approved drugs, sold under one brand name for type 2 diabetes and another for chronic weight management, with further indications for the heart, the liver and sleep apnoea. The face appears nowhere on those labels, and that is where this lesson begins.</w:t>
      </w:r>
    </w:p>
    <w:p>
      <w:pPr>
        <w:pStyle w:val="BodyText"/>
      </w:pPr>
      <w:r>
        <w:t xml:space="preserve">Sources: Drucker DJ 2018 · Eli Lilly (Mounjaro prescribing information) 2026 · Novo Nordisk (Ozempic prescribing information) 2026 · Novo Nordisk (Wegovy prescribing information) 2026 · Eli Lilly (Zepbound prescribing information) 2026 · Aesthetic &amp; Regenerative Endocrinology — A Clinician's Pocket Guide 2026 · The Peptide Pocket Guide — 2026 Edition · Clinical Reference (seventy-two entries) 2026</w:t>
      </w:r>
    </w:p>
    <w:bookmarkEnd w:id="70"/>
    <w:bookmarkStart w:id="71" w:name="approved-for-what-exactly"/>
    <w:p>
      <w:pPr>
        <w:pStyle w:val="Heading3"/>
      </w:pPr>
      <w:r>
        <w:t xml:space="preserve">09 / 20 · Approved for what, exactly?</w:t>
      </w:r>
    </w:p>
    <w:p>
      <w:pPr>
        <w:pStyle w:val="FirstParagraph"/>
      </w:pPr>
      <w:r>
        <w:rPr>
          <w:i/>
          <w:iCs/>
        </w:rPr>
        <w:t xml:space="preserve">Regulatory status · tool</w:t>
      </w:r>
    </w:p>
    <w:p>
      <w:pPr>
        <w:pStyle w:val="BodyText"/>
      </w:pPr>
      <w:r>
        <w:t xml:space="preserve">The facial changes in this lesson happen to people taking approved drugs for approved reasons. Know the indications, and their dates, before you discuss the side effects. Status below is for the US, from FDA records checked in September 2026; UK and EU status is being mapped for this course.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Ozempic (semaglutide)</w:t>
            </w:r>
          </w:p>
        </w:tc>
        <w:tc>
          <w:tcPr/>
          <w:p>
            <w:pPr>
              <w:pStyle w:val="Compact"/>
            </w:pPr>
            <w:r>
              <w:t xml:space="preserve">Type 2 diabetes</w:t>
            </w:r>
          </w:p>
        </w:tc>
        <w:tc>
          <w:tcPr/>
          <w:p>
            <w:pPr>
              <w:pStyle w:val="Compact"/>
            </w:pPr>
            <w:r>
              <w:t xml:space="preserve">First approved 2017. The label adds cardiovascular and kidney risk reduction in people with type 2 diabetes.</w:t>
            </w:r>
          </w:p>
        </w:tc>
      </w:tr>
      <w:tr>
        <w:tc>
          <w:tcPr/>
          <w:p>
            <w:pPr>
              <w:pStyle w:val="Compact"/>
            </w:pPr>
            <w:r>
              <w:t xml:space="preserve">Wegovy (semaglutide)</w:t>
            </w:r>
          </w:p>
        </w:tc>
        <w:tc>
          <w:tcPr/>
          <w:p>
            <w:pPr>
              <w:pStyle w:val="Compact"/>
            </w:pPr>
            <w:r>
              <w:t xml:space="preserve">Chronic weight management</w:t>
            </w:r>
          </w:p>
        </w:tc>
        <w:tc>
          <w:tcPr/>
          <w:p>
            <w:pPr>
              <w:pStyle w:val="Compact"/>
            </w:pPr>
            <w:r>
              <w:t xml:space="preserve">Approved June 2021; adolescents from age 12 added December 2022. Cardiovascular risk reduction in established heart disease with obesity or overweight, March 2024. MASH with moderate to advanced liver fibrosis, accelerated approval, August 2025.</w:t>
            </w:r>
          </w:p>
        </w:tc>
      </w:tr>
      <w:tr>
        <w:tc>
          <w:tcPr/>
          <w:p>
            <w:pPr>
              <w:pStyle w:val="Compact"/>
            </w:pPr>
            <w:r>
              <w:t xml:space="preserve">Mounjaro (tirzepatide)</w:t>
            </w:r>
          </w:p>
        </w:tc>
        <w:tc>
          <w:tcPr/>
          <w:p>
            <w:pPr>
              <w:pStyle w:val="Compact"/>
            </w:pPr>
            <w:r>
              <w:t xml:space="preserve">Type 2 diabetes</w:t>
            </w:r>
          </w:p>
        </w:tc>
        <w:tc>
          <w:tcPr/>
          <w:p>
            <w:pPr>
              <w:pStyle w:val="Compact"/>
            </w:pPr>
            <w:r>
              <w:t xml:space="preserve">First approved 2022. The label adds cardiovascular risk reduction in type 2 diabetes at high risk.</w:t>
            </w:r>
          </w:p>
        </w:tc>
      </w:tr>
      <w:tr>
        <w:tc>
          <w:tcPr/>
          <w:p>
            <w:pPr>
              <w:pStyle w:val="Compact"/>
            </w:pPr>
            <w:r>
              <w:t xml:space="preserve">Zepbound (tirzepatide)</w:t>
            </w:r>
          </w:p>
        </w:tc>
        <w:tc>
          <w:tcPr/>
          <w:p>
            <w:pPr>
              <w:pStyle w:val="Compact"/>
            </w:pPr>
            <w:r>
              <w:t xml:space="preserve">Chronic weight management</w:t>
            </w:r>
          </w:p>
        </w:tc>
        <w:tc>
          <w:tcPr/>
          <w:p>
            <w:pPr>
              <w:pStyle w:val="Compact"/>
            </w:pPr>
            <w:r>
              <w:t xml:space="preserve">Approved November 2023. Moderate to severe obstructive sleep apnoea with obesity, December 2024.</w:t>
            </w:r>
          </w:p>
        </w:tc>
      </w:tr>
      <w:tr>
        <w:tc>
          <w:tcPr/>
          <w:p>
            <w:pPr>
              <w:pStyle w:val="Compact"/>
            </w:pPr>
            <w:r>
              <w:t xml:space="preserve">Compounded, counterfeit or 'research' versions</w:t>
            </w:r>
          </w:p>
        </w:tc>
        <w:tc>
          <w:tcPr/>
          <w:p>
            <w:pPr>
              <w:pStyle w:val="Compact"/>
            </w:pPr>
            <w:r>
              <w:t xml:space="preserve">Not FDA-approved</w:t>
            </w:r>
          </w:p>
        </w:tc>
        <w:tc>
          <w:tcPr/>
          <w:p>
            <w:pPr>
              <w:pStyle w:val="Compact"/>
            </w:pPr>
            <w:r>
              <w:t xml:space="preserve">FDA warns about compounded, counterfeit and falsely labelled 'research' semaglutide and tirzepatide (page current 1 September 2026). Semaglutide bought online without a prescription has failed independent testing.</w:t>
            </w:r>
          </w:p>
        </w:tc>
      </w:tr>
    </w:tbl>
    <w:p>
      <w:pPr>
        <w:pStyle w:val="BodyText"/>
      </w:pPr>
      <w:r>
        <w:rPr>
          <w:b/>
          <w:bCs/>
        </w:rPr>
        <w:t xml:space="preserve">Callout:</w:t>
      </w:r>
      <w:r>
        <w:t xml:space="preserve"> </w:t>
      </w:r>
      <w:r>
        <w:t xml:space="preserve">Approved for diabetes, weight, the heart, the liver and sleep apnoea. The face is on none of these labels.</w:t>
      </w:r>
    </w:p>
    <w:p>
      <w:pPr>
        <w:pStyle w:val="BodyText"/>
      </w:pPr>
      <w:r>
        <w:t xml:space="preserve">Sources: Novo Nordisk (Ozempic prescribing information) 2026 · Novo Nordisk (Wegovy prescribing information) 2026 · US Food and Drug Administration (Drugs@FDA 2026 · Lincoff AM 2023 · Eli Lilly (Mounjaro prescribing information) 2026 · Eli Lilly (Zepbound prescribing information) 2026 · US Food and Drug Administration (Drugs@FDA 2026 · US Food and Drug Administration 2026 · Ashraf AR 2024 · The Peptide Pocket Guide — 2026 Edition · Clinical Reference (seventy-two entries) 2026</w:t>
      </w:r>
    </w:p>
    <w:bookmarkEnd w:id="71"/>
    <w:bookmarkStart w:id="72" w:name="large-trials-measured-on-the-scale."/>
    <w:p>
      <w:pPr>
        <w:pStyle w:val="Heading3"/>
      </w:pPr>
      <w:r>
        <w:t xml:space="preserve">10 / 20 · Large trials, measured on the scale.</w:t>
      </w:r>
    </w:p>
    <w:p>
      <w:pPr>
        <w:pStyle w:val="FirstParagraph"/>
      </w:pPr>
      <w:r>
        <w:rPr>
          <w:i/>
          <w:iCs/>
        </w:rPr>
        <w:t xml:space="preserve">Human evidence · stat</w:t>
      </w:r>
    </w:p>
    <w:p>
      <w:pPr>
        <w:pStyle w:val="BodyText"/>
      </w:pPr>
      <w:r>
        <w:t xml:space="preserve">In STEP-1, 1,961 adults without diabetes lost a mean 14.9% of body weight on semaglutide over 68 weeks, against 2.4% on placebo. In SURMOUNT-1, 2,539 adults lost 15.0% to 20.9% on tirzepatide over 72 weeks, depending on dose, against 3.1% on placebo. Both Hormonaly guides grade weight management A. Across 35 randomized trials of incretin drugs, a median of about 28% of the weight lost was muscle-related tissue.</w:t>
      </w:r>
    </w:p>
    <w:p>
      <w:pPr>
        <w:pStyle w:val="BodyText"/>
      </w:pPr>
      <w:r>
        <w:rPr>
          <w:b/>
          <w:bCs/>
        </w:rPr>
        <w:t xml:space="preserve">14.9% · 20.9%</w:t>
      </w:r>
      <w:r>
        <w:t xml:space="preserve"> </w:t>
      </w:r>
      <w:r>
        <w:t xml:space="preserve">— mean weight loss in STEP-1 (semaglutide, 68 weeks) and SURMOUNT-1 (tirzepatide, highest dose, 72 weeks) (Placebo 2.4% and 3.1% · both trials industry-funded, both the basis for approval)</w:t>
      </w:r>
      <w:r>
        <w:br/>
      </w:r>
      <w:r>
        <w:rPr>
          <w:i/>
          <w:iCs/>
        </w:rPr>
        <w:t xml:space="preserve">Means:</w:t>
      </w:r>
      <w:r>
        <w:t xml:space="preserve"> </w:t>
      </w:r>
      <w:r>
        <w:t xml:space="preserve">These drugs produce large, reproducible weight loss in randomized trials: GRADE A for the approved indications. Part of what is lost is lean tissue, which is why the Hormonaly guide pairs treatment with protein and resistance training.</w:t>
      </w:r>
      <w:r>
        <w:br/>
      </w:r>
      <w:r>
        <w:rPr>
          <w:i/>
          <w:iCs/>
        </w:rPr>
        <w:t xml:space="preserve">Does not mean:</w:t>
      </w:r>
      <w:r>
        <w:t xml:space="preserve"> </w:t>
      </w:r>
      <w:r>
        <w:t xml:space="preserve">Neither pivotal trial measured facial fat, skin laxity or appearance. An A for weight loss says nothing about the face.</w:t>
      </w:r>
    </w:p>
    <w:p>
      <w:pPr>
        <w:pStyle w:val="BodyText"/>
      </w:pPr>
      <w:r>
        <w:t xml:space="preserve">Sources: Wilding JPH 2021 · Jastreboff AM 2022 · Batsis JA 2026 · Aesthetic &amp; Regenerative Endocrinology — A Clinician's Pocket Guide 2026 · The Peptide Pocket Guide — 2026 Edition · Clinical Reference (seventy-two entries) 2026</w:t>
      </w:r>
    </w:p>
    <w:bookmarkEnd w:id="72"/>
    <w:bookmarkStart w:id="73" w:name="ozempic-face-answer-by-answer."/>
    <w:p>
      <w:pPr>
        <w:pStyle w:val="Heading3"/>
      </w:pPr>
      <w:r>
        <w:t xml:space="preserve">11 / 20 · 'Ozempic face', answer by answer.</w:t>
      </w:r>
    </w:p>
    <w:p>
      <w:pPr>
        <w:pStyle w:val="FirstParagraph"/>
      </w:pPr>
      <w:r>
        <w:rPr>
          <w:i/>
          <w:iCs/>
        </w:rPr>
        <w:t xml:space="preserve">Four registers · tool</w:t>
      </w:r>
    </w:p>
    <w:p>
      <w:pPr>
        <w:pStyle w:val="BodyText"/>
      </w:pPr>
      <w:r>
        <w:t xml:space="preserve">The phrase bundles four kinds of statement. Kept apart, they tell a patient far more than the headline does.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Volume loss</w:t>
            </w:r>
          </w:p>
        </w:tc>
        <w:tc>
          <w:tcPr/>
          <w:p>
            <w:pPr>
              <w:pStyle w:val="Compact"/>
            </w:pPr>
            <w:r>
              <w:t xml:space="preserve">Losing fat deflates the superficial facial compartments and unmasks laxity that was already there.</w:t>
            </w:r>
          </w:p>
        </w:tc>
      </w:tr>
      <w:tr>
        <w:tc>
          <w:tcPr/>
          <w:p>
            <w:pPr>
              <w:pStyle w:val="Compact"/>
            </w:pPr>
            <w:r>
              <w:t xml:space="preserve">Human evidence</w:t>
            </w:r>
          </w:p>
        </w:tc>
        <w:tc>
          <w:tcPr/>
          <w:p>
            <w:pPr>
              <w:pStyle w:val="Compact"/>
            </w:pPr>
            <w:r>
              <w:t xml:space="preserve">Observational and small: C to D</w:t>
            </w:r>
          </w:p>
        </w:tc>
        <w:tc>
          <w:tcPr/>
          <w:p>
            <w:pPr>
              <w:pStyle w:val="Compact"/>
            </w:pPr>
            <w:r>
              <w:t xml:space="preserve">One imaging study of 20 patients found a median 9% loss of midface volume, mostly superficial, about 7% per 10 kg lost. A survey of 1,226 patients found sagging, facial volume loss and hair shedding reported more often the more weight was lost. A systematic review of the plastic-surgery literature found it limited by study bias. No randomized trial has measured the face.</w:t>
            </w:r>
          </w:p>
        </w:tc>
      </w:tr>
      <w:tr>
        <w:tc>
          <w:tcPr/>
          <w:p>
            <w:pPr>
              <w:pStyle w:val="Compact"/>
            </w:pPr>
            <w:r>
              <w:t xml:space="preserve">Regulatory status (US, September 2026)</w:t>
            </w:r>
          </w:p>
        </w:tc>
        <w:tc>
          <w:tcPr/>
          <w:p>
            <w:pPr>
              <w:pStyle w:val="Compact"/>
            </w:pPr>
            <w:r>
              <w:t xml:space="preserve">Hair loss labelled; facial change unlisted</w:t>
            </w:r>
          </w:p>
        </w:tc>
        <w:tc>
          <w:tcPr/>
          <w:p>
            <w:pPr>
              <w:pStyle w:val="Compact"/>
            </w:pPr>
            <w:r>
              <w:t xml:space="preserve">Both labels list hair loss (about 3–6% on drug against about 1% on placebo, mostly in women, linked to weight reduction). The semaglutide label also lists altered skin sensation. Facial volume loss is not a labelled adverse reaction.</w:t>
            </w:r>
          </w:p>
        </w:tc>
      </w:tr>
      <w:tr>
        <w:tc>
          <w:tcPr/>
          <w:p>
            <w:pPr>
              <w:pStyle w:val="Compact"/>
            </w:pPr>
            <w:r>
              <w:t xml:space="preserve">Open question</w:t>
            </w:r>
          </w:p>
        </w:tc>
        <w:tc>
          <w:tcPr/>
          <w:p>
            <w:pPr>
              <w:pStyle w:val="Compact"/>
            </w:pPr>
            <w:r>
              <w:t xml:space="preserve">A direct drug effect?</w:t>
            </w:r>
          </w:p>
        </w:tc>
        <w:tc>
          <w:tcPr/>
          <w:p>
            <w:pPr>
              <w:pStyle w:val="Compact"/>
            </w:pPr>
            <w:r>
              <w:t xml:space="preserve">Whether these drugs act on facial fat or skin cells beyond the effect of weight loss rests on cell studies and has not been tested in people.</w:t>
            </w:r>
          </w:p>
        </w:tc>
      </w:tr>
    </w:tbl>
    <w:p>
      <w:pPr>
        <w:pStyle w:val="BodyText"/>
      </w:pPr>
      <w:r>
        <w:rPr>
          <w:b/>
          <w:bCs/>
        </w:rPr>
        <w:t xml:space="preserve">Callout:</w:t>
      </w:r>
      <w:r>
        <w:t xml:space="preserve"> </w:t>
      </w:r>
      <w:r>
        <w:t xml:space="preserve">So far, the evidence ties facial change to how much weight is lost.</w:t>
      </w:r>
    </w:p>
    <w:p>
      <w:pPr>
        <w:pStyle w:val="BodyText"/>
      </w:pPr>
      <w:r>
        <w:t xml:space="preserve">Sources: Rohrich RJ 2007 · Sharma RK 2025 · Rao S 2026 · Daneshgaran G 2025 · Humphrey CD 2023 · Novo Nordisk (Wegovy prescribing information) 2026 · Eli Lilly (Zepbound prescribing information) 2026 · Paschou IA 2025 · Persson C 2025 · Burke OM 2025 · Aesthetic &amp; Regenerative Endocrinology — A Clinician's Pocket Guide 2026</w:t>
      </w:r>
    </w:p>
    <w:bookmarkEnd w:id="73"/>
    <w:bookmarkStart w:id="74" w:name="X886235e3656c049d5ada19a3971c7a56c7b8c45"/>
    <w:p>
      <w:pPr>
        <w:pStyle w:val="Heading3"/>
      </w:pPr>
      <w:r>
        <w:t xml:space="preserve">12 / 20 · Counsel before, record during, refer when asked.</w:t>
      </w:r>
    </w:p>
    <w:p>
      <w:pPr>
        <w:pStyle w:val="FirstParagraph"/>
      </w:pPr>
      <w:r>
        <w:rPr>
          <w:i/>
          <w:iCs/>
        </w:rPr>
        <w:t xml:space="preserve">What changes in practice · audio</w:t>
      </w:r>
    </w:p>
    <w:p>
      <w:pPr>
        <w:pStyle w:val="BodyText"/>
      </w:pPr>
      <w:r>
        <w:t xml:space="preserve">Raise facial volume change and hair shedding before treatment starts; the Hormonaly guide advises this especially for older patients. During treatment, photograph the face with consent, and support the protein intake and resistance training the guide recommends to protect lean mass. When a patient wants the face restored, refer to a qualified aesthetic or dermatology colleague. Published advice on restoration is expert opinion, the main consensus statement was developed with industry involvement, and randomized trials of fillers and devices in these patients are registered without results. Decisions about the medicine itself stay with the prescriber and the patient.</w:t>
      </w:r>
    </w:p>
    <w:p>
      <w:pPr>
        <w:pStyle w:val="Compact"/>
        <w:numPr>
          <w:ilvl w:val="0"/>
          <w:numId w:val="1026"/>
        </w:numPr>
      </w:pPr>
      <w:r>
        <w:t xml:space="preserve">Before: set expectations about face and hair</w:t>
      </w:r>
    </w:p>
    <w:p>
      <w:pPr>
        <w:pStyle w:val="Compact"/>
        <w:numPr>
          <w:ilvl w:val="0"/>
          <w:numId w:val="1026"/>
        </w:numPr>
      </w:pPr>
      <w:r>
        <w:t xml:space="preserve">During: photographs with consent, protect lean mass</w:t>
      </w:r>
    </w:p>
    <w:p>
      <w:pPr>
        <w:pStyle w:val="Compact"/>
        <w:numPr>
          <w:ilvl w:val="0"/>
          <w:numId w:val="1026"/>
        </w:numPr>
      </w:pPr>
      <w:r>
        <w:t xml:space="preserve">When asked: refer for restoration</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Put facial volume change and hair shedding into the consent conversation before you start, and document it. At follow-up, review nutrition, strength training and consented photographs. Keep the indication in view, and refer restoration requests rather than improvising them.</w:t>
      </w:r>
      <w:r>
        <w:t xml:space="preserve"> </w:t>
      </w:r>
      <w:r>
        <w:t xml:space="preserve">-</w:t>
      </w:r>
      <w:r>
        <w:t xml:space="preserve"> </w:t>
      </w:r>
      <w:r>
        <w:rPr>
          <w:i/>
          <w:iCs/>
        </w:rPr>
        <w:t xml:space="preserve">Clinical staff:</w:t>
      </w:r>
      <w:r>
        <w:t xml:space="preserve"> </w:t>
      </w:r>
      <w:r>
        <w:t xml:space="preserve">Record the patient's concern, the medicine and who prescribes it, and consented photographs. Do not suggest pausing or changing the medicine; bring the concern to the prescriber and pass restoration questions to the aesthetic lead.</w:t>
      </w:r>
      <w:r>
        <w:t xml:space="preserve"> </w:t>
      </w:r>
      <w:r>
        <w:t xml:space="preserve">-</w:t>
      </w:r>
      <w:r>
        <w:t xml:space="preserve"> </w:t>
      </w:r>
      <w:r>
        <w:rPr>
          <w:i/>
          <w:iCs/>
        </w:rPr>
        <w:t xml:space="preserve">Advisor:</w:t>
      </w:r>
      <w:r>
        <w:t xml:space="preserve"> </w:t>
      </w:r>
      <w:r>
        <w:t xml:space="preserve">Explain that facial change tracks the weight lost and that hair loss is a listed side effect. Questions about the dose or about stopping belong with the prescriber; restoration questions belong with a qualified aesthetic clinician.</w:t>
      </w:r>
    </w:p>
    <w:p>
      <w:pPr>
        <w:pStyle w:val="BodyText"/>
      </w:pPr>
      <w:r>
        <w:t xml:space="preserve">Narration script</w:t>
      </w:r>
    </w:p>
    <w:p>
      <w:pPr>
        <w:pStyle w:val="BodyText"/>
      </w:pPr>
      <w:r>
        <w:t xml:space="preserve">Three moments matter in practice. Before treatment starts, raise facial volume change and hair shedding as possibilities, especially with older patients, as the Hormonaly guide advises, and record that you did. During treatment, photograph the face with consent so that change is measured rather than remembered, and support the protein intake and resistance training the guide recommends to protect lean mass. When a patient asks for help with the face, refer to a qualified aesthetic or dermatology colleague. The published advice on restoring volume after drug-driven weight loss is expert opinion, the main consensus statement was developed with industry involvement, and randomized trials of fillers and devices in these patients are registered with no results yet. Whatever your role, decisions about the medicine itself stay with the prescriber and the patient.</w:t>
      </w:r>
    </w:p>
    <w:p>
      <w:pPr>
        <w:pStyle w:val="BodyText"/>
      </w:pPr>
      <w:r>
        <w:t xml:space="preserve">Sources: Aesthetic &amp; Regenerative Endocrinology — A Clinician's Pocket Guide 2026 · Humphrey CD 2023 · Nikolis A 2025 · Kalpna Kay Durairaj 2026 · Sofwave Medical LTD 2026 · Batsis JA 2026</w:t>
      </w:r>
    </w:p>
    <w:bookmarkEnd w:id="74"/>
    <w:bookmarkStart w:id="75" w:name="X2147cdf897072fb44397e945552828632fe8fca"/>
    <w:p>
      <w:pPr>
        <w:pStyle w:val="Heading3"/>
      </w:pPr>
      <w:r>
        <w:t xml:space="preserve">13 / 20 · Ten months in, and unhappy with the mirror.</w:t>
      </w:r>
    </w:p>
    <w:p>
      <w:pPr>
        <w:pStyle w:val="FirstParagraph"/>
      </w:pPr>
      <w:r>
        <w:rPr>
          <w:i/>
          <w:iCs/>
        </w:rPr>
        <w:t xml:space="preserve">Fictional case · audio</w:t>
      </w:r>
    </w:p>
    <w:p>
      <w:pPr>
        <w:pStyle w:val="BodyText"/>
      </w:pPr>
      <w:r>
        <w:t xml:space="preserve">A 58-year-old patient has taken semaglutide for obesity for ten months, prescribed by her physician, and has lost 18% of her body weight. Her blood pressure and glucose have improved. She is distressed by hollow cheeks, new laxity along the jaw and more hair in her brush, and asks whether she should stop the injections. This is a fictional case built from the lesson's evidence; there is one right first move.</w:t>
      </w:r>
    </w:p>
    <w:p>
      <w:pPr>
        <w:pStyle w:val="Compact"/>
        <w:numPr>
          <w:ilvl w:val="0"/>
          <w:numId w:val="1027"/>
        </w:numPr>
      </w:pPr>
      <w:r>
        <w:t xml:space="preserve">Facial volume loss tracks the weight lost</w:t>
      </w:r>
    </w:p>
    <w:p>
      <w:pPr>
        <w:pStyle w:val="Compact"/>
        <w:numPr>
          <w:ilvl w:val="0"/>
          <w:numId w:val="1027"/>
        </w:numPr>
      </w:pPr>
      <w:r>
        <w:t xml:space="preserve">Hair loss is a labelled side effect, more common in women</w:t>
      </w:r>
    </w:p>
    <w:p>
      <w:pPr>
        <w:pStyle w:val="Compact"/>
        <w:numPr>
          <w:ilvl w:val="0"/>
          <w:numId w:val="1027"/>
        </w:numPr>
      </w:pPr>
      <w:r>
        <w:t xml:space="preserve">The indication is responding; the medicine decision is the prescriber's</w:t>
      </w:r>
    </w:p>
    <w:p>
      <w:pPr>
        <w:pStyle w:val="FirstParagraph"/>
      </w:pPr>
      <w:r>
        <w:rPr>
          <w:b/>
          <w:bCs/>
        </w:rPr>
        <w:t xml:space="preserve">Exercise (scenario) · What do you do first?</w:t>
      </w:r>
      <w:r>
        <w:t xml:space="preserve"> </w:t>
      </w:r>
      <w:r>
        <w:t xml:space="preserve">—</w:t>
      </w:r>
    </w:p>
    <w:p>
      <w:pPr>
        <w:pStyle w:val="BodyText"/>
      </w:pPr>
      <w:r>
        <w:t xml:space="preserve">A 58-year-old patient has taken semaglutide for obesity for ten months, prescribed by her physician, and has lost 18% of her body weight. Her blood pressure and glucose have improved. She is distressed by hollow cheeks, new laxity along the jaw and more hair in her brush, and asks whether she should stop the injections.</w:t>
      </w:r>
    </w:p>
    <w:p>
      <w:pPr>
        <w:pStyle w:val="Compact"/>
        <w:numPr>
          <w:ilvl w:val="0"/>
          <w:numId w:val="1028"/>
        </w:numPr>
      </w:pPr>
      <w:r>
        <w:t xml:space="preserve">✗ Tell her to stop the injections; her face matters more than the scale. —</w:t>
      </w:r>
      <w:r>
        <w:t xml:space="preserve"> </w:t>
      </w:r>
      <w:r>
        <w:rPr>
          <w:i/>
          <w:iCs/>
        </w:rPr>
        <w:t xml:space="preserve">That is a medication decision made on one side effect, outside her prescriber's care, and it sets aside an indication that is working.</w:t>
      </w:r>
    </w:p>
    <w:p>
      <w:pPr>
        <w:pStyle w:val="Compact"/>
        <w:numPr>
          <w:ilvl w:val="0"/>
          <w:numId w:val="1028"/>
        </w:numPr>
      </w:pPr>
      <w:r>
        <w:t xml:space="preserve">✔ Acknowledge the change, explain that it follows the weight lost, record it with consented photographs, and take the stop-or-continue question to her prescriber, with a referral for restoration if she wants one. —</w:t>
      </w:r>
      <w:r>
        <w:t xml:space="preserve"> </w:t>
      </w:r>
      <w:r>
        <w:rPr>
          <w:i/>
          <w:iCs/>
        </w:rPr>
        <w:t xml:space="preserve">Right. Counsel, record, refer. The medicine decision stays with her prescriber, and restoration goes to someone qualified to provide it.</w:t>
      </w:r>
    </w:p>
    <w:p>
      <w:pPr>
        <w:pStyle w:val="Compact"/>
        <w:numPr>
          <w:ilvl w:val="0"/>
          <w:numId w:val="1028"/>
        </w:numPr>
      </w:pPr>
      <w:r>
        <w:t xml:space="preserve">✗ Reassure her that her face will fill out again once her weight settles. —</w:t>
      </w:r>
      <w:r>
        <w:t xml:space="preserve"> </w:t>
      </w:r>
      <w:r>
        <w:rPr>
          <w:i/>
          <w:iCs/>
        </w:rPr>
        <w:t xml:space="preserve">That promise has no evidence behind it; no study found for this course followed facial volume after the weight loss stopped.</w:t>
      </w:r>
    </w:p>
    <w:p>
      <w:pPr>
        <w:pStyle w:val="FirstParagraph"/>
      </w:pPr>
      <w:r>
        <w:t xml:space="preserve">Follow-up: Then document the conversation: her concerns, what you explained, and who she will see next.</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 own the medication conversation: review her progress against the indication, her nutrition, strength training and hair, and refer for restoration if she wants it. Document the discussion.</w:t>
      </w:r>
      <w:r>
        <w:t xml:space="preserve"> </w:t>
      </w:r>
      <w:r>
        <w:t xml:space="preserve">-</w:t>
      </w:r>
      <w:r>
        <w:t xml:space="preserve"> </w:t>
      </w:r>
      <w:r>
        <w:rPr>
          <w:i/>
          <w:iCs/>
        </w:rPr>
        <w:t xml:space="preserve">Clinical staff:</w:t>
      </w:r>
      <w:r>
        <w:t xml:space="preserve"> </w:t>
      </w:r>
      <w:r>
        <w:t xml:space="preserve">You record the concern, consented photographs and the hair change, and bring it to the prescriber this week. You do not advise on the dose or on stopping.</w:t>
      </w:r>
      <w:r>
        <w:t xml:space="preserve"> </w:t>
      </w:r>
      <w:r>
        <w:t xml:space="preserve">-</w:t>
      </w:r>
      <w:r>
        <w:t xml:space="preserve"> </w:t>
      </w:r>
      <w:r>
        <w:rPr>
          <w:i/>
          <w:iCs/>
        </w:rPr>
        <w:t xml:space="preserve">Advisor:</w:t>
      </w:r>
      <w:r>
        <w:t xml:space="preserve"> </w:t>
      </w:r>
      <w:r>
        <w:t xml:space="preserve">You explain what is known, suggest she talk to her prescriber before changing anything, and point her to a qualified aesthetic clinician for restoration questions.</w:t>
      </w:r>
    </w:p>
    <w:p>
      <w:pPr>
        <w:pStyle w:val="BodyText"/>
      </w:pPr>
      <w:r>
        <w:t xml:space="preserve">Narration script</w:t>
      </w:r>
    </w:p>
    <w:p>
      <w:pPr>
        <w:pStyle w:val="BodyText"/>
      </w:pPr>
      <w:r>
        <w:t xml:space="preserve">Picture a fifty-eight-year-old patient, fictional and built from this lesson's evidence. She has taken semaglutide for obesity for ten months, prescribed by her physician, and has lost eighteen percent of her body weight. Her blood pressure and glucose have improved. She is distressed by hollow cheeks and new looseness along the jaw, and she is finding more hair in her brush. She asks whether she should stop the injections. Consider what the evidence says. In the studies so far, facial volume loss tracks the amount of weight lost. Hair loss is a labelled side effect, reported more often in women and linked to weight reduction. The drug was prescribed for a medical reason, and that reason is going well. Decide how you would answer her.</w:t>
      </w:r>
    </w:p>
    <w:p>
      <w:pPr>
        <w:pStyle w:val="BodyText"/>
      </w:pPr>
      <w:r>
        <w:t xml:space="preserve">Sources: Sharma RK 2025 · Rao S 2026 · Novo Nordisk (Wegovy prescribing information) 2026 · Nikolis A 2025 · Aesthetic &amp; Regenerative Endocrinology — A Clinician's Pocket Guide 2026</w:t>
      </w:r>
    </w:p>
    <w:bookmarkEnd w:id="75"/>
    <w:bookmarkStart w:id="76" w:name="what-the-evidence-shows."/>
    <w:p>
      <w:pPr>
        <w:pStyle w:val="Heading3"/>
      </w:pPr>
      <w:r>
        <w:t xml:space="preserve">14 / 20 · What the evidence shows.</w:t>
      </w:r>
    </w:p>
    <w:p>
      <w:pPr>
        <w:pStyle w:val="FirstParagraph"/>
      </w:pPr>
      <w:r>
        <w:rPr>
          <w:i/>
          <w:iCs/>
        </w:rPr>
        <w:t xml:space="preserve">Your turn · quiz</w:t>
      </w:r>
    </w:p>
    <w:p>
      <w:pPr>
        <w:pStyle w:val="BodyText"/>
      </w:pPr>
      <w:r>
        <w:t xml:space="preserve">One question to close lesson 3.2.</w:t>
      </w:r>
    </w:p>
    <w:p>
      <w:pPr>
        <w:pStyle w:val="BodyText"/>
      </w:pPr>
      <w:r>
        <w:rPr>
          <w:b/>
          <w:bCs/>
        </w:rPr>
        <w:t xml:space="preserve">Q.</w:t>
      </w:r>
      <w:r>
        <w:t xml:space="preserve"> </w:t>
      </w:r>
      <w:r>
        <w:t xml:space="preserve">Which statement about facial change on semaglutide or tirzepatide matches the evidence as of September 2026?</w:t>
      </w:r>
      <w:r>
        <w:t xml:space="preserve"> </w:t>
      </w:r>
      <w:r>
        <w:t xml:space="preserve">- ✗ Randomized trials show these drugs age facial skin directly. —</w:t>
      </w:r>
      <w:r>
        <w:t xml:space="preserve"> </w:t>
      </w:r>
      <w:r>
        <w:rPr>
          <w:i/>
          <w:iCs/>
        </w:rPr>
        <w:t xml:space="preserve">No randomized trial has measured the face, and a direct effect on skin is a hypothesis from cell studies.</w:t>
      </w:r>
      <w:r>
        <w:t xml:space="preserve"> </w:t>
      </w:r>
      <w:r>
        <w:t xml:space="preserve">- ✔ Facial volume loss is reported in small observational studies and tracks the amount of weight lost; no randomized trial has measured it. —</w:t>
      </w:r>
      <w:r>
        <w:t xml:space="preserve"> </w:t>
      </w:r>
      <w:r>
        <w:rPr>
          <w:i/>
          <w:iCs/>
        </w:rPr>
        <w:t xml:space="preserve">Correct. Observational, small, and consistent with weight loss as the driver.</w:t>
      </w:r>
      <w:r>
        <w:t xml:space="preserve"> </w:t>
      </w:r>
      <w:r>
        <w:t xml:space="preserve">- ✗ Facial volume loss is a labelled adverse reaction in the US prescribing information. —</w:t>
      </w:r>
      <w:r>
        <w:t xml:space="preserve"> </w:t>
      </w:r>
      <w:r>
        <w:rPr>
          <w:i/>
          <w:iCs/>
        </w:rPr>
        <w:t xml:space="preserve">Hair loss is labelled. Facial volume loss is not.</w:t>
      </w:r>
    </w:p>
    <w:bookmarkEnd w:id="76"/>
    <w:bookmarkEnd w:id="77"/>
    <w:bookmarkStart w:id="84" w:name="Xd848263627fed36b35a8e128898a0db005e5945"/>
    <w:p>
      <w:pPr>
        <w:pStyle w:val="Heading2"/>
      </w:pPr>
      <w:r>
        <w:t xml:space="preserve">Lesson 3.3 · Gut barrier, endotoxaemia and inflammaging</w:t>
      </w:r>
    </w:p>
    <w:bookmarkStart w:id="78" w:name="inflammation-that-comes-with-age."/>
    <w:p>
      <w:pPr>
        <w:pStyle w:val="Heading3"/>
      </w:pPr>
      <w:r>
        <w:t xml:space="preserve">15 / 20 · Inflammation that comes with age.</w:t>
      </w:r>
    </w:p>
    <w:p>
      <w:pPr>
        <w:pStyle w:val="FirstParagraph"/>
      </w:pPr>
      <w:r>
        <w:rPr>
          <w:i/>
          <w:iCs/>
        </w:rPr>
        <w:t xml:space="preserve">Lesson 3.3 · Concept · audio</w:t>
      </w:r>
    </w:p>
    <w:p>
      <w:pPr>
        <w:pStyle w:val="BodyText"/>
      </w:pPr>
      <w:r>
        <w:t xml:space="preserve">Inflammaging is the chronic, low-grade, sterile inflammation that rises with age. In older adults, higher IL-6 and CRP predict frailty and death. One proposed source is the gut. In mice, a high-fat diet raises circulating bacterial lipopolysaccharide, and infusing it reproduces weight gain and insulin resistance. In 12 healthy men, a single high-fat meal raised plasma endotoxin within four hours. Whether a leaky gut drives skin disease in people has not been shown.</w:t>
      </w:r>
    </w:p>
    <w:p>
      <w:pPr>
        <w:pStyle w:val="Compact"/>
        <w:numPr>
          <w:ilvl w:val="0"/>
          <w:numId w:val="1029"/>
        </w:numPr>
      </w:pPr>
      <w:r>
        <w:t xml:space="preserve">Inflammaging: low-grade, sterile, age-related</w:t>
      </w:r>
    </w:p>
    <w:p>
      <w:pPr>
        <w:pStyle w:val="Compact"/>
        <w:numPr>
          <w:ilvl w:val="0"/>
          <w:numId w:val="1029"/>
        </w:numPr>
      </w:pPr>
      <w:r>
        <w:t xml:space="preserve">Metabolic endotoxaemia: gut bacterial LPS in the blood</w:t>
      </w:r>
    </w:p>
    <w:p>
      <w:pPr>
        <w:pStyle w:val="Compact"/>
        <w:numPr>
          <w:ilvl w:val="0"/>
          <w:numId w:val="1029"/>
        </w:numPr>
      </w:pPr>
      <w:r>
        <w:t xml:space="preserve">Gut to skin in people: not shown</w:t>
      </w:r>
    </w:p>
    <w:p>
      <w:pPr>
        <w:pStyle w:val="FirstParagraph"/>
      </w:pPr>
      <w:r>
        <w:t xml:space="preserve">Narration script</w:t>
      </w:r>
    </w:p>
    <w:p>
      <w:pPr>
        <w:pStyle w:val="BodyText"/>
      </w:pPr>
      <w:r>
        <w:t xml:space="preserve">Ageing brings a slow rise in background inflammation, called inflammaging. It is low-grade and sterile, and in older adults higher IL-6 and C-reactive protein predict frailty, disability and death. One proposed source is the gut. In mice, a high-fat diet raises bacterial lipopolysaccharide in the blood, and infusing that endotoxin reproduces weight gain and insulin resistance. In twelve healthy men, a single high-fat meal raised plasma endotoxin within four hours. That is the mechanism usually called metabolic endotoxaemia, or leaky gut. The human evidence stops short of the skin. Measuring gut permeability is difficult, and a leading review concludes that it is still unproven whether restoring the barrier improves disease outside the gut. Hold that line as you look at what patients are sold.</w:t>
      </w:r>
    </w:p>
    <w:p>
      <w:pPr>
        <w:pStyle w:val="BodyText"/>
      </w:pPr>
      <w:r>
        <w:t xml:space="preserve">Sources: Franceschi C 2000 · Ferrucci L 2018 · Cani PD 2007 · Erridge C 2007 · Camilleri M 2019 · Aesthetic &amp; Regenerative Endocrinology — A Clinician's Pocket Guide 2026</w:t>
      </w:r>
    </w:p>
    <w:bookmarkEnd w:id="78"/>
    <w:bookmarkStart w:id="79" w:name="X3fe18d209fdab85c46c8f7b306b40471a077b4f"/>
    <w:p>
      <w:pPr>
        <w:pStyle w:val="Heading3"/>
      </w:pPr>
      <w:r>
        <w:t xml:space="preserve">16 / 20 · Thirty-nine trials of probiotics for eczema.</w:t>
      </w:r>
    </w:p>
    <w:p>
      <w:pPr>
        <w:pStyle w:val="FirstParagraph"/>
      </w:pPr>
      <w:r>
        <w:rPr>
          <w:i/>
          <w:iCs/>
        </w:rPr>
        <w:t xml:space="preserve">The evidence · stat</w:t>
      </w:r>
    </w:p>
    <w:p>
      <w:pPr>
        <w:pStyle w:val="BodyText"/>
      </w:pPr>
      <w:r>
        <w:t xml:space="preserve">An independent Cochrane review pooled 39 randomized trials, with 2,599 participants, of oral probiotics for eczema. Probiotics probably make little or no difference to patient-rated symptoms, and investigator-rated severity fell by less than the minimum clinically important difference. A 2024 European task-force meta-analysis in children without food allergy reported a significant fall in severity scores.</w:t>
      </w:r>
    </w:p>
    <w:p>
      <w:pPr>
        <w:pStyle w:val="BodyText"/>
      </w:pPr>
      <w:r>
        <w:rPr>
          <w:b/>
          <w:bCs/>
        </w:rPr>
        <w:t xml:space="preserve">39 RCTs</w:t>
      </w:r>
      <w:r>
        <w:t xml:space="preserve"> </w:t>
      </w:r>
      <w:r>
        <w:t xml:space="preserve">— in the Cochrane review of oral probiotics for treating eczema (2,599 participants · little or no difference in patient-rated symptoms (moderate-certainty evidence))</w:t>
      </w:r>
      <w:r>
        <w:br/>
      </w:r>
      <w:r>
        <w:rPr>
          <w:i/>
          <w:iCs/>
        </w:rPr>
        <w:t xml:space="preserve">Means:</w:t>
      </w:r>
      <w:r>
        <w:t xml:space="preserve"> </w:t>
      </w:r>
      <w:r>
        <w:t xml:space="preserve">The most direct test of 'treat the gut, help the skin' in a common inflammatory skin disease shows, at most, a small effect. GRADE B for little or no benefit a patient would notice.</w:t>
      </w:r>
      <w:r>
        <w:br/>
      </w:r>
      <w:r>
        <w:rPr>
          <w:i/>
          <w:iCs/>
        </w:rPr>
        <w:t xml:space="preserve">Does not mean:</w:t>
      </w:r>
      <w:r>
        <w:t xml:space="preserve"> </w:t>
      </w:r>
      <w:r>
        <w:t xml:space="preserve">It does not rule out benefit from particular strains or in particular groups, and it says nothing about skin ageing. Newer pooled analyses in children report small improvements.</w:t>
      </w:r>
    </w:p>
    <w:p>
      <w:pPr>
        <w:pStyle w:val="BodyText"/>
      </w:pPr>
      <w:r>
        <w:t xml:space="preserve">Sources: Makrgeorgou A 2018 · Vassilopoulou E 2024 · Suez J 2019 · Aesthetic &amp; Regenerative Endocrinology — A Clinician's Pocket Guide 2026</w:t>
      </w:r>
    </w:p>
    <w:bookmarkEnd w:id="79"/>
    <w:bookmarkStart w:id="80" w:name="what-has-been-tested-on-skin"/>
    <w:p>
      <w:pPr>
        <w:pStyle w:val="Heading3"/>
      </w:pPr>
      <w:r>
        <w:t xml:space="preserve">17 / 20 · What has been tested on skin?</w:t>
      </w:r>
    </w:p>
    <w:p>
      <w:pPr>
        <w:pStyle w:val="FirstParagraph"/>
      </w:pPr>
      <w:r>
        <w:rPr>
          <w:i/>
          <w:iCs/>
        </w:rPr>
        <w:t xml:space="preserve">Sort the toolkit · tool</w:t>
      </w:r>
    </w:p>
    <w:p>
      <w:pPr>
        <w:pStyle w:val="BodyText"/>
      </w:pPr>
      <w:r>
        <w:t xml:space="preserve">Six things patients bring you under the heading 'gut health for skin'. One at a time, decide what stands behind each.</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Probiotic capsules</w:t>
            </w:r>
          </w:p>
        </w:tc>
        <w:tc>
          <w:tcPr/>
          <w:p>
            <w:pPr>
              <w:pStyle w:val="Compact"/>
            </w:pPr>
            <w:r>
              <w:t xml:space="preserve">Sold to calm eczema</w:t>
            </w:r>
          </w:p>
        </w:tc>
        <w:tc>
          <w:tcPr/>
          <w:p>
            <w:pPr>
              <w:pStyle w:val="Compact"/>
            </w:pPr>
            <w:r>
              <w:t xml:space="preserve">Supplement</w:t>
            </w:r>
          </w:p>
        </w:tc>
      </w:tr>
      <w:tr>
        <w:tc>
          <w:tcPr/>
          <w:p>
            <w:pPr>
              <w:pStyle w:val="Compact"/>
            </w:pPr>
            <w:r>
              <w:t xml:space="preserve">Rifaximin for rosacea with bacterial overgrowth</w:t>
            </w:r>
          </w:p>
        </w:tc>
        <w:tc>
          <w:tcPr/>
          <w:p>
            <w:pPr>
              <w:pStyle w:val="Compact"/>
            </w:pPr>
            <w:r>
              <w:t xml:space="preserve">Used to clear rosacea</w:t>
            </w:r>
          </w:p>
        </w:tc>
        <w:tc>
          <w:tcPr/>
          <w:p>
            <w:pPr>
              <w:pStyle w:val="Compact"/>
            </w:pPr>
            <w:r>
              <w:t xml:space="preserve">Prescription antibiotic</w:t>
            </w:r>
          </w:p>
        </w:tc>
      </w:tr>
      <w:tr>
        <w:tc>
          <w:tcPr/>
          <w:p>
            <w:pPr>
              <w:pStyle w:val="Compact"/>
            </w:pPr>
            <w:r>
              <w:t xml:space="preserve">Tirzepatide added to a psoriasis biologic</w:t>
            </w:r>
          </w:p>
        </w:tc>
        <w:tc>
          <w:tcPr/>
          <w:p>
            <w:pPr>
              <w:pStyle w:val="Compact"/>
            </w:pPr>
            <w:r>
              <w:t xml:space="preserve">Proposed to clear psoriasis and reduce weight</w:t>
            </w:r>
          </w:p>
        </w:tc>
        <w:tc>
          <w:tcPr/>
          <w:p>
            <w:pPr>
              <w:pStyle w:val="Compact"/>
            </w:pPr>
            <w:r>
              <w:t xml:space="preserve">Prescription drug</w:t>
            </w:r>
          </w:p>
        </w:tc>
      </w:tr>
      <w:tr>
        <w:tc>
          <w:tcPr/>
          <w:p>
            <w:pPr>
              <w:pStyle w:val="Compact"/>
            </w:pPr>
            <w:r>
              <w:t xml:space="preserve">A high-fibre, plant-rich diet</w:t>
            </w:r>
          </w:p>
        </w:tc>
        <w:tc>
          <w:tcPr/>
          <w:p>
            <w:pPr>
              <w:pStyle w:val="Compact"/>
            </w:pPr>
            <w:r>
              <w:t xml:space="preserve">Said to improve skin through the gut</w:t>
            </w:r>
          </w:p>
        </w:tc>
        <w:tc>
          <w:tcPr/>
          <w:p>
            <w:pPr>
              <w:pStyle w:val="Compact"/>
            </w:pPr>
            <w:r>
              <w:t xml:space="preserve">Diet</w:t>
            </w:r>
          </w:p>
        </w:tc>
      </w:tr>
      <w:tr>
        <w:tc>
          <w:tcPr/>
          <w:p>
            <w:pPr>
              <w:pStyle w:val="Compact"/>
            </w:pPr>
            <w:r>
              <w:t xml:space="preserve">Akkermansia capsules</w:t>
            </w:r>
          </w:p>
        </w:tc>
        <w:tc>
          <w:tcPr/>
          <w:p>
            <w:pPr>
              <w:pStyle w:val="Compact"/>
            </w:pPr>
            <w:r>
              <w:t xml:space="preserve">Sold to strengthen the gut barrier</w:t>
            </w:r>
          </w:p>
        </w:tc>
        <w:tc>
          <w:tcPr/>
          <w:p>
            <w:pPr>
              <w:pStyle w:val="Compact"/>
            </w:pPr>
            <w:r>
              <w:t xml:space="preserve">Next-generation probiotic</w:t>
            </w:r>
          </w:p>
        </w:tc>
      </w:tr>
      <w:tr>
        <w:tc>
          <w:tcPr/>
          <w:p>
            <w:pPr>
              <w:pStyle w:val="Compact"/>
            </w:pPr>
            <w:r>
              <w:t xml:space="preserve">A 'leaky gut' stack: L-glutamine, zinc carnosine, BPC-157</w:t>
            </w:r>
          </w:p>
        </w:tc>
        <w:tc>
          <w:tcPr/>
          <w:p>
            <w:pPr>
              <w:pStyle w:val="Compact"/>
            </w:pPr>
            <w:r>
              <w:t xml:space="preserve">Sold to seal the gut and clear the skin</w:t>
            </w:r>
          </w:p>
        </w:tc>
        <w:tc>
          <w:tcPr/>
          <w:p>
            <w:pPr>
              <w:pStyle w:val="Compact"/>
            </w:pPr>
            <w:r>
              <w:t xml:space="preserve">Supplements and a research peptide</w:t>
            </w:r>
          </w:p>
        </w:tc>
      </w:tr>
    </w:tbl>
    <w:p>
      <w:pPr>
        <w:pStyle w:val="BodyText"/>
      </w:pPr>
      <w:r>
        <w:rPr>
          <w:b/>
          <w:bCs/>
        </w:rPr>
        <w:t xml:space="preserve">Callout:</w:t>
      </w:r>
      <w:r>
        <w:t xml:space="preserve"> </w:t>
      </w:r>
      <w:r>
        <w:t xml:space="preserve">Ask which product, which outcome and which trial.</w:t>
      </w:r>
    </w:p>
    <w:p>
      <w:pPr>
        <w:pStyle w:val="BodyText"/>
      </w:pPr>
      <w:r>
        <w:rPr>
          <w:b/>
          <w:bCs/>
        </w:rPr>
        <w:t xml:space="preserve">Exercise (quickfire) · What stands behind it?</w:t>
      </w:r>
      <w:r>
        <w:t xml:space="preserve"> </w:t>
      </w:r>
      <w:r>
        <w:t xml:space="preserve">— One at a time: what has actually been tested?</w:t>
      </w:r>
      <w:r>
        <w:t xml:space="preserve"> </w:t>
      </w:r>
      <w:r>
        <w:t xml:space="preserve">- Probiotic capsules →</w:t>
      </w:r>
      <w:r>
        <w:t xml:space="preserve"> </w:t>
      </w:r>
      <w:r>
        <w:rPr>
          <w:b/>
          <w:bCs/>
        </w:rPr>
        <w:t xml:space="preserve">Tested on skin in randomized trials</w:t>
      </w:r>
      <w:r>
        <w:t xml:space="preserve"> </w:t>
      </w:r>
      <w:r>
        <w:t xml:space="preserve">—</w:t>
      </w:r>
      <w:r>
        <w:t xml:space="preserve"> </w:t>
      </w:r>
      <w:r>
        <w:rPr>
          <w:i/>
          <w:iCs/>
        </w:rPr>
        <w:t xml:space="preserve">Thirty-nine trials pooled by Cochrane: little or no difference in patient-rated eczema symptoms (B). Newer analyses in children report small gains.</w:t>
      </w:r>
      <w:r>
        <w:t xml:space="preserve"> </w:t>
      </w:r>
      <w:r>
        <w:t xml:space="preserve">- Rifaximin for rosacea with bacterial overgrowth →</w:t>
      </w:r>
      <w:r>
        <w:t xml:space="preserve"> </w:t>
      </w:r>
      <w:r>
        <w:rPr>
          <w:b/>
          <w:bCs/>
        </w:rPr>
        <w:t xml:space="preserve">Tested on skin in randomized trials</w:t>
      </w:r>
      <w:r>
        <w:t xml:space="preserve"> </w:t>
      </w:r>
      <w:r>
        <w:t xml:space="preserve">—</w:t>
      </w:r>
      <w:r>
        <w:t xml:space="preserve"> </w:t>
      </w:r>
      <w:r>
        <w:rPr>
          <w:i/>
          <w:iCs/>
        </w:rPr>
        <w:t xml:space="preserve">One small single-centre randomized trial: rosacea improved after the overgrowth was cleared (C). A prescription antibiotic, chosen after testing.</w:t>
      </w:r>
      <w:r>
        <w:t xml:space="preserve"> </w:t>
      </w:r>
      <w:r>
        <w:t xml:space="preserve">- Tirzepatide added to a psoriasis biologic →</w:t>
      </w:r>
      <w:r>
        <w:t xml:space="preserve"> </w:t>
      </w:r>
      <w:r>
        <w:rPr>
          <w:b/>
          <w:bCs/>
        </w:rPr>
        <w:t xml:space="preserve">Tested on skin in randomized trials</w:t>
      </w:r>
      <w:r>
        <w:t xml:space="preserve"> </w:t>
      </w:r>
      <w:r>
        <w:t xml:space="preserve">—</w:t>
      </w:r>
      <w:r>
        <w:t xml:space="preserve"> </w:t>
      </w:r>
      <w:r>
        <w:rPr>
          <w:i/>
          <w:iCs/>
        </w:rPr>
        <w:t xml:space="preserve">One open-label, manufacturer-funded phase 3b trial of 274 people: more complete clearance with the add-on at 36 weeks (C). An earlier 20-person placebo-controlled trial of liraglutide found no effect. In the US, tirzepatide is not approved for psoriasis.</w:t>
      </w:r>
      <w:r>
        <w:t xml:space="preserve"> </w:t>
      </w:r>
      <w:r>
        <w:t xml:space="preserve">- A high-fibre, plant-rich diet →</w:t>
      </w:r>
      <w:r>
        <w:t xml:space="preserve"> </w:t>
      </w:r>
      <w:r>
        <w:rPr>
          <w:b/>
          <w:bCs/>
        </w:rPr>
        <w:t xml:space="preserve">Tested in people, not on skin</w:t>
      </w:r>
      <w:r>
        <w:t xml:space="preserve"> </w:t>
      </w:r>
      <w:r>
        <w:t xml:space="preserve">—</w:t>
      </w:r>
      <w:r>
        <w:t xml:space="preserve"> </w:t>
      </w:r>
      <w:r>
        <w:rPr>
          <w:i/>
          <w:iCs/>
        </w:rPr>
        <w:t xml:space="preserve">Strong human evidence for heart and metabolic outcomes; the guide grades it A, and the review behind it rates certainty moderate. No trial has measured skin.</w:t>
      </w:r>
      <w:r>
        <w:t xml:space="preserve"> </w:t>
      </w:r>
      <w:r>
        <w:t xml:space="preserve">- Akkermansia capsules →</w:t>
      </w:r>
      <w:r>
        <w:t xml:space="preserve"> </w:t>
      </w:r>
      <w:r>
        <w:rPr>
          <w:b/>
          <w:bCs/>
        </w:rPr>
        <w:t xml:space="preserve">Tested in people, not on skin</w:t>
      </w:r>
      <w:r>
        <w:t xml:space="preserve"> </w:t>
      </w:r>
      <w:r>
        <w:t xml:space="preserve">—</w:t>
      </w:r>
      <w:r>
        <w:t xml:space="preserve"> </w:t>
      </w:r>
      <w:r>
        <w:rPr>
          <w:i/>
          <w:iCs/>
        </w:rPr>
        <w:t xml:space="preserve">One pilot randomized trial in 32 adults improved insulin sensitivity (C). No skin outcomes.</w:t>
      </w:r>
      <w:r>
        <w:t xml:space="preserve"> </w:t>
      </w:r>
      <w:r>
        <w:t xml:space="preserve">- A 'leaky gut' stack: L-glutamine, zinc carnosine, BPC-157 →</w:t>
      </w:r>
      <w:r>
        <w:t xml:space="preserve"> </w:t>
      </w:r>
      <w:r>
        <w:rPr>
          <w:b/>
          <w:bCs/>
        </w:rPr>
        <w:t xml:space="preserve">Little or no human outcome data</w:t>
      </w:r>
      <w:r>
        <w:t xml:space="preserve"> </w:t>
      </w:r>
      <w:r>
        <w:t xml:space="preserve">—</w:t>
      </w:r>
      <w:r>
        <w:t xml:space="preserve"> </w:t>
      </w:r>
      <w:r>
        <w:rPr>
          <w:i/>
          <w:iCs/>
        </w:rPr>
        <w:t xml:space="preserve">The Hormonaly guide grades it D: mechanism and animal data. As of September 2026, BPC-157 is not on the US 503A bulks list; an FDA advisory committee reviewed it in July 2026.</w:t>
      </w:r>
    </w:p>
    <w:p>
      <w:pPr>
        <w:pStyle w:val="BodyText"/>
      </w:pPr>
      <w:r>
        <w:t xml:space="preserve">Sources: Makrgeorgou A 2018 · Parodi A 2008 · Lebwohl M 2026 · Faurschou A 2015 · Eli Lilly (Mounjaro prescribing information) 2026 · Eli Lilly (Zepbound prescribing information) 2026 · Reynolds A 2019 · Depommier C 2019 · US Food and Drug Administration 2026 · Aesthetic &amp; Regenerative Endocrinology — A Clinician's Pocket Guide 2026</w:t>
      </w:r>
    </w:p>
    <w:bookmarkEnd w:id="80"/>
    <w:bookmarkStart w:id="81" w:name="diet-first-a-bottle-last."/>
    <w:p>
      <w:pPr>
        <w:pStyle w:val="Heading3"/>
      </w:pPr>
      <w:r>
        <w:t xml:space="preserve">18 / 20 · Diet first, a bottle last.</w:t>
      </w:r>
    </w:p>
    <w:p>
      <w:pPr>
        <w:pStyle w:val="FirstParagraph"/>
      </w:pPr>
      <w:r>
        <w:rPr>
          <w:i/>
          <w:iCs/>
        </w:rPr>
        <w:t xml:space="preserve">What changes in practice · audio</w:t>
      </w:r>
    </w:p>
    <w:p>
      <w:pPr>
        <w:pStyle w:val="BodyText"/>
      </w:pPr>
      <w:r>
        <w:t xml:space="preserve">When a patient links their skin to their gut, start with what has evidence: diet quality, treating metabolic disease directly, and established treatment for the skin condition itself. A widely used commercial zonulin assay has been shown to detect proteins other than zonulin, so a result cannot tell you whether a gut is leaky. Restoring barrier function has not been shown to improve disease outside the gut. Investigational peptides sold for gut repair come last, if at all.</w:t>
      </w:r>
    </w:p>
    <w:p>
      <w:pPr>
        <w:pStyle w:val="Compact"/>
        <w:numPr>
          <w:ilvl w:val="0"/>
          <w:numId w:val="1030"/>
        </w:numPr>
      </w:pPr>
      <w:r>
        <w:t xml:space="preserve">Start with diet, metabolic health and the skin diagnosis</w:t>
      </w:r>
    </w:p>
    <w:p>
      <w:pPr>
        <w:pStyle w:val="Compact"/>
        <w:numPr>
          <w:ilvl w:val="0"/>
          <w:numId w:val="1030"/>
        </w:numPr>
      </w:pPr>
      <w:r>
        <w:t xml:space="preserve">Zonulin tests may not measure zonulin</w:t>
      </w:r>
    </w:p>
    <w:p>
      <w:pPr>
        <w:pStyle w:val="Compact"/>
        <w:numPr>
          <w:ilvl w:val="0"/>
          <w:numId w:val="1030"/>
        </w:numPr>
      </w:pPr>
      <w:r>
        <w:t xml:space="preserve">Gut-repair peptides: last, if at all</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Treat the skin disease on its own evidence and metabolic disease directly. A zonulin result should not guide care. In the US, BPC-157 has no 503A bulks-list standing as of September 2026, so compounding it for gut repair is not an option.</w:t>
      </w:r>
      <w:r>
        <w:t xml:space="preserve"> </w:t>
      </w:r>
      <w:r>
        <w:t xml:space="preserve">-</w:t>
      </w:r>
      <w:r>
        <w:t xml:space="preserve"> </w:t>
      </w:r>
      <w:r>
        <w:rPr>
          <w:i/>
          <w:iCs/>
        </w:rPr>
        <w:t xml:space="preserve">Clinical staff:</w:t>
      </w:r>
      <w:r>
        <w:t xml:space="preserve"> </w:t>
      </w:r>
      <w:r>
        <w:t xml:space="preserve">If a patient brings a gut-repair kit or a zonulin result, record the products and the result and bring them to the prescriber. Do not interpret the test or advise on the products.</w:t>
      </w:r>
      <w:r>
        <w:t xml:space="preserve"> </w:t>
      </w:r>
      <w:r>
        <w:t xml:space="preserve">-</w:t>
      </w:r>
      <w:r>
        <w:t xml:space="preserve"> </w:t>
      </w:r>
      <w:r>
        <w:rPr>
          <w:i/>
          <w:iCs/>
        </w:rPr>
        <w:t xml:space="preserve">Advisor:</w:t>
      </w:r>
      <w:r>
        <w:t xml:space="preserve"> </w:t>
      </w:r>
      <w:r>
        <w:t xml:space="preserve">You can say that fibre-rich diets have strong evidence for metabolic health, that probiotics are strain-specific with small skin effects at best, and that injected or research peptides need a prescriber.</w:t>
      </w:r>
    </w:p>
    <w:p>
      <w:pPr>
        <w:pStyle w:val="BodyText"/>
      </w:pPr>
      <w:r>
        <w:t xml:space="preserve">Narration script</w:t>
      </w:r>
    </w:p>
    <w:p>
      <w:pPr>
        <w:pStyle w:val="BodyText"/>
      </w:pPr>
      <w:r>
        <w:t xml:space="preserve">Patients often link their skin to their gut. Start where the evidence is. Diet quality, treatment of metabolic disease and the established treatment for the skin condition itself all come first. Be careful with tests. A widely used commercial zonulin assay was shown to detect proteins other than zonulin, so a result cannot tell you whether a gut is leaky. Be careful with products too. Probiotics are strain-specific, and their effects on eczema are small at best. The Hormonaly guide gives the popular gut-repair stack of glutamine, zinc carnosine and BPC-157 a grade of D. As of September 2026, in the United States, BPC-157 remains off the 503A bulks list after the July advisory-committee review. Investigational peptides come last, if at all. Whatever your role, name the evidence type before you name the product.</w:t>
      </w:r>
    </w:p>
    <w:p>
      <w:pPr>
        <w:pStyle w:val="BodyText"/>
      </w:pPr>
      <w:r>
        <w:t xml:space="preserve">Sources: Scheffler L 2018 · Camilleri M 2019 · Reynolds A 2019 · Suez J 2019 · US Food and Drug Administration 2026 · Aesthetic &amp; Regenerative Endocrinology — A Clinician's Pocket Guide 2026</w:t>
      </w:r>
    </w:p>
    <w:bookmarkEnd w:id="81"/>
    <w:bookmarkStart w:id="82" w:name="the-zonulin-test."/>
    <w:p>
      <w:pPr>
        <w:pStyle w:val="Heading3"/>
      </w:pPr>
      <w:r>
        <w:t xml:space="preserve">19 / 20 · The zonulin test.</w:t>
      </w:r>
    </w:p>
    <w:p>
      <w:pPr>
        <w:pStyle w:val="FirstParagraph"/>
      </w:pPr>
      <w:r>
        <w:rPr>
          <w:i/>
          <w:iCs/>
        </w:rPr>
        <w:t xml:space="preserve">Your turn · quiz</w:t>
      </w:r>
    </w:p>
    <w:p>
      <w:pPr>
        <w:pStyle w:val="BodyText"/>
      </w:pPr>
      <w:r>
        <w:t xml:space="preserve">One question to close lesson 3.3.</w:t>
      </w:r>
    </w:p>
    <w:p>
      <w:pPr>
        <w:pStyle w:val="BodyText"/>
      </w:pPr>
      <w:r>
        <w:rPr>
          <w:b/>
          <w:bCs/>
        </w:rPr>
        <w:t xml:space="preserve">Q.</w:t>
      </w:r>
      <w:r>
        <w:t xml:space="preserve"> </w:t>
      </w:r>
      <w:r>
        <w:t xml:space="preserve">A patient asks for a zonulin blood test to prove that her rosacea comes from a leaky gut. What is the most accurate reply?</w:t>
      </w:r>
      <w:r>
        <w:t xml:space="preserve"> </w:t>
      </w:r>
      <w:r>
        <w:t xml:space="preserve">- ✗ The test will show whether her gut barrier is causing the rosacea. —</w:t>
      </w:r>
      <w:r>
        <w:t xml:space="preserve"> </w:t>
      </w:r>
      <w:r>
        <w:rPr>
          <w:i/>
          <w:iCs/>
        </w:rPr>
        <w:t xml:space="preserve">A widely used zonulin assay detects other proteins, and a zonulin result cannot tell you what is causing her rosacea.</w:t>
      </w:r>
      <w:r>
        <w:t xml:space="preserve"> </w:t>
      </w:r>
      <w:r>
        <w:t xml:space="preserve">- ✔ The test is unreliable and would not change care: treat the rosacea on its own evidence, and assess any gut symptoms clinically. —</w:t>
      </w:r>
      <w:r>
        <w:t xml:space="preserve"> </w:t>
      </w:r>
      <w:r>
        <w:rPr>
          <w:i/>
          <w:iCs/>
        </w:rPr>
        <w:t xml:space="preserve">Correct. The small trial that linked gut bacteria to rosacea used breath testing and clinical assessment, and no zonulin test.</w:t>
      </w:r>
      <w:r>
        <w:t xml:space="preserve"> </w:t>
      </w:r>
      <w:r>
        <w:t xml:space="preserve">- ✗ Rosacea has nothing to do with the gut, so there is nothing to discuss. —</w:t>
      </w:r>
      <w:r>
        <w:t xml:space="preserve"> </w:t>
      </w:r>
      <w:r>
        <w:rPr>
          <w:i/>
          <w:iCs/>
        </w:rPr>
        <w:t xml:space="preserve">Too strong: a small randomized trial found rosacea improved after bacterial overgrowth was treated. The link is possible; the test is the problem.</w:t>
      </w:r>
    </w:p>
    <w:bookmarkEnd w:id="82"/>
    <w:bookmarkStart w:id="83" w:name="Xd959aab84298f475b1eda49935a58def7e82e65"/>
    <w:p>
      <w:pPr>
        <w:pStyle w:val="Heading3"/>
      </w:pPr>
      <w:r>
        <w:t xml:space="preserve">20 / 20 · Before my next conversation about weight, skin and the gut.</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checklist</w:t>
      </w:r>
      <w:r>
        <w:t xml:space="preserve"> </w:t>
      </w:r>
      <w:r>
        <w:t xml:space="preserve">— Tap everything you will do. Choose as many as you like.</w:t>
      </w:r>
      <w:r>
        <w:t xml:space="preserve"> </w:t>
      </w:r>
      <w:r>
        <w:rPr>
          <w:i/>
          <w:iCs/>
        </w:rPr>
        <w:t xml:space="preserve">Before my next conversation about weight, skin and the gut I will …</w:t>
      </w:r>
      <w:r>
        <w:t xml:space="preserve"> </w:t>
      </w:r>
      <w:r>
        <w:t xml:space="preserve">set expectations about face and hair before treatment starts · record facial concerns with consented photographs · ask whether a benefit was shown in mice, in people or only on a label · treat a surrogate reading as a surrogate · refer restoration requests to a qualified colleague · leave decisions about the medicine to the prescriber</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documentation: expectations set before treatment, concerns recorded, referrals made.</w:t>
      </w:r>
      <w:r>
        <w:t xml:space="preserve"> </w:t>
      </w:r>
      <w:r>
        <w:t xml:space="preserve">-</w:t>
      </w:r>
      <w:r>
        <w:t xml:space="preserve"> </w:t>
      </w:r>
      <w:r>
        <w:rPr>
          <w:i/>
          <w:iCs/>
        </w:rPr>
        <w:t xml:space="preserve">Clinical staff:</w:t>
      </w:r>
      <w:r>
        <w:t xml:space="preserve"> </w:t>
      </w:r>
      <w:r>
        <w:t xml:space="preserve">Your checklist ends with escalation: questions about the medicine go to the prescriber the same week.</w:t>
      </w:r>
      <w:r>
        <w:t xml:space="preserve"> </w:t>
      </w:r>
      <w:r>
        <w:t xml:space="preserve">-</w:t>
      </w:r>
      <w:r>
        <w:t xml:space="preserve"> </w:t>
      </w:r>
      <w:r>
        <w:rPr>
          <w:i/>
          <w:iCs/>
        </w:rPr>
        <w:t xml:space="preserve">Advisor:</w:t>
      </w:r>
      <w:r>
        <w:t xml:space="preserve"> </w:t>
      </w:r>
      <w:r>
        <w:t xml:space="preserve">Your checklist ends with referral: product questions you can answer; medicine and restoration questions go to a prescriber or a qualified aesthetic clinician.</w:t>
      </w:r>
    </w:p>
    <w:p>
      <w:pPr>
        <w:pStyle w:val="BodyText"/>
      </w:pPr>
      <w:r>
        <w:t xml:space="preserve">Sources: Aesthetic &amp; Regenerative Endocrinology — A Clinician's Pocket Guide 2026 · Nikolis A 2025</w:t>
      </w:r>
    </w:p>
    <w:bookmarkEnd w:id="83"/>
    <w:bookmarkEnd w:id="84"/>
    <w:bookmarkStart w:id="85" w:name="module-check-2"/>
    <w:p>
      <w:pPr>
        <w:pStyle w:val="Heading2"/>
      </w:pPr>
      <w:r>
        <w:t xml:space="preserve">Module check</w:t>
      </w:r>
    </w:p>
    <w:p>
      <w:pPr>
        <w:pStyle w:val="FirstParagraph"/>
      </w:pPr>
      <w:r>
        <w:rPr>
          <w:b/>
          <w:bCs/>
        </w:rPr>
        <w:t xml:space="preserve">Q.</w:t>
      </w:r>
      <w:r>
        <w:t xml:space="preserve"> </w:t>
      </w:r>
      <w:r>
        <w:t xml:space="preserve">Closing Module 3: which statement keeps the four registers apart?</w:t>
      </w:r>
      <w:r>
        <w:t xml:space="preserve"> </w:t>
      </w:r>
      <w:r>
        <w:t xml:space="preserve">- ✗ Semaglutide ages the face by acting on facial fat, so the label should carry a facial warning. —</w:t>
      </w:r>
      <w:r>
        <w:t xml:space="preserve"> </w:t>
      </w:r>
      <w:r>
        <w:rPr>
          <w:i/>
          <w:iCs/>
        </w:rPr>
        <w:t xml:space="preserve">That blends an untested hypothesis with a regulatory conclusion. The labels list hair loss; a direct action on facial fat is untested in people.</w:t>
      </w:r>
      <w:r>
        <w:t xml:space="preserve"> </w:t>
      </w:r>
      <w:r>
        <w:t xml:space="preserve">- ✔ Facial volume loss on incretins: fat loss deflates facial compartments (mechanism); small observational studies tie it to the amount of weight lost (human evidence); US labels list hair loss but not facial change (regulatory status); whether the drugs act directly on facial fat is untested (open question). —</w:t>
      </w:r>
      <w:r>
        <w:t xml:space="preserve"> </w:t>
      </w:r>
      <w:r>
        <w:rPr>
          <w:i/>
          <w:iCs/>
        </w:rPr>
        <w:t xml:space="preserve">Correct. Four separate answers, each with its own source.</w:t>
      </w:r>
      <w:r>
        <w:t xml:space="preserve"> </w:t>
      </w:r>
      <w:r>
        <w:t xml:space="preserve">- ✗ Weight loss on these drugs is GRADE A, so their facial effects are GRADE A too. —</w:t>
      </w:r>
      <w:r>
        <w:t xml:space="preserve"> </w:t>
      </w:r>
      <w:r>
        <w:rPr>
          <w:i/>
          <w:iCs/>
        </w:rPr>
        <w:t xml:space="preserve">A grade belongs to an outcome. The pivotal trials never measured the face.</w:t>
      </w:r>
    </w:p>
    <w:p>
      <w:r>
        <w:pict>
          <v:rect style="width:0;height:1.5pt" o:hralign="center" o:hrstd="t" o:hr="t"/>
        </w:pict>
      </w:r>
    </w:p>
    <w:bookmarkEnd w:id="85"/>
    <w:bookmarkEnd w:id="86"/>
    <w:bookmarkStart w:id="110" w:name="X1370613e9269f2fbc236f094ab5f7a8475aad0f"/>
    <w:p>
      <w:pPr>
        <w:pStyle w:val="Heading1"/>
      </w:pPr>
      <w:r>
        <w:t xml:space="preserve">Hormones and Peptides for Skin · Module 04 — review draft</w:t>
      </w:r>
    </w:p>
    <w:p>
      <w:pPr>
        <w:pStyle w:val="FirstParagraph"/>
      </w:pPr>
      <w:r>
        <w:rPr>
          <w:i/>
          <w:iCs/>
        </w:rPr>
        <w:t xml:space="preserve">approved · authored 2026-09-24 · 19 moments, ~26 min + module check · 49 sources · 20 claims</w:t>
      </w:r>
    </w:p>
    <w:p>
      <w:pPr>
        <w:pStyle w:val="BodyText"/>
      </w:pPr>
      <w:r>
        <w:t xml:space="preserve">Every factual sentence traces to the graded registry (</w:t>
      </w:r>
      <w:r>
        <w:rPr>
          <w:rStyle w:val="VerbatimChar"/>
        </w:rPr>
        <w:t xml:space="preserve">citations/m04.md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94" w:name="X57acdb9e6bb0fd67b04137e7344a7faf7ad0ac0"/>
    <w:p>
      <w:pPr>
        <w:pStyle w:val="Heading2"/>
      </w:pPr>
      <w:r>
        <w:t xml:space="preserve">Lesson 4.1 · Copper peptides: GHK and GHK-Cu</w:t>
      </w:r>
    </w:p>
    <w:bookmarkStart w:id="87" w:name="the-peptide-your-patient-already-bought."/>
    <w:p>
      <w:pPr>
        <w:pStyle w:val="Heading3"/>
      </w:pPr>
      <w:r>
        <w:t xml:space="preserve">01 / 19 · The peptide your patient already bought.</w:t>
      </w:r>
    </w:p>
    <w:p>
      <w:pPr>
        <w:pStyle w:val="FirstParagraph"/>
      </w:pPr>
      <w:r>
        <w:rPr>
          <w:i/>
          <w:iCs/>
        </w:rPr>
        <w:t xml:space="preserve">Module 04 · Matrix peptides and wound healing · title</w:t>
      </w:r>
    </w:p>
    <w:p>
      <w:pPr>
        <w:pStyle w:val="BodyText"/>
      </w:pPr>
      <w:r>
        <w:t xml:space="preserve">Most skin peptides reach your clinic before any evidence does. In three lessons you will sort them by what the human trials actually show, who paid for those trials, and where each one stands with the regulator.</w:t>
      </w:r>
    </w:p>
    <w:p>
      <w:pPr>
        <w:pStyle w:val="Compact"/>
        <w:numPr>
          <w:ilvl w:val="0"/>
          <w:numId w:val="1031"/>
        </w:numPr>
      </w:pPr>
      <w:r>
        <w:t xml:space="preserve">4.1 Copper peptides: GHK and GHK-Cu</w:t>
      </w:r>
    </w:p>
    <w:p>
      <w:pPr>
        <w:pStyle w:val="Compact"/>
        <w:numPr>
          <w:ilvl w:val="0"/>
          <w:numId w:val="1031"/>
        </w:numPr>
      </w:pPr>
      <w:r>
        <w:t xml:space="preserve">4.2 Signal peptides, oral collagen and the 'topical Botox' family</w:t>
      </w:r>
    </w:p>
    <w:p>
      <w:pPr>
        <w:pStyle w:val="Compact"/>
        <w:numPr>
          <w:ilvl w:val="0"/>
          <w:numId w:val="1031"/>
        </w:numPr>
      </w:pPr>
      <w:r>
        <w:t xml:space="preserve">4.3 Repair peptides, one negative trial, and the compounding line</w:t>
      </w:r>
    </w:p>
    <w:bookmarkEnd w:id="87"/>
    <w:bookmarkStart w:id="88" w:name="how-will-you-use-this-module"/>
    <w:p>
      <w:pPr>
        <w:pStyle w:val="Heading3"/>
      </w:pPr>
      <w:r>
        <w:t xml:space="preserve">02 / 19 · How will you use this module?</w:t>
      </w:r>
    </w:p>
    <w:p>
      <w:pPr>
        <w:pStyle w:val="FirstParagraph"/>
      </w:pPr>
      <w:r>
        <w:rPr>
          <w:i/>
          <w:iCs/>
        </w:rPr>
        <w:t xml:space="preserve">Set your path · reflection</w:t>
      </w:r>
    </w:p>
    <w:p>
      <w:pPr>
        <w:pStyle w:val="BodyText"/>
      </w:pPr>
      <w:r>
        <w:t xml:space="preserve">The evidence, grades and regulatory status are the same for everyone. What changes is the 'what you do next' at the end of each lesson, so it fits what your licence lets you do.</w:t>
      </w:r>
    </w:p>
    <w:p>
      <w:pPr>
        <w:pStyle w:val="BodyText"/>
      </w:pPr>
      <w:r>
        <w:rPr>
          <w:i/>
          <w:iCs/>
        </w:rPr>
        <w:t xml:space="preserve">Choose the one closest to your role</w:t>
      </w:r>
      <w:r>
        <w:t xml:space="preserve"> </w:t>
      </w:r>
      <w:r>
        <w:t xml:space="preserve">-</w:t>
      </w:r>
      <w:r>
        <w:t xml:space="preserve"> </w:t>
      </w:r>
      <w:r>
        <w:rPr>
          <w:b/>
          <w:bCs/>
        </w:rPr>
        <w:t xml:space="preserve">I prescribe: physician, NP or PA</w:t>
      </w:r>
      <w:r>
        <w:t xml:space="preserve"> </w:t>
      </w:r>
      <w:r>
        <w:t xml:space="preserve">→ Your path closes each lesson on the prescribing decision: status checks, consent, documentation and when to refer.</w:t>
      </w:r>
      <w:r>
        <w:t xml:space="preserve"> </w:t>
      </w:r>
      <w:r>
        <w:t xml:space="preserve">-</w:t>
      </w:r>
      <w:r>
        <w:t xml:space="preserve"> </w:t>
      </w:r>
      <w:r>
        <w:rPr>
          <w:b/>
          <w:bCs/>
        </w:rPr>
        <w:t xml:space="preserve">I deliver treatments: RN, aesthetic nurse or injector</w:t>
      </w:r>
      <w:r>
        <w:t xml:space="preserve"> </w:t>
      </w:r>
      <w:r>
        <w:t xml:space="preserve">→ Your path closes each lesson on what you notice, what you record and when you escalate to the prescriber.</w:t>
      </w:r>
      <w:r>
        <w:t xml:space="preserve"> </w:t>
      </w:r>
      <w:r>
        <w:t xml:space="preserve">-</w:t>
      </w:r>
      <w:r>
        <w:t xml:space="preserve"> </w:t>
      </w:r>
      <w:r>
        <w:rPr>
          <w:b/>
          <w:bCs/>
        </w:rPr>
        <w:t xml:space="preserve">I advise on products: pharmacist, ND or allied professional</w:t>
      </w:r>
      <w:r>
        <w:t xml:space="preserve"> </w:t>
      </w:r>
      <w:r>
        <w:t xml:space="preserve">→ Your path closes each lesson on what you can accurately say about a product and when a patient needs a prescriber.</w:t>
      </w:r>
    </w:p>
    <w:bookmarkEnd w:id="88"/>
    <w:bookmarkStart w:id="89" w:name="a-plasma-tripeptide-with-a-copper-habit."/>
    <w:p>
      <w:pPr>
        <w:pStyle w:val="Heading3"/>
      </w:pPr>
      <w:r>
        <w:t xml:space="preserve">03 / 19 · A plasma tripeptide with a copper habit.</w:t>
      </w:r>
    </w:p>
    <w:p>
      <w:pPr>
        <w:pStyle w:val="FirstParagraph"/>
      </w:pPr>
      <w:r>
        <w:rPr>
          <w:i/>
          <w:iCs/>
        </w:rPr>
        <w:t xml:space="preserve">Mechanism · audio</w:t>
      </w:r>
    </w:p>
    <w:p>
      <w:pPr>
        <w:pStyle w:val="BodyText"/>
      </w:pPr>
      <w:r>
        <w:t xml:space="preserve">GHK is a tripeptide found in human plasma, first described in 1973. Bound to copper it becomes GHK-Cu, which is proposed to deliver copper to enzymes such as superoxide dismutase and lysyl oxidase and to switch on wound-healing and antioxidant gene programmes. Most of that mechanistic literature comes from the group that discovered the peptide.</w:t>
      </w:r>
    </w:p>
    <w:p>
      <w:pPr>
        <w:pStyle w:val="Compact"/>
        <w:numPr>
          <w:ilvl w:val="0"/>
          <w:numId w:val="1032"/>
        </w:numPr>
      </w:pPr>
      <w:r>
        <w:t xml:space="preserve">Endogenous: GHK circulates in human plasma</w:t>
      </w:r>
    </w:p>
    <w:p>
      <w:pPr>
        <w:pStyle w:val="Compact"/>
        <w:numPr>
          <w:ilvl w:val="0"/>
          <w:numId w:val="1032"/>
        </w:numPr>
      </w:pPr>
      <w:r>
        <w:t xml:space="preserve">Proposed: copper delivery to matrix and antioxidant enzymes</w:t>
      </w:r>
    </w:p>
    <w:p>
      <w:pPr>
        <w:pStyle w:val="Compact"/>
        <w:numPr>
          <w:ilvl w:val="0"/>
          <w:numId w:val="1032"/>
        </w:numPr>
      </w:pPr>
      <w:r>
        <w:t xml:space="preserve">Mechanism register only — written largely by the originator</w:t>
      </w:r>
    </w:p>
    <w:p>
      <w:pPr>
        <w:pStyle w:val="FirstParagraph"/>
      </w:pPr>
      <w:r>
        <w:t xml:space="preserve">Narration script</w:t>
      </w:r>
    </w:p>
    <w:p>
      <w:pPr>
        <w:pStyle w:val="BodyText"/>
      </w:pPr>
      <w:r>
        <w:t xml:space="preserve">Start with the molecule. GHK is a three-amino-acid peptide that circulates in human plasma; it was first described in 1973. It binds copper readily, and the copper complex, GHK-Cu, is what skin-care labels mean when they say copper peptide. The proposed mechanism is that GHK-Cu delivers copper to enzymes that build and protect the dermal matrix, such as lysyl oxidase and superoxide dismutase, and shifts gene expression toward wound healing. Two things to hold on to. First, this is a mechanism, which explains why the peptide might work and leaves open whether it does. Second, most of this literature was written by the group that discovered the peptide. Keep both in mind when you reach the trials.</w:t>
      </w:r>
    </w:p>
    <w:p>
      <w:pPr>
        <w:pStyle w:val="BodyText"/>
      </w:pPr>
      <w:r>
        <w:t xml:space="preserve">Sources: Pickart L 1973 · Pickart L 2015 · Pickart L 2018 · Pickart L 2008 · The Peptide Pocket Guide — 2026 Edition · Clinical Reference (seventy-two entries) 2026 · Pickart L 2012</w:t>
      </w:r>
    </w:p>
    <w:bookmarkEnd w:id="89"/>
    <w:bookmarkStart w:id="90" w:name="one-indexed-randomized-trial."/>
    <w:p>
      <w:pPr>
        <w:pStyle w:val="Heading3"/>
      </w:pPr>
      <w:r>
        <w:t xml:space="preserve">04 / 19 · One indexed randomized trial.</w:t>
      </w:r>
    </w:p>
    <w:p>
      <w:pPr>
        <w:pStyle w:val="FirstParagraph"/>
      </w:pPr>
      <w:r>
        <w:rPr>
          <w:i/>
          <w:iCs/>
        </w:rPr>
        <w:t xml:space="preserve">Human evidence · stat</w:t>
      </w:r>
    </w:p>
    <w:p>
      <w:pPr>
        <w:pStyle w:val="BodyText"/>
      </w:pPr>
      <w:r>
        <w:t xml:space="preserve">A search of PubMed in September 2026 found one randomized controlled trial of topical GHK-Cu in human skin: 2006, healing after CO₂ laser resurfacing. The cosmetic trials cited for anti-ageing claims are manufacturer-sponsored and not indexed. Both Hormonaly guides grade topical use C.</w:t>
      </w:r>
    </w:p>
    <w:p>
      <w:pPr>
        <w:pStyle w:val="BodyText"/>
      </w:pPr>
      <w:r>
        <w:rPr>
          <w:b/>
          <w:bCs/>
        </w:rPr>
        <w:t xml:space="preserve">1</w:t>
      </w:r>
      <w:r>
        <w:t xml:space="preserve"> </w:t>
      </w:r>
      <w:r>
        <w:t xml:space="preserve">— indexed randomized trial of topical GHK-Cu in human skin (Miller et al., 2006 — healing after CO₂ laser resurfacing, not photoageing)</w:t>
      </w:r>
      <w:r>
        <w:br/>
      </w:r>
      <w:r>
        <w:rPr>
          <w:i/>
          <w:iCs/>
        </w:rPr>
        <w:t xml:space="preserve">Means:</w:t>
      </w:r>
      <w:r>
        <w:t xml:space="preserve"> </w:t>
      </w:r>
      <w:r>
        <w:t xml:space="preserve">The human evidence for topical GHK-Cu is small: one small indexed trial plus sponsor-run cosmetic studies. GRADE C is the honest ceiling.</w:t>
      </w:r>
      <w:r>
        <w:br/>
      </w:r>
      <w:r>
        <w:rPr>
          <w:i/>
          <w:iCs/>
        </w:rPr>
        <w:t xml:space="preserve">Does not mean:</w:t>
      </w:r>
      <w:r>
        <w:t xml:space="preserve"> </w:t>
      </w:r>
      <w:r>
        <w:t xml:space="preserve">It does not show that GHK-Cu fails, that it treats photoageing, or anything about injecting it. A thin evidence base is an unknown, not a negative.</w:t>
      </w:r>
    </w:p>
    <w:p>
      <w:pPr>
        <w:pStyle w:val="BodyText"/>
      </w:pPr>
      <w:r>
        <w:t xml:space="preserve">Sources: Miller TR 2006 · The Peptide Pocket Guide — 2026 Edition · Clinical Reference (seventy-two entries) 2026 · Aesthetic &amp; Regenerative Endocrinology — A Clinician's Pocket Guide 2026</w:t>
      </w:r>
    </w:p>
    <w:bookmarkEnd w:id="90"/>
    <w:bookmarkStart w:id="91" w:name="keep-the-four-answers-apart."/>
    <w:p>
      <w:pPr>
        <w:pStyle w:val="Heading3"/>
      </w:pPr>
      <w:r>
        <w:t xml:space="preserve">05 / 19 · Keep the four answers apart.</w:t>
      </w:r>
    </w:p>
    <w:p>
      <w:pPr>
        <w:pStyle w:val="FirstParagraph"/>
      </w:pPr>
      <w:r>
        <w:rPr>
          <w:i/>
          <w:iCs/>
        </w:rPr>
        <w:t xml:space="preserve">Four registers · tool</w:t>
      </w:r>
    </w:p>
    <w:p>
      <w:pPr>
        <w:pStyle w:val="BodyText"/>
      </w:pPr>
      <w:r>
        <w:t xml:space="preserve">Every peptide question has four separate answers. For GHK-Cu they point in different directions, which is exactly why they must not be blended into one sentence.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Plausible</w:t>
            </w:r>
          </w:p>
        </w:tc>
        <w:tc>
          <w:tcPr/>
          <w:p>
            <w:pPr>
              <w:pStyle w:val="Compact"/>
            </w:pPr>
            <w:r>
              <w:t xml:space="preserve">Copper delivery to matrix and antioxidant enzymes; gene-expression data from the originator</w:t>
            </w:r>
          </w:p>
        </w:tc>
      </w:tr>
      <w:tr>
        <w:tc>
          <w:tcPr/>
          <w:p>
            <w:pPr>
              <w:pStyle w:val="Compact"/>
            </w:pPr>
            <w:r>
              <w:t xml:space="preserve">Human evidence</w:t>
            </w:r>
          </w:p>
        </w:tc>
        <w:tc>
          <w:tcPr/>
          <w:p>
            <w:pPr>
              <w:pStyle w:val="Compact"/>
            </w:pPr>
            <w:r>
              <w:t xml:space="preserve">Topical: GRADE C · Injectable: none</w:t>
            </w:r>
          </w:p>
        </w:tc>
        <w:tc>
          <w:tcPr/>
          <w:p>
            <w:pPr>
              <w:pStyle w:val="Compact"/>
            </w:pPr>
            <w:r>
              <w:t xml:space="preserve">One small indexed RCT and sponsor-run cosmetic trials; no randomized trials of injection</w:t>
            </w:r>
          </w:p>
        </w:tc>
      </w:tr>
      <w:tr>
        <w:tc>
          <w:tcPr/>
          <w:p>
            <w:pPr>
              <w:pStyle w:val="Compact"/>
            </w:pPr>
            <w:r>
              <w:t xml:space="preserve">Regulatory status (US, 14 May 2026)</w:t>
            </w:r>
          </w:p>
        </w:tc>
        <w:tc>
          <w:tcPr/>
          <w:p>
            <w:pPr>
              <w:pStyle w:val="Compact"/>
            </w:pPr>
            <w:r>
              <w:t xml:space="preserve">Non-injectable: 503A Category 1</w:t>
            </w:r>
          </w:p>
        </w:tc>
        <w:tc>
          <w:tcPr/>
          <w:p>
            <w:pPr>
              <w:pStyle w:val="Compact"/>
            </w:pPr>
            <w:r>
              <w:t xml:space="preserve">Category 1 means FDA is still evaluating and does not intend to act against compounders who meet its conditions; an advisory-committee consultation is planned before the end of February 2027. The injectable route has no such standing.</w:t>
            </w:r>
          </w:p>
        </w:tc>
      </w:tr>
      <w:tr>
        <w:tc>
          <w:tcPr/>
          <w:p>
            <w:pPr>
              <w:pStyle w:val="Compact"/>
            </w:pPr>
            <w:r>
              <w:t xml:space="preserve">Open question</w:t>
            </w:r>
          </w:p>
        </w:tc>
        <w:tc>
          <w:tcPr/>
          <w:p>
            <w:pPr>
              <w:pStyle w:val="Compact"/>
            </w:pPr>
            <w:r>
              <w:t xml:space="preserve">Does it reach the dermis?</w:t>
            </w:r>
          </w:p>
        </w:tc>
        <w:tc>
          <w:tcPr/>
          <w:p>
            <w:pPr>
              <w:pStyle w:val="Compact"/>
            </w:pPr>
            <w:r>
              <w:t xml:space="preserve">Penetration data are in vitro and depend on how they are measured</w:t>
            </w:r>
          </w:p>
        </w:tc>
      </w:tr>
    </w:tbl>
    <w:p>
      <w:pPr>
        <w:pStyle w:val="BodyText"/>
      </w:pPr>
      <w:r>
        <w:rPr>
          <w:b/>
          <w:bCs/>
        </w:rPr>
        <w:t xml:space="preserve">Callout:</w:t>
      </w:r>
      <w:r>
        <w:t xml:space="preserve"> </w:t>
      </w:r>
      <w:r>
        <w:t xml:space="preserve">A strong mechanism is not a strong trial, and a Category 1 listing is not an approval.</w:t>
      </w:r>
    </w:p>
    <w:p>
      <w:pPr>
        <w:pStyle w:val="BodyText"/>
      </w:pPr>
      <w:r>
        <w:t xml:space="preserve">Sources: Pickart L 2015 · Miller TR 2006 · Hostynek JJ 2010 · Ogórek K 2025 · US Food and Drug Administration 2026 · US Food and Drug Administration 2026 · The Peptide Pocket Guide — 2026 Edition · Clinical Reference (seventy-two entries) 2026 · Aesthetic &amp; Regenerative Endocrinology — A Clinician's Pocket Guide 2026 · Mazurowska L 2008</w:t>
      </w:r>
    </w:p>
    <w:bookmarkEnd w:id="91"/>
    <w:bookmarkStart w:id="92" w:name="serum-yes-syringe-no."/>
    <w:p>
      <w:pPr>
        <w:pStyle w:val="Heading3"/>
      </w:pPr>
      <w:r>
        <w:t xml:space="preserve">06 / 19 · Serum yes, syringe no.</w:t>
      </w:r>
    </w:p>
    <w:p>
      <w:pPr>
        <w:pStyle w:val="FirstParagraph"/>
      </w:pPr>
      <w:r>
        <w:rPr>
          <w:i/>
          <w:iCs/>
        </w:rPr>
        <w:t xml:space="preserve">What changes in practice · audio</w:t>
      </w:r>
    </w:p>
    <w:p>
      <w:pPr>
        <w:pStyle w:val="BodyText"/>
      </w:pPr>
      <w:r>
        <w:t xml:space="preserve">Topical GHK-Cu is a reasonable cosmetic conversation at GRADE C. Injected GHK-Cu is a different product: no randomized trials, injection-site pain and rash are common because copper irritates tissue, and in the US the injectable route sits outside the Category 1 listing.</w:t>
      </w:r>
    </w:p>
    <w:p>
      <w:pPr>
        <w:pStyle w:val="Compact"/>
        <w:numPr>
          <w:ilvl w:val="0"/>
          <w:numId w:val="1033"/>
        </w:numPr>
      </w:pPr>
      <w:r>
        <w:t xml:space="preserve">Topical: modest, small-trial support</w:t>
      </w:r>
    </w:p>
    <w:p>
      <w:pPr>
        <w:pStyle w:val="Compact"/>
        <w:numPr>
          <w:ilvl w:val="0"/>
          <w:numId w:val="1033"/>
        </w:numPr>
      </w:pPr>
      <w:r>
        <w:t xml:space="preserve">Injectable: anecdote, common local reactions</w:t>
      </w:r>
    </w:p>
    <w:p>
      <w:pPr>
        <w:pStyle w:val="Compact"/>
        <w:numPr>
          <w:ilvl w:val="0"/>
          <w:numId w:val="1033"/>
        </w:numPr>
      </w:pPr>
      <w:r>
        <w:t xml:space="preserve">Say which route you mean every time</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Before prescribing a compounded topical, confirm the substance's current 503A status and that the pharmacy is working within it. Do not prescribe GHK-Cu for injection. Record that you discussed a product with small-trial evidence and the patient's reasons for choosing it.</w:t>
      </w:r>
      <w:r>
        <w:t xml:space="preserve"> </w:t>
      </w:r>
      <w:r>
        <w:t xml:space="preserve">-</w:t>
      </w:r>
      <w:r>
        <w:t xml:space="preserve"> </w:t>
      </w:r>
      <w:r>
        <w:rPr>
          <w:i/>
          <w:iCs/>
        </w:rPr>
        <w:t xml:space="preserve">Clinical staff:</w:t>
      </w:r>
      <w:r>
        <w:t xml:space="preserve"> </w:t>
      </w:r>
      <w:r>
        <w:t xml:space="preserve">If a patient tells you they inject GHK-Cu, record the product, where it was bought and any site reactions, and bring it to the prescriber. Do not advise on amounts or technique.</w:t>
      </w:r>
      <w:r>
        <w:t xml:space="preserve"> </w:t>
      </w:r>
      <w:r>
        <w:t xml:space="preserve">-</w:t>
      </w:r>
      <w:r>
        <w:t xml:space="preserve"> </w:t>
      </w:r>
      <w:r>
        <w:rPr>
          <w:i/>
          <w:iCs/>
        </w:rPr>
        <w:t xml:space="preserve">Advisor:</w:t>
      </w:r>
      <w:r>
        <w:t xml:space="preserve"> </w:t>
      </w:r>
      <w:r>
        <w:t xml:space="preserve">Describe topical GHK-Cu products as cosmetics with modest, small-trial support. Anyone injecting a copper peptide should be pointed to a prescriber, not to a better supplier.</w:t>
      </w:r>
    </w:p>
    <w:p>
      <w:pPr>
        <w:pStyle w:val="BodyText"/>
      </w:pPr>
      <w:r>
        <w:t xml:space="preserve">Narration script</w:t>
      </w:r>
    </w:p>
    <w:p>
      <w:pPr>
        <w:pStyle w:val="BodyText"/>
      </w:pPr>
      <w:r>
        <w:t xml:space="preserve">Here is what that means in the room. Topical GHK-Cu is a reasonable cosmetic conversation, as long as you describe the evidence honestly: small trials, modest effects, grade C. Injected GHK-Cu is not the same product in a stronger form. There are no randomized trials of injection, injection-site pain and rash are common because copper irritates tissue, and in the United States the injectable route sits outside the Category 1 listing that covers non-injectable use. Whatever your role, name the route every time you talk about this peptide.</w:t>
      </w:r>
    </w:p>
    <w:p>
      <w:pPr>
        <w:pStyle w:val="BodyText"/>
      </w:pPr>
      <w:r>
        <w:t xml:space="preserve">Sources: The Peptide Pocket Guide — 2026 Edition · Clinical Reference (seventy-two entries) 2026 · Aesthetic &amp; Regenerative Endocrinology — A Clinician's Pocket Guide 2026 · Li H 2016 · US Food and Drug Administration 2026</w:t>
      </w:r>
    </w:p>
    <w:bookmarkEnd w:id="92"/>
    <w:bookmarkStart w:id="93" w:name="is-the-injection-stronger"/>
    <w:p>
      <w:pPr>
        <w:pStyle w:val="Heading3"/>
      </w:pPr>
      <w:r>
        <w:t xml:space="preserve">07 / 19 · Is the injection 'stronger'?</w:t>
      </w:r>
    </w:p>
    <w:p>
      <w:pPr>
        <w:pStyle w:val="FirstParagraph"/>
      </w:pPr>
      <w:r>
        <w:rPr>
          <w:i/>
          <w:iCs/>
        </w:rPr>
        <w:t xml:space="preserve">Your turn · quiz</w:t>
      </w:r>
    </w:p>
    <w:p>
      <w:pPr>
        <w:pStyle w:val="BodyText"/>
      </w:pPr>
      <w:r>
        <w:t xml:space="preserve">One question to close lesson 4.1.</w:t>
      </w:r>
    </w:p>
    <w:p>
      <w:pPr>
        <w:pStyle w:val="BodyText"/>
      </w:pPr>
      <w:r>
        <w:rPr>
          <w:b/>
          <w:bCs/>
        </w:rPr>
        <w:t xml:space="preserve">Q.</w:t>
      </w:r>
      <w:r>
        <w:t xml:space="preserve"> </w:t>
      </w:r>
      <w:r>
        <w:t xml:space="preserve">A patient asks whether GHK-Cu injections are 'stronger' than the serum she uses. What does the evidence support?</w:t>
      </w:r>
      <w:r>
        <w:t xml:space="preserve"> </w:t>
      </w:r>
      <w:r>
        <w:t xml:space="preserve">- ✗ Yes — injection bypasses the skin barrier, so it must work better. —</w:t>
      </w:r>
      <w:r>
        <w:t xml:space="preserve"> </w:t>
      </w:r>
      <w:r>
        <w:rPr>
          <w:i/>
          <w:iCs/>
        </w:rPr>
        <w:t xml:space="preserve">That is a mechanism argument. There are no randomized trials of injected GHK-Cu, so 'works better' has no evidence behind it.</w:t>
      </w:r>
      <w:r>
        <w:t xml:space="preserve"> </w:t>
      </w:r>
      <w:r>
        <w:t xml:space="preserve">- ✔ The topical form has small-trial support; injection rests on anecdote, commonly irritates, and in the US sits outside the Category 1 listing. —</w:t>
      </w:r>
      <w:r>
        <w:t xml:space="preserve"> </w:t>
      </w:r>
      <w:r>
        <w:rPr>
          <w:i/>
          <w:iCs/>
        </w:rPr>
        <w:t xml:space="preserve">Correct. Same molecule, different route, different evidence and different regulatory standing.</w:t>
      </w:r>
      <w:r>
        <w:t xml:space="preserve"> </w:t>
      </w:r>
      <w:r>
        <w:t xml:space="preserve">- ✗ They are equivalent, because it is the same molecule. —</w:t>
      </w:r>
      <w:r>
        <w:t xml:space="preserve"> </w:t>
      </w:r>
      <w:r>
        <w:rPr>
          <w:i/>
          <w:iCs/>
        </w:rPr>
        <w:t xml:space="preserve">The molecule is the same; the route changes the evidence, the side-effects and the regulatory status.</w:t>
      </w:r>
    </w:p>
    <w:bookmarkEnd w:id="93"/>
    <w:bookmarkEnd w:id="94"/>
    <w:bookmarkStart w:id="100" w:name="Xb5b6b21b00b2fa451fd78b3e8e883d5020fe121"/>
    <w:p>
      <w:pPr>
        <w:pStyle w:val="Heading2"/>
      </w:pPr>
      <w:r>
        <w:t xml:space="preserve">Lesson 4.2 · Signal peptides, oral collagen and SNAP-25 mimics</w:t>
      </w:r>
    </w:p>
    <w:bookmarkStart w:id="95" w:name="X398e00dd3116483cba9035ec9460766f8f69545"/>
    <w:p>
      <w:pPr>
        <w:pStyle w:val="Heading3"/>
      </w:pPr>
      <w:r>
        <w:t xml:space="preserve">08 / 19 · Three families, one question: who ran the trial?</w:t>
      </w:r>
    </w:p>
    <w:p>
      <w:pPr>
        <w:pStyle w:val="FirstParagraph"/>
      </w:pPr>
      <w:r>
        <w:rPr>
          <w:i/>
          <w:iCs/>
        </w:rPr>
        <w:t xml:space="preserve">Lesson 4.2 · Concept · audio</w:t>
      </w:r>
    </w:p>
    <w:p>
      <w:pPr>
        <w:pStyle w:val="BodyText"/>
      </w:pPr>
      <w:r>
        <w:t xml:space="preserve">Signal peptides such as palmitoyl pentapeptide-4 (pal-KTTKS, Matrixyl) are meant to tell fibroblasts to make matrix. SNAP-25 mimics (Argireline and its longer cousin SNAP-8) and Leuphasyl, an enkephalin analogue, are meant to quieten expression lines. Oral collagen peptides are swallowed, not applied. All three families have a trial record, and in all three the question that matters most is who funded it.</w:t>
      </w:r>
    </w:p>
    <w:p>
      <w:pPr>
        <w:pStyle w:val="Compact"/>
        <w:numPr>
          <w:ilvl w:val="0"/>
          <w:numId w:val="1034"/>
        </w:numPr>
      </w:pPr>
      <w:r>
        <w:t xml:space="preserve">Signal peptides: 'make more matrix'</w:t>
      </w:r>
    </w:p>
    <w:p>
      <w:pPr>
        <w:pStyle w:val="Compact"/>
        <w:numPr>
          <w:ilvl w:val="0"/>
          <w:numId w:val="1034"/>
        </w:numPr>
      </w:pPr>
      <w:r>
        <w:t xml:space="preserve">SNAP-25 mimics: 'relax the line'</w:t>
      </w:r>
    </w:p>
    <w:p>
      <w:pPr>
        <w:pStyle w:val="Compact"/>
        <w:numPr>
          <w:ilvl w:val="0"/>
          <w:numId w:val="1034"/>
        </w:numPr>
      </w:pPr>
      <w:r>
        <w:t xml:space="preserve">Oral collagen: the supplement aisle</w:t>
      </w:r>
    </w:p>
    <w:p>
      <w:pPr>
        <w:pStyle w:val="FirstParagraph"/>
      </w:pPr>
      <w:r>
        <w:t xml:space="preserve">Narration script</w:t>
      </w:r>
    </w:p>
    <w:p>
      <w:pPr>
        <w:pStyle w:val="BodyText"/>
      </w:pPr>
      <w:r>
        <w:t xml:space="preserve">Lesson two covers three families that fill the cosmetic and supplement shelves. Signal peptides, like palmitoyl pentapeptide-4, sold as Matrixyl, are fragments of matrix proteins meant to tell fibroblasts to make more collagen. SNAP-25 mimics, Argireline and its longer cousin SNAP-8, copy part of a nerve-terminal protein that botulinum toxin targets; the idea is a gentle, topical version of that effect. And oral collagen peptides are swallowed, not applied. Every one of these has trials behind it. As you go through them, keep asking one question before any other: who ran the trial, and who paid for it.</w:t>
      </w:r>
    </w:p>
    <w:p>
      <w:pPr>
        <w:pStyle w:val="BodyText"/>
      </w:pPr>
      <w:r>
        <w:t xml:space="preserve">Sources: Lupo MP 2007 · Lintner K 2000 · Blanes-Mira C 2002 · Errante F 2020 · Aesthetic &amp; Regenerative Endocrinology — A Clinician's Pocket Guide 2026 · Schagen SK 2017</w:t>
      </w:r>
    </w:p>
    <w:bookmarkEnd w:id="95"/>
    <w:bookmarkStart w:id="96" w:name="a-trial-or-a-brochure"/>
    <w:p>
      <w:pPr>
        <w:pStyle w:val="Heading3"/>
      </w:pPr>
      <w:r>
        <w:t xml:space="preserve">09 / 19 · A trial, or a brochure?</w:t>
      </w:r>
    </w:p>
    <w:p>
      <w:pPr>
        <w:pStyle w:val="FirstParagraph"/>
      </w:pPr>
      <w:r>
        <w:rPr>
          <w:i/>
          <w:iCs/>
        </w:rPr>
        <w:t xml:space="preserve">Sort the evidence · tool</w:t>
      </w:r>
    </w:p>
    <w:p>
      <w:pPr>
        <w:pStyle w:val="BodyText"/>
      </w:pPr>
      <w:r>
        <w:t xml:space="preserve">Five products from two families, and what each promises on the label. Before you see a grade, decide what actually stands behind each one.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pal-KTTKS (Matrixyl)</w:t>
            </w:r>
          </w:p>
        </w:tc>
        <w:tc>
          <w:tcPr/>
          <w:p>
            <w:pPr>
              <w:pStyle w:val="Compact"/>
            </w:pPr>
            <w:r>
              <w:t xml:space="preserve">Firmer skin, fewer wrinkles</w:t>
            </w:r>
          </w:p>
        </w:tc>
        <w:tc>
          <w:tcPr/>
          <w:p>
            <w:pPr>
              <w:pStyle w:val="Compact"/>
            </w:pPr>
            <w:r>
              <w:t xml:space="preserve">Signal peptide</w:t>
            </w:r>
          </w:p>
        </w:tc>
      </w:tr>
      <w:tr>
        <w:tc>
          <w:tcPr/>
          <w:p>
            <w:pPr>
              <w:pStyle w:val="Compact"/>
            </w:pPr>
            <w:r>
              <w:t xml:space="preserve">Matrixyl 3000 blend</w:t>
            </w:r>
          </w:p>
        </w:tc>
        <w:tc>
          <w:tcPr/>
          <w:p>
            <w:pPr>
              <w:pStyle w:val="Compact"/>
            </w:pPr>
            <w:r>
              <w:t xml:space="preserve">Firmer skin, fewer wrinkles</w:t>
            </w:r>
          </w:p>
        </w:tc>
        <w:tc>
          <w:tcPr/>
          <w:p>
            <w:pPr>
              <w:pStyle w:val="Compact"/>
            </w:pPr>
            <w:r>
              <w:t xml:space="preserve">Signal-peptide blend</w:t>
            </w:r>
          </w:p>
        </w:tc>
      </w:tr>
      <w:tr>
        <w:tc>
          <w:tcPr/>
          <w:p>
            <w:pPr>
              <w:pStyle w:val="Compact"/>
            </w:pPr>
            <w:r>
              <w:t xml:space="preserve">Argireline</w:t>
            </w:r>
          </w:p>
        </w:tc>
        <w:tc>
          <w:tcPr/>
          <w:p>
            <w:pPr>
              <w:pStyle w:val="Compact"/>
            </w:pPr>
            <w:r>
              <w:t xml:space="preserve">Softer expression lines</w:t>
            </w:r>
          </w:p>
        </w:tc>
        <w:tc>
          <w:tcPr/>
          <w:p>
            <w:pPr>
              <w:pStyle w:val="Compact"/>
            </w:pPr>
            <w:r>
              <w:t xml:space="preserve">SNAP-25 mimic, six residues</w:t>
            </w:r>
          </w:p>
        </w:tc>
      </w:tr>
      <w:tr>
        <w:tc>
          <w:tcPr/>
          <w:p>
            <w:pPr>
              <w:pStyle w:val="Compact"/>
            </w:pPr>
            <w:r>
              <w:t xml:space="preserve">SNAP-8</w:t>
            </w:r>
          </w:p>
        </w:tc>
        <w:tc>
          <w:tcPr/>
          <w:p>
            <w:pPr>
              <w:pStyle w:val="Compact"/>
            </w:pPr>
            <w:r>
              <w:t xml:space="preserve">Softer expression lines</w:t>
            </w:r>
          </w:p>
        </w:tc>
        <w:tc>
          <w:tcPr/>
          <w:p>
            <w:pPr>
              <w:pStyle w:val="Compact"/>
            </w:pPr>
            <w:r>
              <w:t xml:space="preserve">SNAP-25 mimic, eight residues</w:t>
            </w:r>
          </w:p>
        </w:tc>
      </w:tr>
      <w:tr>
        <w:tc>
          <w:tcPr/>
          <w:p>
            <w:pPr>
              <w:pStyle w:val="Compact"/>
            </w:pPr>
            <w:r>
              <w:t xml:space="preserve">Leuphasyl</w:t>
            </w:r>
          </w:p>
        </w:tc>
        <w:tc>
          <w:tcPr/>
          <w:p>
            <w:pPr>
              <w:pStyle w:val="Compact"/>
            </w:pPr>
            <w:r>
              <w:t xml:space="preserve">Softer lines, paired with Argireline</w:t>
            </w:r>
          </w:p>
        </w:tc>
        <w:tc>
          <w:tcPr/>
          <w:p>
            <w:pPr>
              <w:pStyle w:val="Compact"/>
            </w:pPr>
            <w:r>
              <w:t xml:space="preserve">Enkephalin analogue</w:t>
            </w:r>
          </w:p>
        </w:tc>
      </w:tr>
    </w:tbl>
    <w:p>
      <w:pPr>
        <w:pStyle w:val="BodyText"/>
      </w:pPr>
      <w:r>
        <w:rPr>
          <w:b/>
          <w:bCs/>
        </w:rPr>
        <w:t xml:space="preserve">Callout:</w:t>
      </w:r>
      <w:r>
        <w:t xml:space="preserve"> </w:t>
      </w:r>
      <w:r>
        <w:t xml:space="preserve">'Clinically tested' can mean a randomized trial or a brochure. Ask which.</w:t>
      </w:r>
    </w:p>
    <w:p>
      <w:pPr>
        <w:pStyle w:val="BodyText"/>
      </w:pPr>
      <w:r>
        <w:rPr>
          <w:b/>
          <w:bCs/>
        </w:rPr>
        <w:t xml:space="preserve">Exercise (classify) · Trial or brochure?</w:t>
      </w:r>
      <w:r>
        <w:t xml:space="preserve"> </w:t>
      </w:r>
      <w:r>
        <w:t xml:space="preserve">— Tap what stands behind each product.</w:t>
      </w:r>
      <w:r>
        <w:t xml:space="preserve"> </w:t>
      </w:r>
      <w:r>
        <w:t xml:space="preserve">- pal-KTTKS (Matrixyl) →</w:t>
      </w:r>
      <w:r>
        <w:t xml:space="preserve"> </w:t>
      </w:r>
      <w:r>
        <w:rPr>
          <w:b/>
          <w:bCs/>
        </w:rPr>
        <w:t xml:space="preserve">A randomized human trial</w:t>
      </w:r>
      <w:r>
        <w:t xml:space="preserve"> </w:t>
      </w:r>
      <w:r>
        <w:t xml:space="preserve">—</w:t>
      </w:r>
      <w:r>
        <w:t xml:space="preserve"> </w:t>
      </w:r>
      <w:r>
        <w:rPr>
          <w:i/>
          <w:iCs/>
        </w:rPr>
        <w:t xml:space="preserve">GRADE C. A 12-week split-face RCT in 93 women, funded by the manufacturer, and an independent 2023 RCT.</w:t>
      </w:r>
      <w:r>
        <w:t xml:space="preserve"> </w:t>
      </w:r>
      <w:r>
        <w:t xml:space="preserve">- Matrixyl 3000 blend →</w:t>
      </w:r>
      <w:r>
        <w:t xml:space="preserve"> </w:t>
      </w:r>
      <w:r>
        <w:rPr>
          <w:b/>
          <w:bCs/>
        </w:rPr>
        <w:t xml:space="preserve">No independent randomized trial</w:t>
      </w:r>
      <w:r>
        <w:t xml:space="preserve"> </w:t>
      </w:r>
      <w:r>
        <w:t xml:space="preserve">—</w:t>
      </w:r>
      <w:r>
        <w:t xml:space="preserve"> </w:t>
      </w:r>
      <w:r>
        <w:rPr>
          <w:i/>
          <w:iCs/>
        </w:rPr>
        <w:t xml:space="preserve">GRADE D. The evidence is the maker's technical dossier; no independent randomized trial was found.</w:t>
      </w:r>
      <w:r>
        <w:t xml:space="preserve"> </w:t>
      </w:r>
      <w:r>
        <w:t xml:space="preserve">- Argireline →</w:t>
      </w:r>
      <w:r>
        <w:t xml:space="preserve"> </w:t>
      </w:r>
      <w:r>
        <w:rPr>
          <w:b/>
          <w:bCs/>
        </w:rPr>
        <w:t xml:space="preserve">A randomized human trial</w:t>
      </w:r>
      <w:r>
        <w:t xml:space="preserve"> </w:t>
      </w:r>
      <w:r>
        <w:t xml:space="preserve">—</w:t>
      </w:r>
      <w:r>
        <w:t xml:space="preserve"> </w:t>
      </w:r>
      <w:r>
        <w:rPr>
          <w:i/>
          <w:iCs/>
        </w:rPr>
        <w:t xml:space="preserve">GRADE C in this course. Placebo-controlled RCTs, including an independent head-to-head trial, show modest effects. The two Hormonaly guides disagree (C in Aesthetic &amp; Regenerative Endocrinology, D in the Peptide Pocket Guide); the trials decide it here.</w:t>
      </w:r>
      <w:r>
        <w:t xml:space="preserve"> </w:t>
      </w:r>
      <w:r>
        <w:t xml:space="preserve">- SNAP-8 →</w:t>
      </w:r>
      <w:r>
        <w:t xml:space="preserve"> </w:t>
      </w:r>
      <w:r>
        <w:rPr>
          <w:b/>
          <w:bCs/>
        </w:rPr>
        <w:t xml:space="preserve">No independent randomized trial</w:t>
      </w:r>
      <w:r>
        <w:t xml:space="preserve"> </w:t>
      </w:r>
      <w:r>
        <w:t xml:space="preserve">—</w:t>
      </w:r>
      <w:r>
        <w:t xml:space="preserve"> </w:t>
      </w:r>
      <w:r>
        <w:rPr>
          <w:i/>
          <w:iCs/>
        </w:rPr>
        <w:t xml:space="preserve">GRADE D. Its efficacy figures come from the manufacturer, and the indexed studies test it mixed with other actives, so none isolates it.</w:t>
      </w:r>
      <w:r>
        <w:t xml:space="preserve"> </w:t>
      </w:r>
      <w:r>
        <w:t xml:space="preserve">- Leuphasyl →</w:t>
      </w:r>
      <w:r>
        <w:t xml:space="preserve"> </w:t>
      </w:r>
      <w:r>
        <w:rPr>
          <w:b/>
          <w:bCs/>
        </w:rPr>
        <w:t xml:space="preserve">No independent randomized trial</w:t>
      </w:r>
      <w:r>
        <w:t xml:space="preserve"> </w:t>
      </w:r>
      <w:r>
        <w:t xml:space="preserve">—</w:t>
      </w:r>
      <w:r>
        <w:t xml:space="preserve"> </w:t>
      </w:r>
      <w:r>
        <w:rPr>
          <w:i/>
          <w:iCs/>
        </w:rPr>
        <w:t xml:space="preserve">GRADE D. The maker's studies, an in-vitro synergy figure and one small uncontrolled university volunteer study (2014); no independent randomized trial.</w:t>
      </w:r>
    </w:p>
    <w:p>
      <w:pPr>
        <w:pStyle w:val="BodyText"/>
      </w:pPr>
      <w:r>
        <w:t xml:space="preserve">Sources: Aruan RR 2023 · Avcil M 2020 · Dragomirescu AO 2014 · Errante F 2020 · Aesthetic &amp; Regenerative Endocrinology — A Clinician's Pocket Guide 2026 · The Peptide Pocket Guide — 2026 Edition · Clinical Reference (seventy-two entries) 2026 · Robinson LR 2005 · Shin JY 2024 · Wang Y 2013</w:t>
      </w:r>
    </w:p>
    <w:bookmarkEnd w:id="96"/>
    <w:bookmarkStart w:id="97" w:name="twenty-three-trials-split-by-who-paid."/>
    <w:p>
      <w:pPr>
        <w:pStyle w:val="Heading3"/>
      </w:pPr>
      <w:r>
        <w:t xml:space="preserve">10 / 19 · Twenty-three trials, split by who paid.</w:t>
      </w:r>
    </w:p>
    <w:p>
      <w:pPr>
        <w:pStyle w:val="FirstParagraph"/>
      </w:pPr>
      <w:r>
        <w:rPr>
          <w:i/>
          <w:iCs/>
        </w:rPr>
        <w:t xml:space="preserve">The evidence · stat</w:t>
      </w:r>
    </w:p>
    <w:p>
      <w:pPr>
        <w:pStyle w:val="BodyText"/>
      </w:pPr>
      <w:r>
        <w:t xml:space="preserve">Pooled, oral collagen trials show better hydration, elasticity and wrinkle scores, and the Aesthetic &amp; Regenerative Endocrinology guide grades them C. A 2025 meta-analysis split the same kind of trials by funding and by quality. The benefit appeared only in pharmaceutical-funded and low-quality trials. Unfunded and high-quality trials showed no effect.</w:t>
      </w:r>
    </w:p>
    <w:p>
      <w:pPr>
        <w:pStyle w:val="BodyText"/>
      </w:pPr>
      <w:r>
        <w:rPr>
          <w:b/>
          <w:bCs/>
        </w:rPr>
        <w:t xml:space="preserve">23 RCTs</w:t>
      </w:r>
      <w:r>
        <w:t xml:space="preserve"> </w:t>
      </w:r>
      <w:r>
        <w:t xml:space="preserve">— in the 2025 meta-analysis that split oral-collagen trials by funding and quality (1,474 participants)</w:t>
      </w:r>
      <w:r>
        <w:br/>
      </w:r>
      <w:r>
        <w:rPr>
          <w:i/>
          <w:iCs/>
        </w:rPr>
        <w:t xml:space="preserve">Means:</w:t>
      </w:r>
      <w:r>
        <w:t xml:space="preserve"> </w:t>
      </w:r>
      <w:r>
        <w:t xml:space="preserve">The pooled benefit of oral collagen disappears when you look only at independent or high-quality trials. The course keeps the guide's GRADE C and shows why a downgrade has been proposed to its author.</w:t>
      </w:r>
      <w:r>
        <w:br/>
      </w:r>
      <w:r>
        <w:rPr>
          <w:i/>
          <w:iCs/>
        </w:rPr>
        <w:t xml:space="preserve">Does not mean:</w:t>
      </w:r>
      <w:r>
        <w:t xml:space="preserve"> </w:t>
      </w:r>
      <w:r>
        <w:t xml:space="preserve">It does not show collagen is harmful, and it does not rule out benefit for an individual. It is a statement about the evidence, and it says nothing about topical peptides.</w:t>
      </w:r>
    </w:p>
    <w:p>
      <w:pPr>
        <w:pStyle w:val="BodyText"/>
      </w:pPr>
      <w:r>
        <w:t xml:space="preserve">Sources: Myung SK 2025 · Pu SY 2023 · de Miranda RB 2021 · Kim DU 2018 · Aesthetic &amp; Regenerative Endocrinology — A Clinician's Pocket Guide 2026</w:t>
      </w:r>
    </w:p>
    <w:bookmarkEnd w:id="97"/>
    <w:bookmarkStart w:id="98" w:name="Xb470b3450519716d57514203efc0e6b6a6780b9"/>
    <w:p>
      <w:pPr>
        <w:pStyle w:val="Heading3"/>
      </w:pPr>
      <w:r>
        <w:t xml:space="preserve">11 / 19 · Cosmetic, supplement, drug: three rulebooks.</w:t>
      </w:r>
    </w:p>
    <w:p>
      <w:pPr>
        <w:pStyle w:val="FirstParagraph"/>
      </w:pPr>
      <w:r>
        <w:rPr>
          <w:i/>
          <w:iCs/>
        </w:rPr>
        <w:t xml:space="preserve">What changes in practice · audio</w:t>
      </w:r>
    </w:p>
    <w:p>
      <w:pPr>
        <w:pStyle w:val="BodyText"/>
      </w:pPr>
      <w:r>
        <w:t xml:space="preserve">In the US, cosmetic peptides are cosmetic ingredients, not drugs, and their safety is assessed under a cosmetics framework. Oral collagen is a dietary supplement: it may not claim to treat disease, and product quality and content vary. Neither route has to prove efficacy before sale — which is why the funding question matters.</w:t>
      </w:r>
    </w:p>
    <w:p>
      <w:pPr>
        <w:pStyle w:val="Compact"/>
        <w:numPr>
          <w:ilvl w:val="0"/>
          <w:numId w:val="1035"/>
        </w:numPr>
      </w:pPr>
      <w:r>
        <w:t xml:space="preserve">Cosmetic ingredient: no efficacy approval needed</w:t>
      </w:r>
    </w:p>
    <w:p>
      <w:pPr>
        <w:pStyle w:val="Compact"/>
        <w:numPr>
          <w:ilvl w:val="0"/>
          <w:numId w:val="1035"/>
        </w:numPr>
      </w:pPr>
      <w:r>
        <w:t xml:space="preserve">Dietary supplement: no disease claims; quality varies</w:t>
      </w:r>
    </w:p>
    <w:p>
      <w:pPr>
        <w:pStyle w:val="Compact"/>
        <w:numPr>
          <w:ilvl w:val="0"/>
          <w:numId w:val="1035"/>
        </w:numPr>
      </w:pPr>
      <w:r>
        <w:t xml:space="preserve">Say 'modest, small-trial' — never 'topical Botox'</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Nothing here needs a prescription. If you recommend a product, recommend it on evidence, name the grade, and disclose any relationship with the brand. The 'topical Botox' claim is not one to repeat.</w:t>
      </w:r>
      <w:r>
        <w:t xml:space="preserve"> </w:t>
      </w:r>
      <w:r>
        <w:t xml:space="preserve">-</w:t>
      </w:r>
      <w:r>
        <w:t xml:space="preserve"> </w:t>
      </w:r>
      <w:r>
        <w:rPr>
          <w:i/>
          <w:iCs/>
        </w:rPr>
        <w:t xml:space="preserve">Clinical staff:</w:t>
      </w:r>
      <w:r>
        <w:t xml:space="preserve"> </w:t>
      </w:r>
      <w:r>
        <w:t xml:space="preserve">When a patient asks which serum 'really works', the accurate answer is modest effects from mostly sponsor-funded trials. Do not describe any of them as an alternative to botulinum toxin.</w:t>
      </w:r>
      <w:r>
        <w:t xml:space="preserve"> </w:t>
      </w:r>
      <w:r>
        <w:t xml:space="preserve">-</w:t>
      </w:r>
      <w:r>
        <w:t xml:space="preserve"> </w:t>
      </w:r>
      <w:r>
        <w:rPr>
          <w:i/>
          <w:iCs/>
        </w:rPr>
        <w:t xml:space="preserve">Advisor:</w:t>
      </w:r>
      <w:r>
        <w:t xml:space="preserve"> </w:t>
      </w:r>
      <w:r>
        <w:t xml:space="preserve">The claim you can stand behind is modest, small-trial evidence. Supplements cannot be sold as treating a disease; if a patient expects collagen to fix a skin condition, that is a conversation for a prescriber.</w:t>
      </w:r>
    </w:p>
    <w:p>
      <w:pPr>
        <w:pStyle w:val="BodyText"/>
      </w:pPr>
      <w:r>
        <w:t xml:space="preserve">Narration script</w:t>
      </w:r>
    </w:p>
    <w:p>
      <w:pPr>
        <w:pStyle w:val="BodyText"/>
      </w:pPr>
      <w:r>
        <w:t xml:space="preserve">Now the regulatory register, stated for the United States. Cosmetic peptides are cosmetic ingredients, not drugs; their safety is assessed under a cosmetics framework, and nobody has to prove they work before they are sold. Oral collagen is sold as a dietary supplement, so it cannot claim to treat a disease, and what is in the tub varies from brand to brand. That is the whole reason the funding question matters here. When no regulator asks for efficacy, the only efficacy data are the trials someone chose to pay for. UK and EU rules are being mapped for this course and will be added.</w:t>
      </w:r>
    </w:p>
    <w:p>
      <w:pPr>
        <w:pStyle w:val="BodyText"/>
      </w:pPr>
      <w:r>
        <w:t xml:space="preserve">Sources: Bjerke DL 2026 · Lupo MP 2007 · Aesthetic &amp; Regenerative Endocrinology — A Clinician's Pocket Guide 2026 · The Peptide Pocket Guide — 2026 Edition · Clinical Reference (seventy-two entries) 2026</w:t>
      </w:r>
    </w:p>
    <w:bookmarkEnd w:id="98"/>
    <w:bookmarkStart w:id="99" w:name="clinically-proven-collagen."/>
    <w:p>
      <w:pPr>
        <w:pStyle w:val="Heading3"/>
      </w:pPr>
      <w:r>
        <w:t xml:space="preserve">12 / 19 · 'Clinically proven' collagen.</w:t>
      </w:r>
    </w:p>
    <w:p>
      <w:pPr>
        <w:pStyle w:val="FirstParagraph"/>
      </w:pPr>
      <w:r>
        <w:rPr>
          <w:i/>
          <w:iCs/>
        </w:rPr>
        <w:t xml:space="preserve">Your turn · quiz</w:t>
      </w:r>
    </w:p>
    <w:p>
      <w:pPr>
        <w:pStyle w:val="BodyText"/>
      </w:pPr>
      <w:r>
        <w:t xml:space="preserve">One question to close lesson 4.2.</w:t>
      </w:r>
    </w:p>
    <w:p>
      <w:pPr>
        <w:pStyle w:val="BodyText"/>
      </w:pPr>
      <w:r>
        <w:rPr>
          <w:b/>
          <w:bCs/>
        </w:rPr>
        <w:t xml:space="preserve">Q.</w:t>
      </w:r>
      <w:r>
        <w:t xml:space="preserve"> </w:t>
      </w:r>
      <w:r>
        <w:t xml:space="preserve">A patient shows you a collagen drink labelled 'clinically proven to reduce wrinkles'. What is the most accurate reply?</w:t>
      </w:r>
      <w:r>
        <w:t xml:space="preserve"> </w:t>
      </w:r>
      <w:r>
        <w:t xml:space="preserve">- ✔ The trials are real, but the benefit shows up only in industry-funded and lower-quality trials; independent, high-quality trials show no effect. —</w:t>
      </w:r>
      <w:r>
        <w:t xml:space="preserve"> </w:t>
      </w:r>
      <w:r>
        <w:rPr>
          <w:i/>
          <w:iCs/>
        </w:rPr>
        <w:t xml:space="preserve">Correct. That is what the 2025 funding-stratified meta-analysis found.</w:t>
      </w:r>
      <w:r>
        <w:t xml:space="preserve"> </w:t>
      </w:r>
      <w:r>
        <w:t xml:space="preserve">- ✗ Meta-analyses prove that collagen improves skin. —</w:t>
      </w:r>
      <w:r>
        <w:t xml:space="preserve"> </w:t>
      </w:r>
      <w:r>
        <w:rPr>
          <w:i/>
          <w:iCs/>
        </w:rPr>
        <w:t xml:space="preserve">Pooled, yes. Split by funding and quality, the effect disappears in the independent and high-quality trials.</w:t>
      </w:r>
      <w:r>
        <w:t xml:space="preserve"> </w:t>
      </w:r>
      <w:r>
        <w:t xml:space="preserve">- ✗ Collagen is digested, so it cannot do anything. —</w:t>
      </w:r>
      <w:r>
        <w:t xml:space="preserve"> </w:t>
      </w:r>
      <w:r>
        <w:rPr>
          <w:i/>
          <w:iCs/>
        </w:rPr>
        <w:t xml:space="preserve">That is a mechanism argument. The course rests on the trials, and the problem with the trials is who ran them.</w:t>
      </w:r>
    </w:p>
    <w:bookmarkEnd w:id="99"/>
    <w:bookmarkEnd w:id="100"/>
    <w:bookmarkStart w:id="108" w:name="Xa42b7d619faa5440495f3ef9d83f595d23b18b0"/>
    <w:p>
      <w:pPr>
        <w:pStyle w:val="Heading2"/>
      </w:pPr>
      <w:r>
        <w:t xml:space="preserve">Lesson 4.3 · Repair peptides and the compounding line</w:t>
      </w:r>
    </w:p>
    <w:bookmarkStart w:id="101" w:name="rodents-a-fragment-and-a-tripeptide."/>
    <w:p>
      <w:pPr>
        <w:pStyle w:val="Heading3"/>
      </w:pPr>
      <w:r>
        <w:t xml:space="preserve">13 / 19 · Rodents, a fragment, and a tripeptide.</w:t>
      </w:r>
    </w:p>
    <w:p>
      <w:pPr>
        <w:pStyle w:val="FirstParagraph"/>
      </w:pPr>
      <w:r>
        <w:rPr>
          <w:i/>
          <w:iCs/>
        </w:rPr>
        <w:t xml:space="preserve">Lesson 4.3 · Concept · audio</w:t>
      </w:r>
    </w:p>
    <w:p>
      <w:pPr>
        <w:pStyle w:val="BodyText"/>
      </w:pPr>
      <w:r>
        <w:t xml:space="preserve">BPC-157 rests on a large rodent literature, mostly from one research group, and on uncontrolled human case series. TB-500 is not thymosin β4: it is a seven-residue fragment of it, identified by analysing the product itself, and no trial has tested the fragment. KPV, a tripeptide from the end of α-MSH, calms inflammation in mouse colitis and has no randomized human trial.</w:t>
      </w:r>
    </w:p>
    <w:p>
      <w:pPr>
        <w:pStyle w:val="Compact"/>
        <w:numPr>
          <w:ilvl w:val="0"/>
          <w:numId w:val="1036"/>
        </w:numPr>
      </w:pPr>
      <w:r>
        <w:t xml:space="preserve">BPC-157: rodents and case series</w:t>
      </w:r>
    </w:p>
    <w:p>
      <w:pPr>
        <w:pStyle w:val="Compact"/>
        <w:numPr>
          <w:ilvl w:val="0"/>
          <w:numId w:val="1036"/>
        </w:numPr>
      </w:pPr>
      <w:r>
        <w:t xml:space="preserve">TB-500: a fragment, never trialled</w:t>
      </w:r>
    </w:p>
    <w:p>
      <w:pPr>
        <w:pStyle w:val="Compact"/>
        <w:numPr>
          <w:ilvl w:val="0"/>
          <w:numId w:val="1036"/>
        </w:numPr>
      </w:pPr>
      <w:r>
        <w:t xml:space="preserve">KPV: mouse colitis only</w:t>
      </w:r>
    </w:p>
    <w:p>
      <w:pPr>
        <w:pStyle w:val="FirstParagraph"/>
      </w:pPr>
      <w:r>
        <w:t xml:space="preserve">Narration script</w:t>
      </w:r>
    </w:p>
    <w:p>
      <w:pPr>
        <w:pStyle w:val="BodyText"/>
      </w:pPr>
      <w:r>
        <w:t xml:space="preserve">Lesson three moves from the cosmetic shelf to the peptides patients buy online and inject. BPC-157 is a fifteen-residue peptide first described in 1993. Its evidence is a large rodent literature, most of it from one research group, and uncontrolled human case series. TB-500 is sold as thymosin, but when anti-doping chemists analysed the product they found a seven-residue fragment, residues seventeen to twenty-three of thymosin beta-four. That fragment has never been tested in a trial. KPV is the last three amino acids of alpha-MSH; it calms inflammation in mouse colitis models, and there is no randomized human trial of it for anything. All three have plausible mechanisms, and none has a controlled human trial.</w:t>
      </w:r>
    </w:p>
    <w:p>
      <w:pPr>
        <w:pStyle w:val="BodyText"/>
      </w:pPr>
      <w:r>
        <w:t xml:space="preserve">Sources: Sikiric P 2018 · Seiwerth S 2021 · Lee E 2021 · Esposito S 2012 · Crockford D 2010 · Dalmasso G 2008 · Kannengiesser K 2008 · The Peptide Pocket Guide — 2026 Edition · Clinical Reference (seventy-two entries) 2026 · Sikirić P 1993</w:t>
      </w:r>
    </w:p>
    <w:bookmarkEnd w:id="101"/>
    <w:bookmarkStart w:id="102" w:name="one-abstract-no-published-trial."/>
    <w:p>
      <w:pPr>
        <w:pStyle w:val="Heading3"/>
      </w:pPr>
      <w:r>
        <w:t xml:space="preserve">14 / 19 · One abstract, no published trial.</w:t>
      </w:r>
    </w:p>
    <w:p>
      <w:pPr>
        <w:pStyle w:val="FirstParagraph"/>
      </w:pPr>
      <w:r>
        <w:rPr>
          <w:i/>
          <w:iCs/>
        </w:rPr>
        <w:t xml:space="preserve">The evidence · stat</w:t>
      </w:r>
    </w:p>
    <w:p>
      <w:pPr>
        <w:pStyle w:val="BodyText"/>
      </w:pPr>
      <w:r>
        <w:t xml:space="preserve">As of September 2026 no randomized efficacy trial of BPC-157 in people has been published in full. FDA's July 2026 briefing found one randomized, placebo-controlled trial reported only as a 2005 meeting abstract: 53 people with ulcerative colitis, two weeks of treatment, and no significant difference from placebo. ClinicalTrials.gov adds a 2015 phase 1 safety study that never posted results, a completed 2025 single-arm product study with no results posted, and a randomized phase 1 trial after rotator-cuff surgery due to start in 2027.</w:t>
      </w:r>
    </w:p>
    <w:p>
      <w:pPr>
        <w:pStyle w:val="BodyText"/>
      </w:pPr>
      <w:r>
        <w:rPr>
          <w:b/>
          <w:bCs/>
        </w:rPr>
        <w:t xml:space="preserve">0</w:t>
      </w:r>
      <w:r>
        <w:t xml:space="preserve"> </w:t>
      </w:r>
      <w:r>
        <w:t xml:space="preserve">— randomized efficacy trials of BPC-157 in people published in full (September 2026) (One 2005 ulcerative-colitis trial exists only as a meeting abstract (no significant difference from placebo) · registered: phase 1 safety study (2015, no results) · single-arm product study (2025, no results) · randomized phase 1 after rotator-cuff repair (starts 2027))</w:t>
      </w:r>
      <w:r>
        <w:br/>
      </w:r>
      <w:r>
        <w:rPr>
          <w:i/>
          <w:iCs/>
        </w:rPr>
        <w:t xml:space="preserve">Means:</w:t>
      </w:r>
      <w:r>
        <w:t xml:space="preserve"> </w:t>
      </w:r>
      <w:r>
        <w:t xml:space="preserve">Whether BPC-157 helps people heal is unknown. The only randomized human result is an abstract that showed no significant benefit; the enthusiasm rests on rodents and uncontrolled case series.</w:t>
      </w:r>
      <w:r>
        <w:br/>
      </w:r>
      <w:r>
        <w:rPr>
          <w:i/>
          <w:iCs/>
        </w:rPr>
        <w:t xml:space="preserve">Does not mean:</w:t>
      </w:r>
      <w:r>
        <w:t xml:space="preserve"> </w:t>
      </w:r>
      <w:r>
        <w:t xml:space="preserve">It does not show BPC-157 is ineffective or unsafe. Absence of trials is absence of evidence, and this figure will change when the registered trials report.</w:t>
      </w:r>
    </w:p>
    <w:p>
      <w:pPr>
        <w:pStyle w:val="BodyText"/>
      </w:pPr>
      <w:r>
        <w:t xml:space="preserve">Sources: fda-pcac-2026-bpc157-briefing · Mayfield CK 2026 · McGuire FP 2025 · PharmaCotherapia d.o.o. 2015 · Parlay Wellness 2025 · University of Arkansas 2027</w:t>
      </w:r>
    </w:p>
    <w:bookmarkEnd w:id="102"/>
    <w:bookmarkStart w:id="103" w:name="two-trials-one-peptide-ll-37."/>
    <w:p>
      <w:pPr>
        <w:pStyle w:val="Heading3"/>
      </w:pPr>
      <w:r>
        <w:t xml:space="preserve">15 / 19 · Two trials, one peptide: LL-37.</w:t>
      </w:r>
    </w:p>
    <w:p>
      <w:pPr>
        <w:pStyle w:val="FirstParagraph"/>
      </w:pPr>
      <w:r>
        <w:rPr>
          <w:i/>
          <w:iCs/>
        </w:rPr>
        <w:t xml:space="preserve">Worked example · tool</w:t>
      </w:r>
    </w:p>
    <w:p>
      <w:pPr>
        <w:pStyle w:val="BodyText"/>
      </w:pPr>
      <w:r>
        <w:t xml:space="preserve">LL-37, the skin's own cathelicidin, is the one repair peptide with two randomized trials in hard-to-heal venous leg ulcers. Read them in order.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First trial (2014)</w:t>
            </w:r>
          </w:p>
        </w:tc>
        <w:tc>
          <w:tcPr/>
          <w:p>
            <w:pPr>
              <w:pStyle w:val="Compact"/>
            </w:pPr>
            <w:r>
              <w:t xml:space="preserve">Positive at low dose</w:t>
            </w:r>
          </w:p>
        </w:tc>
        <w:tc>
          <w:tcPr/>
          <w:p>
            <w:pPr>
              <w:pStyle w:val="Compact"/>
            </w:pPr>
            <w:r>
              <w:t xml:space="preserve">First-in-human, randomized, dose-ranging; 34 patients</w:t>
            </w:r>
          </w:p>
        </w:tc>
      </w:tr>
      <w:tr>
        <w:tc>
          <w:tcPr/>
          <w:p>
            <w:pPr>
              <w:pStyle w:val="Compact"/>
            </w:pPr>
            <w:r>
              <w:t xml:space="preserve">Second trial (2021)</w:t>
            </w:r>
          </w:p>
        </w:tc>
        <w:tc>
          <w:tcPr/>
          <w:p>
            <w:pPr>
              <w:pStyle w:val="Compact"/>
            </w:pPr>
            <w:r>
              <w:t xml:space="preserve">Negative in the full cohort</w:t>
            </w:r>
          </w:p>
        </w:tc>
        <w:tc>
          <w:tcPr/>
          <w:p>
            <w:pPr>
              <w:pStyle w:val="Compact"/>
            </w:pPr>
            <w:r>
              <w:t xml:space="preserve">Multicentre phase IIb, placebo-controlled; only a post hoc subgroup signal</w:t>
            </w:r>
          </w:p>
        </w:tc>
      </w:tr>
      <w:tr>
        <w:tc>
          <w:tcPr/>
          <w:p>
            <w:pPr>
              <w:pStyle w:val="Compact"/>
            </w:pPr>
            <w:r>
              <w:t xml:space="preserve">Who ran them</w:t>
            </w:r>
          </w:p>
        </w:tc>
        <w:tc>
          <w:tcPr/>
          <w:p>
            <w:pPr>
              <w:pStyle w:val="Compact"/>
            </w:pPr>
            <w:r>
              <w:t xml:space="preserve">The developer, both times</w:t>
            </w:r>
          </w:p>
        </w:tc>
        <w:tc>
          <w:tcPr/>
          <w:p>
            <w:pPr>
              <w:pStyle w:val="Compact"/>
            </w:pPr>
            <w:r>
              <w:t xml:space="preserve">Sponsorship does not make a trial wrong; it is one more reason to wait for replication</w:t>
            </w:r>
          </w:p>
        </w:tc>
      </w:tr>
      <w:tr>
        <w:tc>
          <w:tcPr/>
          <w:p>
            <w:pPr>
              <w:pStyle w:val="Compact"/>
            </w:pPr>
            <w:r>
              <w:t xml:space="preserve">Grade</w:t>
            </w:r>
          </w:p>
        </w:tc>
        <w:tc>
          <w:tcPr/>
          <w:p>
            <w:pPr>
              <w:pStyle w:val="Compact"/>
            </w:pPr>
            <w:r>
              <w:t xml:space="preserve">C — inconsistent</w:t>
            </w:r>
          </w:p>
        </w:tc>
        <w:tc>
          <w:tcPr/>
          <w:p>
            <w:pPr>
              <w:pStyle w:val="Compact"/>
            </w:pPr>
            <w:r>
              <w:t xml:space="preserve">A small positive trial followed by an adequately powered negative one</w:t>
            </w:r>
          </w:p>
        </w:tc>
      </w:tr>
    </w:tbl>
    <w:p>
      <w:pPr>
        <w:pStyle w:val="BodyText"/>
      </w:pPr>
      <w:r>
        <w:rPr>
          <w:b/>
          <w:bCs/>
        </w:rPr>
        <w:t xml:space="preserve">Callout:</w:t>
      </w:r>
      <w:r>
        <w:t xml:space="preserve"> </w:t>
      </w:r>
      <w:r>
        <w:t xml:space="preserve">A small positive trial is a hypothesis. LL-37 is what happens when someone tests it.</w:t>
      </w:r>
    </w:p>
    <w:p>
      <w:pPr>
        <w:pStyle w:val="BodyText"/>
      </w:pPr>
      <w:r>
        <w:t xml:space="preserve">Sources: Grönberg A 2014 · Mahlapuu M 2021 · Schauber J 2008 · The Peptide Pocket Guide — 2026 Edition · Clinical Reference (seventy-two entries) 2026</w:t>
      </w:r>
    </w:p>
    <w:bookmarkEnd w:id="103"/>
    <w:bookmarkStart w:id="104" w:name="where-does-it-stand-in-the-us"/>
    <w:p>
      <w:pPr>
        <w:pStyle w:val="Heading3"/>
      </w:pPr>
      <w:r>
        <w:t xml:space="preserve">16 / 19 · Where does it stand in the US?</w:t>
      </w:r>
    </w:p>
    <w:p>
      <w:pPr>
        <w:pStyle w:val="FirstParagraph"/>
      </w:pPr>
      <w:r>
        <w:rPr>
          <w:i/>
          <w:iCs/>
        </w:rPr>
        <w:t xml:space="preserve">Regulatory status · tool</w:t>
      </w:r>
    </w:p>
    <w:p>
      <w:pPr>
        <w:pStyle w:val="BodyText"/>
      </w:pPr>
      <w:r>
        <w:t xml:space="preserve">Three US categories, dated to the FDA's category list of 14 May 2026 and the advisory-committee meeting of 23–24 July 2026. The committee's votes are advice; FDA must still act through rulemaking before anything joins the bulks list. FDA has sent warning letters naming GHK-Cu and BPC-157 on exactly this basis.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Cosmetic or supplement</w:t>
            </w:r>
          </w:p>
        </w:tc>
        <w:tc>
          <w:tcPr/>
          <w:p>
            <w:pPr>
              <w:pStyle w:val="Compact"/>
            </w:pPr>
            <w:r>
              <w:t xml:space="preserve">Not a drug</w:t>
            </w:r>
          </w:p>
        </w:tc>
        <w:tc>
          <w:tcPr/>
          <w:p>
            <w:pPr>
              <w:pStyle w:val="Compact"/>
            </w:pPr>
            <w:r>
              <w:t xml:space="preserve">No efficacy approval before sale; supplements may not claim to treat disease</w:t>
            </w:r>
          </w:p>
        </w:tc>
      </w:tr>
      <w:tr>
        <w:tc>
          <w:tcPr/>
          <w:p>
            <w:pPr>
              <w:pStyle w:val="Compact"/>
            </w:pPr>
            <w:r>
              <w:t xml:space="preserve">503A Category 1</w:t>
            </w:r>
          </w:p>
        </w:tc>
        <w:tc>
          <w:tcPr/>
          <w:p>
            <w:pPr>
              <w:pStyle w:val="Compact"/>
            </w:pPr>
            <w:r>
              <w:t xml:space="preserve">Under FDA evaluation</w:t>
            </w:r>
          </w:p>
        </w:tc>
        <w:tc>
          <w:tcPr/>
          <w:p>
            <w:pPr>
              <w:pStyle w:val="Compact"/>
            </w:pPr>
            <w:r>
              <w:t xml:space="preserve">FDA does not intend to act against compounders who meet its conditions while it evaluates</w:t>
            </w:r>
          </w:p>
        </w:tc>
      </w:tr>
      <w:tr>
        <w:tc>
          <w:tcPr/>
          <w:p>
            <w:pPr>
              <w:pStyle w:val="Compact"/>
            </w:pPr>
            <w:r>
              <w:t xml:space="preserve">Not on the 503A bulks list</w:t>
            </w:r>
          </w:p>
        </w:tc>
        <w:tc>
          <w:tcPr/>
          <w:p>
            <w:pPr>
              <w:pStyle w:val="Compact"/>
            </w:pPr>
            <w:r>
              <w:t xml:space="preserve">No 503A exemption</w:t>
            </w:r>
          </w:p>
        </w:tc>
        <w:tc>
          <w:tcPr/>
          <w:p>
            <w:pPr>
              <w:pStyle w:val="Compact"/>
            </w:pPr>
            <w:r>
              <w:t xml:space="preserve">Compounded products do not qualify; an advisory-committee review is not approval</w:t>
            </w:r>
          </w:p>
        </w:tc>
      </w:tr>
    </w:tbl>
    <w:p>
      <w:pPr>
        <w:pStyle w:val="BodyText"/>
      </w:pPr>
      <w:r>
        <w:rPr>
          <w:b/>
          <w:bCs/>
        </w:rPr>
        <w:t xml:space="preserve">Callout:</w:t>
      </w:r>
      <w:r>
        <w:t xml:space="preserve"> </w:t>
      </w:r>
      <w:r>
        <w:t xml:space="preserve">Review is not approval. Check the live list before any conversation about compounding.</w:t>
      </w:r>
    </w:p>
    <w:p>
      <w:pPr>
        <w:pStyle w:val="BodyText"/>
      </w:pPr>
      <w:r>
        <w:rPr>
          <w:b/>
          <w:bCs/>
        </w:rPr>
        <w:t xml:space="preserve">Exercise (quickfire) · Where does it stand?</w:t>
      </w:r>
      <w:r>
        <w:t xml:space="preserve"> </w:t>
      </w:r>
      <w:r>
        <w:t xml:space="preserve">— One product at a time: which US category is it in today?</w:t>
      </w:r>
      <w:r>
        <w:t xml:space="preserve"> </w:t>
      </w:r>
      <w:r>
        <w:t xml:space="preserve">- An Argireline serum →</w:t>
      </w:r>
      <w:r>
        <w:t xml:space="preserve"> </w:t>
      </w:r>
      <w:r>
        <w:rPr>
          <w:b/>
          <w:bCs/>
        </w:rPr>
        <w:t xml:space="preserve">Cosmetic or supplement</w:t>
      </w:r>
      <w:r>
        <w:t xml:space="preserve"> </w:t>
      </w:r>
      <w:r>
        <w:t xml:space="preserve">—</w:t>
      </w:r>
      <w:r>
        <w:t xml:space="preserve"> </w:t>
      </w:r>
      <w:r>
        <w:rPr>
          <w:i/>
          <w:iCs/>
        </w:rPr>
        <w:t xml:space="preserve">A cosmetic ingredient, not a drug.</w:t>
      </w:r>
      <w:r>
        <w:t xml:space="preserve"> </w:t>
      </w:r>
      <w:r>
        <w:t xml:space="preserve">- An oral collagen drink →</w:t>
      </w:r>
      <w:r>
        <w:t xml:space="preserve"> </w:t>
      </w:r>
      <w:r>
        <w:rPr>
          <w:b/>
          <w:bCs/>
        </w:rPr>
        <w:t xml:space="preserve">Cosmetic or supplement</w:t>
      </w:r>
      <w:r>
        <w:t xml:space="preserve"> </w:t>
      </w:r>
      <w:r>
        <w:t xml:space="preserve">—</w:t>
      </w:r>
      <w:r>
        <w:t xml:space="preserve"> </w:t>
      </w:r>
      <w:r>
        <w:rPr>
          <w:i/>
          <w:iCs/>
        </w:rPr>
        <w:t xml:space="preserve">A dietary supplement: no disease claims, no efficacy approval.</w:t>
      </w:r>
      <w:r>
        <w:t xml:space="preserve"> </w:t>
      </w:r>
      <w:r>
        <w:t xml:space="preserve">- Compounded topical GHK-Cu →</w:t>
      </w:r>
      <w:r>
        <w:t xml:space="preserve"> </w:t>
      </w:r>
      <w:r>
        <w:rPr>
          <w:b/>
          <w:bCs/>
        </w:rPr>
        <w:t xml:space="preserve">Category 1: under evaluation</w:t>
      </w:r>
      <w:r>
        <w:t xml:space="preserve"> </w:t>
      </w:r>
      <w:r>
        <w:t xml:space="preserve">—</w:t>
      </w:r>
      <w:r>
        <w:t xml:space="preserve"> </w:t>
      </w:r>
      <w:r>
        <w:rPr>
          <w:i/>
          <w:iCs/>
        </w:rPr>
        <w:t xml:space="preserve">Non-injectable GHK-Cu is in 503A Category 1 (FDA list of 14 May 2026), pending an advisory-committee consultation before the end of February 2027.</w:t>
      </w:r>
      <w:r>
        <w:t xml:space="preserve"> </w:t>
      </w:r>
      <w:r>
        <w:t xml:space="preserve">- GHK-Cu for injection →</w:t>
      </w:r>
      <w:r>
        <w:t xml:space="preserve"> </w:t>
      </w:r>
      <w:r>
        <w:rPr>
          <w:b/>
          <w:bCs/>
        </w:rPr>
        <w:t xml:space="preserve">Not on the bulks list</w:t>
      </w:r>
      <w:r>
        <w:t xml:space="preserve"> </w:t>
      </w:r>
      <w:r>
        <w:t xml:space="preserve">—</w:t>
      </w:r>
      <w:r>
        <w:t xml:space="preserve"> </w:t>
      </w:r>
      <w:r>
        <w:rPr>
          <w:i/>
          <w:iCs/>
        </w:rPr>
        <w:t xml:space="preserve">The Category 1 entry excludes injectable routes.</w:t>
      </w:r>
      <w:r>
        <w:t xml:space="preserve"> </w:t>
      </w:r>
      <w:r>
        <w:t xml:space="preserve">- BPC-157 for injection →</w:t>
      </w:r>
      <w:r>
        <w:t xml:space="preserve"> </w:t>
      </w:r>
      <w:r>
        <w:rPr>
          <w:b/>
          <w:bCs/>
        </w:rPr>
        <w:t xml:space="preserve">Not on the bulks list</w:t>
      </w:r>
      <w:r>
        <w:t xml:space="preserve"> </w:t>
      </w:r>
      <w:r>
        <w:t xml:space="preserve">—</w:t>
      </w:r>
      <w:r>
        <w:t xml:space="preserve"> </w:t>
      </w:r>
      <w:r>
        <w:rPr>
          <w:i/>
          <w:iCs/>
        </w:rPr>
        <w:t xml:space="preserve">Reviewed by the advisory committee in July 2026; not on the bulks list unless and until FDA acts by rulemaking.</w:t>
      </w:r>
      <w:r>
        <w:t xml:space="preserve"> </w:t>
      </w:r>
      <w:r>
        <w:t xml:space="preserve">- TB-500 →</w:t>
      </w:r>
      <w:r>
        <w:t xml:space="preserve"> </w:t>
      </w:r>
      <w:r>
        <w:rPr>
          <w:b/>
          <w:bCs/>
        </w:rPr>
        <w:t xml:space="preserve">Not on the bulks list</w:t>
      </w:r>
      <w:r>
        <w:t xml:space="preserve"> </w:t>
      </w:r>
      <w:r>
        <w:t xml:space="preserve">—</w:t>
      </w:r>
      <w:r>
        <w:t xml:space="preserve"> </w:t>
      </w:r>
      <w:r>
        <w:rPr>
          <w:i/>
          <w:iCs/>
        </w:rPr>
        <w:t xml:space="preserve">Same position as BPC-157 after the July 2026 review.</w:t>
      </w:r>
    </w:p>
    <w:p>
      <w:pPr>
        <w:pStyle w:val="BodyText"/>
      </w:pPr>
      <w:r>
        <w:t xml:space="preserve">Sources: US Food and Drug Administration 2026 · US Food and Drug Administration 2026 · US Food and Drug Administration 2026 · US Food and Drug Administration 2026 · US Food and Drug Administration 2020 · Aesthetic &amp; Regenerative Endocrinology — A Clinician's Pocket Guide 2026</w:t>
      </w:r>
    </w:p>
    <w:bookmarkEnd w:id="104"/>
    <w:bookmarkStart w:id="105" w:name="new-dark-patches-three-months-into-glow."/>
    <w:p>
      <w:pPr>
        <w:pStyle w:val="Heading3"/>
      </w:pPr>
      <w:r>
        <w:t xml:space="preserve">17 / 19 · New dark patches, three months into 'GLOW'.</w:t>
      </w:r>
    </w:p>
    <w:p>
      <w:pPr>
        <w:pStyle w:val="FirstParagraph"/>
      </w:pPr>
      <w:r>
        <w:rPr>
          <w:i/>
          <w:iCs/>
        </w:rPr>
        <w:t xml:space="preserve">Fictional case · audio</w:t>
      </w:r>
    </w:p>
    <w:p>
      <w:pPr>
        <w:pStyle w:val="BodyText"/>
      </w:pPr>
      <w:r>
        <w:t xml:space="preserve">A 46-year-old patient has been injecting a research-use-only 'GLOW' blend bought online for three months. She reports smoother skin and asks about continuing. You notice new, patchy darkening on her face and forearms. This is a fictional case built from the lesson's evidence; there is one right first move.</w:t>
      </w:r>
    </w:p>
    <w:p>
      <w:pPr>
        <w:pStyle w:val="Compact"/>
        <w:numPr>
          <w:ilvl w:val="0"/>
          <w:numId w:val="1037"/>
        </w:numPr>
      </w:pPr>
      <w:r>
        <w:t xml:space="preserve">GLOW = GHK-Cu, BPC-157 and TB-500; no controlled human trials</w:t>
      </w:r>
    </w:p>
    <w:p>
      <w:pPr>
        <w:pStyle w:val="Compact"/>
        <w:numPr>
          <w:ilvl w:val="0"/>
          <w:numId w:val="1037"/>
        </w:numPr>
      </w:pPr>
      <w:r>
        <w:t xml:space="preserve">Research-use-only products are made outside GMP</w:t>
      </w:r>
    </w:p>
    <w:p>
      <w:pPr>
        <w:pStyle w:val="Compact"/>
        <w:numPr>
          <w:ilvl w:val="0"/>
          <w:numId w:val="1037"/>
        </w:numPr>
      </w:pPr>
      <w:r>
        <w:t xml:space="preserve">New pigmentation on these products is a red flag</w:t>
      </w:r>
    </w:p>
    <w:p>
      <w:pPr>
        <w:pStyle w:val="FirstParagraph"/>
      </w:pPr>
      <w:r>
        <w:rPr>
          <w:b/>
          <w:bCs/>
        </w:rPr>
        <w:t xml:space="preserve">Exercise (scenario) · What do you do first?</w:t>
      </w:r>
      <w:r>
        <w:t xml:space="preserve"> </w:t>
      </w:r>
      <w:r>
        <w:t xml:space="preserve">—</w:t>
      </w:r>
    </w:p>
    <w:p>
      <w:pPr>
        <w:pStyle w:val="BodyText"/>
      </w:pPr>
      <w:r>
        <w:t xml:space="preserve">A 46-year-old patient has been injecting a research-use-only 'GLOW' blend bought online for three months. She reports smoother skin and asks about continuing. You notice new, patchy darkening on her face and forearms.</w:t>
      </w:r>
    </w:p>
    <w:p>
      <w:pPr>
        <w:pStyle w:val="Compact"/>
        <w:numPr>
          <w:ilvl w:val="0"/>
          <w:numId w:val="1038"/>
        </w:numPr>
      </w:pPr>
      <w:r>
        <w:t xml:space="preserve">✗ Reassure her: copper peptides can darken skin while collagen remodels. Review in three months. —</w:t>
      </w:r>
      <w:r>
        <w:t xml:space="preserve"> </w:t>
      </w:r>
      <w:r>
        <w:rPr>
          <w:i/>
          <w:iCs/>
        </w:rPr>
        <w:t xml:space="preserve">There is no evidence for that explanation, and the guide reads new pigmentation on these products as a warning sign.</w:t>
      </w:r>
    </w:p>
    <w:p>
      <w:pPr>
        <w:pStyle w:val="Compact"/>
        <w:numPr>
          <w:ilvl w:val="0"/>
          <w:numId w:val="1038"/>
        </w:numPr>
      </w:pPr>
      <w:r>
        <w:t xml:space="preserve">✔ Advise stopping the product, record exactly what she bought, from where and the batch, and route the pigment change for clinical assessment. —</w:t>
      </w:r>
      <w:r>
        <w:t xml:space="preserve"> </w:t>
      </w:r>
      <w:r>
        <w:rPr>
          <w:i/>
          <w:iCs/>
        </w:rPr>
        <w:t xml:space="preserve">Right. Stop the exposure, capture the evidence, and get the skin change assessed. The Hormonaly guide states that heavy-metal contamination is documented in these products; the published analysis behind that statement could not be found. The change needs assessment either way.</w:t>
      </w:r>
    </w:p>
    <w:p>
      <w:pPr>
        <w:pStyle w:val="Compact"/>
        <w:numPr>
          <w:ilvl w:val="0"/>
          <w:numId w:val="1038"/>
        </w:numPr>
      </w:pPr>
      <w:r>
        <w:t xml:space="preserve">✗ Switch her to a compounded version of the same blend from a US pharmacy. —</w:t>
      </w:r>
      <w:r>
        <w:t xml:space="preserve"> </w:t>
      </w:r>
      <w:r>
        <w:rPr>
          <w:i/>
          <w:iCs/>
        </w:rPr>
        <w:t xml:space="preserve">BPC-157, TB-500 and injectable GHK-Cu are not on the bulks list; a 'pharmacy version' does not solve the problem.</w:t>
      </w:r>
    </w:p>
    <w:p>
      <w:pPr>
        <w:pStyle w:val="FirstParagraph"/>
      </w:pPr>
      <w:r>
        <w:t xml:space="preserve">Follow-up: Then document the conversation: what she used, what you advised, and who assesses the pigmentation next.</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 assess the pigmentation or refer to dermatology, consider whether investigation is needed, and document the investigational product and your advice.</w:t>
      </w:r>
      <w:r>
        <w:t xml:space="preserve"> </w:t>
      </w:r>
      <w:r>
        <w:t xml:space="preserve">-</w:t>
      </w:r>
      <w:r>
        <w:t xml:space="preserve"> </w:t>
      </w:r>
      <w:r>
        <w:rPr>
          <w:i/>
          <w:iCs/>
        </w:rPr>
        <w:t xml:space="preserve">Clinical staff:</w:t>
      </w:r>
      <w:r>
        <w:t xml:space="preserve"> </w:t>
      </w:r>
      <w:r>
        <w:t xml:space="preserve">You record the product, source and batch, photograph with consent if your setting allows, and escalate to the prescriber the same day.</w:t>
      </w:r>
      <w:r>
        <w:t xml:space="preserve"> </w:t>
      </w:r>
      <w:r>
        <w:t xml:space="preserve">-</w:t>
      </w:r>
      <w:r>
        <w:t xml:space="preserve"> </w:t>
      </w:r>
      <w:r>
        <w:rPr>
          <w:i/>
          <w:iCs/>
        </w:rPr>
        <w:t xml:space="preserve">Advisor:</w:t>
      </w:r>
      <w:r>
        <w:t xml:space="preserve"> </w:t>
      </w:r>
      <w:r>
        <w:t xml:space="preserve">You advise her to stop, keep the vial and packaging, and see a prescriber promptly; you do not suggest an alternative supplier.</w:t>
      </w:r>
    </w:p>
    <w:p>
      <w:pPr>
        <w:pStyle w:val="BodyText"/>
      </w:pPr>
      <w:r>
        <w:t xml:space="preserve">Narration script</w:t>
      </w:r>
    </w:p>
    <w:p>
      <w:pPr>
        <w:pStyle w:val="BodyText"/>
      </w:pPr>
      <w:r>
        <w:t xml:space="preserve">A fictional case, built from this lesson's evidence. A forty-six-year-old patient has been injecting a research-use-only blend sold as GLOW for three months: GHK-Cu, BPC-157 and TB-500 in one vial. She likes her skin and asks about carrying on. You notice new, patchy darkening on her face and forearms. The blend has no controlled human trials, it is made outside good manufacturing practice, and the Hormonaly guide treats new pigmentation on these products as a red flag. Impurity and mislabelling are documented for similar online products; the Hormonaly guide states that heavy-metal contamination is documented in these products, but the published analysis behind that statement could not be found. Decide what you do first.</w:t>
      </w:r>
    </w:p>
    <w:p>
      <w:pPr>
        <w:pStyle w:val="BodyText"/>
      </w:pPr>
      <w:r>
        <w:t xml:space="preserve">Sources: Aesthetic &amp; Regenerative Endocrinology — A Clinician's Pocket Guide 2026 · The Peptide Pocket Guide — 2026 Edition · Clinical Reference (seventy-two entries) 2026 · Vanhee C 2020 · Ashraf AR 2024 · US Food and Drug Administration 2026 · US Food and Drug Administration 2026</w:t>
      </w:r>
    </w:p>
    <w:bookmarkEnd w:id="105"/>
    <w:bookmarkStart w:id="106" w:name="after-the-july-review."/>
    <w:p>
      <w:pPr>
        <w:pStyle w:val="Heading3"/>
      </w:pPr>
      <w:r>
        <w:t xml:space="preserve">18 / 19 · After the July review.</w:t>
      </w:r>
    </w:p>
    <w:p>
      <w:pPr>
        <w:pStyle w:val="FirstParagraph"/>
      </w:pPr>
      <w:r>
        <w:rPr>
          <w:i/>
          <w:iCs/>
        </w:rPr>
        <w:t xml:space="preserve">Your turn · quiz</w:t>
      </w:r>
    </w:p>
    <w:p>
      <w:pPr>
        <w:pStyle w:val="BodyText"/>
      </w:pPr>
      <w:r>
        <w:t xml:space="preserve">One question to close lesson 4.3.</w:t>
      </w:r>
    </w:p>
    <w:p>
      <w:pPr>
        <w:pStyle w:val="BodyText"/>
      </w:pPr>
      <w:r>
        <w:rPr>
          <w:b/>
          <w:bCs/>
        </w:rPr>
        <w:t xml:space="preserve">Q.</w:t>
      </w:r>
      <w:r>
        <w:t xml:space="preserve"> </w:t>
      </w:r>
      <w:r>
        <w:t xml:space="preserve">FDA's Pharmacy Compounding Advisory Committee reviewed BPC-157, KPV and TB-500 in July 2026. What does that change for 503A compounding today?</w:t>
      </w:r>
      <w:r>
        <w:t xml:space="preserve"> </w:t>
      </w:r>
      <w:r>
        <w:t xml:space="preserve">- ✗ They can now be compounded, because the committee reviewed them. —</w:t>
      </w:r>
      <w:r>
        <w:t xml:space="preserve"> </w:t>
      </w:r>
      <w:r>
        <w:rPr>
          <w:i/>
          <w:iCs/>
        </w:rPr>
        <w:t xml:space="preserve">The committee advises; nothing changes until FDA adds a substance to the bulks list by rulemaking.</w:t>
      </w:r>
      <w:r>
        <w:t xml:space="preserve"> </w:t>
      </w:r>
      <w:r>
        <w:t xml:space="preserve">- ✔ Nothing yet: the committee advises, FDA must still act by rulemaking, and until then compounded products do not qualify for the 503A exemptions. —</w:t>
      </w:r>
      <w:r>
        <w:t xml:space="preserve"> </w:t>
      </w:r>
      <w:r>
        <w:rPr>
          <w:i/>
          <w:iCs/>
        </w:rPr>
        <w:t xml:space="preserve">Correct. Review is not approval.</w:t>
      </w:r>
      <w:r>
        <w:t xml:space="preserve"> </w:t>
      </w:r>
      <w:r>
        <w:t xml:space="preserve">- ✗ Only the injectable forms are restricted now. —</w:t>
      </w:r>
      <w:r>
        <w:t xml:space="preserve"> </w:t>
      </w:r>
      <w:r>
        <w:rPr>
          <w:i/>
          <w:iCs/>
        </w:rPr>
        <w:t xml:space="preserve">None of the three is on the bulks list in any form; the injectable-only exception applies to GHK-Cu's Category 1 entry, not to these.</w:t>
      </w:r>
    </w:p>
    <w:bookmarkEnd w:id="106"/>
    <w:bookmarkStart w:id="107" w:name="before-my-next-peptide-conversation."/>
    <w:p>
      <w:pPr>
        <w:pStyle w:val="Heading3"/>
      </w:pPr>
      <w:r>
        <w:t xml:space="preserve">19 / 19 · Before my next peptide conversation.</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peptide checklist</w:t>
      </w:r>
      <w:r>
        <w:t xml:space="preserve"> </w:t>
      </w:r>
      <w:r>
        <w:t xml:space="preserve">— Tap everything you will do. Choose as many as you like.</w:t>
      </w:r>
      <w:r>
        <w:t xml:space="preserve"> </w:t>
      </w:r>
      <w:r>
        <w:rPr>
          <w:i/>
          <w:iCs/>
        </w:rPr>
        <w:t xml:space="preserve">Before my next peptide conversation I will …</w:t>
      </w:r>
      <w:r>
        <w:t xml:space="preserve"> </w:t>
      </w:r>
      <w:r>
        <w:t xml:space="preserve">name the route and the evidence grade · ask who funded the trial behind the claim · ask exactly what was bought and from where · check its current status on the live FDA list · document what I advised and why · send injected or research-use-only products to a prescriber</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documentation: the investigational nature, the grade you quoted, and the patient's consent.</w:t>
      </w:r>
      <w:r>
        <w:t xml:space="preserve"> </w:t>
      </w:r>
      <w:r>
        <w:t xml:space="preserve">-</w:t>
      </w:r>
      <w:r>
        <w:t xml:space="preserve"> </w:t>
      </w:r>
      <w:r>
        <w:rPr>
          <w:i/>
          <w:iCs/>
        </w:rPr>
        <w:t xml:space="preserve">Clinical staff:</w:t>
      </w:r>
      <w:r>
        <w:t xml:space="preserve"> </w:t>
      </w:r>
      <w:r>
        <w:t xml:space="preserve">Your checklist ends with escalation: anything injected or research-use-only goes to the prescriber the same day.</w:t>
      </w:r>
      <w:r>
        <w:t xml:space="preserve"> </w:t>
      </w:r>
      <w:r>
        <w:t xml:space="preserve">-</w:t>
      </w:r>
      <w:r>
        <w:t xml:space="preserve"> </w:t>
      </w:r>
      <w:r>
        <w:rPr>
          <w:i/>
          <w:iCs/>
        </w:rPr>
        <w:t xml:space="preserve">Advisor:</w:t>
      </w:r>
      <w:r>
        <w:t xml:space="preserve"> </w:t>
      </w:r>
      <w:r>
        <w:t xml:space="preserve">Your checklist ends with referral: product questions you can answer; treatment questions go to a prescriber.</w:t>
      </w:r>
    </w:p>
    <w:p>
      <w:pPr>
        <w:pStyle w:val="BodyText"/>
      </w:pPr>
      <w:r>
        <w:t xml:space="preserve">Sources: Aesthetic &amp; Regenerative Endocrinology — A Clinician's Pocket Guide 2026 · US Food and Drug Administration 2026</w:t>
      </w:r>
    </w:p>
    <w:bookmarkEnd w:id="107"/>
    <w:bookmarkEnd w:id="108"/>
    <w:bookmarkStart w:id="109" w:name="module-check-3"/>
    <w:p>
      <w:pPr>
        <w:pStyle w:val="Heading2"/>
      </w:pPr>
      <w:r>
        <w:t xml:space="preserve">Module check</w:t>
      </w:r>
    </w:p>
    <w:p>
      <w:pPr>
        <w:pStyle w:val="FirstParagraph"/>
      </w:pPr>
      <w:r>
        <w:rPr>
          <w:b/>
          <w:bCs/>
        </w:rPr>
        <w:t xml:space="preserve">Q.</w:t>
      </w:r>
      <w:r>
        <w:t xml:space="preserve"> </w:t>
      </w:r>
      <w:r>
        <w:t xml:space="preserve">Closing Module 4: which statement keeps the four registers apart?</w:t>
      </w:r>
      <w:r>
        <w:t xml:space="preserve"> </w:t>
      </w:r>
      <w:r>
        <w:t xml:space="preserve">- ✗ GHK-Cu has a strong mechanism, so its evidence grade is high. —</w:t>
      </w:r>
      <w:r>
        <w:t xml:space="preserve"> </w:t>
      </w:r>
      <w:r>
        <w:rPr>
          <w:i/>
          <w:iCs/>
        </w:rPr>
        <w:t xml:space="preserve">That blends mechanism into human evidence. The mechanism is plausible; the human evidence is small (C).</w:t>
      </w:r>
      <w:r>
        <w:t xml:space="preserve"> </w:t>
      </w:r>
      <w:r>
        <w:t xml:space="preserve">- ✔ Topical GHK-Cu: plausible copper-enzyme mechanism; small-trial human evidence (C); non-injectable Category 1 under FDA evaluation; whether it reaches the dermis in useful amounts is open. —</w:t>
      </w:r>
      <w:r>
        <w:t xml:space="preserve"> </w:t>
      </w:r>
      <w:r>
        <w:rPr>
          <w:i/>
          <w:iCs/>
        </w:rPr>
        <w:t xml:space="preserve">Correct. Four separate answers, each with its own source.</w:t>
      </w:r>
      <w:r>
        <w:t xml:space="preserve"> </w:t>
      </w:r>
      <w:r>
        <w:t xml:space="preserve">- ✗ Category 1 means FDA has approved GHK-Cu for skin. —</w:t>
      </w:r>
      <w:r>
        <w:t xml:space="preserve"> </w:t>
      </w:r>
      <w:r>
        <w:rPr>
          <w:i/>
          <w:iCs/>
        </w:rPr>
        <w:t xml:space="preserve">Category 1 means 'still under evaluation' — an enforcement posture, not an approval.</w:t>
      </w:r>
    </w:p>
    <w:p>
      <w:r>
        <w:pict>
          <v:rect style="width:0;height:1.5pt" o:hralign="center" o:hrstd="t" o:hr="t"/>
        </w:pict>
      </w:r>
    </w:p>
    <w:bookmarkEnd w:id="109"/>
    <w:bookmarkEnd w:id="110"/>
    <w:bookmarkStart w:id="134" w:name="X3a0b73391e579846f8d1c473be93ce9501dcebf"/>
    <w:p>
      <w:pPr>
        <w:pStyle w:val="Heading1"/>
      </w:pPr>
      <w:r>
        <w:t xml:space="preserve">Hormones and Peptides for Skin · Module 05 — review draft</w:t>
      </w:r>
    </w:p>
    <w:p>
      <w:pPr>
        <w:pStyle w:val="FirstParagraph"/>
      </w:pPr>
      <w:r>
        <w:rPr>
          <w:i/>
          <w:iCs/>
        </w:rPr>
        <w:t xml:space="preserve">approved · authored 2026-09-24 · 19 moments, ~26 min + module check · 34 sources · 20 claims</w:t>
      </w:r>
    </w:p>
    <w:p>
      <w:pPr>
        <w:pStyle w:val="BodyText"/>
      </w:pPr>
      <w:r>
        <w:t xml:space="preserve">Every factual sentence traces to the graded registry (</w:t>
      </w:r>
      <w:r>
        <w:rPr>
          <w:rStyle w:val="VerbatimChar"/>
        </w:rPr>
        <w:t xml:space="preserve">citations/m05.md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117" w:name="X82d00de70497bf87e33200c306ab17cc9bf12e9"/>
    <w:p>
      <w:pPr>
        <w:pStyle w:val="Heading2"/>
      </w:pPr>
      <w:r>
        <w:t xml:space="preserve">Lesson 5.1 · The hair follicle as an endocrine mini-organ</w:t>
      </w:r>
    </w:p>
    <w:bookmarkStart w:id="111" w:name="a-spray-for-the-scalp-a-tan-in-a-vial."/>
    <w:p>
      <w:pPr>
        <w:pStyle w:val="Heading3"/>
      </w:pPr>
      <w:r>
        <w:t xml:space="preserve">01 / 19 · A spray for the scalp, a tan in a vial.</w:t>
      </w:r>
    </w:p>
    <w:p>
      <w:pPr>
        <w:pStyle w:val="FirstParagraph"/>
      </w:pPr>
      <w:r>
        <w:rPr>
          <w:i/>
          <w:iCs/>
        </w:rPr>
        <w:t xml:space="preserve">Module 05 · Follicle, pigment and melanocortins · title</w:t>
      </w:r>
    </w:p>
    <w:p>
      <w:pPr>
        <w:pStyle w:val="BodyText"/>
      </w:pPr>
      <w:r>
        <w:t xml:space="preserve">Two requests reach aesthetic clinics well ahead of their evidence: a peptide to regrow hair and an injection to tan. In three lessons you will see how the follicle and the pigment system run on the skin's own hormones, why one melanocortin drug is approved while its gray-market cousin is approved nowhere, and how to grade the hair peptides patients bring to you.</w:t>
      </w:r>
    </w:p>
    <w:p>
      <w:pPr>
        <w:pStyle w:val="Compact"/>
        <w:numPr>
          <w:ilvl w:val="0"/>
          <w:numId w:val="1039"/>
        </w:numPr>
      </w:pPr>
      <w:r>
        <w:t xml:space="preserve">5.1 The hair follicle as an endocrine mini-organ</w:t>
      </w:r>
    </w:p>
    <w:p>
      <w:pPr>
        <w:pStyle w:val="Compact"/>
        <w:numPr>
          <w:ilvl w:val="0"/>
          <w:numId w:val="1039"/>
        </w:numPr>
      </w:pPr>
      <w:r>
        <w:t xml:space="preserve">5.2 Afamelanotide, Melanotan II and the melanocortin receptors</w:t>
      </w:r>
    </w:p>
    <w:p>
      <w:pPr>
        <w:pStyle w:val="Compact"/>
        <w:numPr>
          <w:ilvl w:val="0"/>
          <w:numId w:val="1039"/>
        </w:numPr>
      </w:pPr>
      <w:r>
        <w:t xml:space="preserve">5.3 Investigational hair peptides, graded</w:t>
      </w:r>
    </w:p>
    <w:bookmarkEnd w:id="111"/>
    <w:bookmarkStart w:id="112" w:name="a-follicle-that-runs-its-own-hormones."/>
    <w:p>
      <w:pPr>
        <w:pStyle w:val="Heading3"/>
      </w:pPr>
      <w:r>
        <w:t xml:space="preserve">02 / 19 · A follicle that runs its own hormones.</w:t>
      </w:r>
    </w:p>
    <w:p>
      <w:pPr>
        <w:pStyle w:val="FirstParagraph"/>
      </w:pPr>
      <w:r>
        <w:rPr>
          <w:i/>
          <w:iCs/>
        </w:rPr>
        <w:t xml:space="preserve">Mechanism · audio</w:t>
      </w:r>
    </w:p>
    <w:p>
      <w:pPr>
        <w:pStyle w:val="BodyText"/>
      </w:pPr>
      <w:r>
        <w:t xml:space="preserve">Human scalp hair follicles kept alive in the laboratory answer corticotropin-releasing hormone by making ACTH and α-MSH and secreting cortisol, with a feedback loop like the adrenal axis. They also run a growth hormone and IGF-1 loop of their own. Locally made dihydrotestosterone shrinks genetically susceptible scalp follicles, the process behind pattern hair loss. Growing follicles are shielded from immune attack, and alopecia areata begins when that shield fails.</w:t>
      </w:r>
    </w:p>
    <w:p>
      <w:pPr>
        <w:pStyle w:val="Compact"/>
        <w:numPr>
          <w:ilvl w:val="0"/>
          <w:numId w:val="1040"/>
        </w:numPr>
      </w:pPr>
      <w:r>
        <w:t xml:space="preserve">Local stress axis: CRH → ACTH → cortisol, with feedback</w:t>
      </w:r>
    </w:p>
    <w:p>
      <w:pPr>
        <w:pStyle w:val="Compact"/>
        <w:numPr>
          <w:ilvl w:val="0"/>
          <w:numId w:val="1040"/>
        </w:numPr>
      </w:pPr>
      <w:r>
        <w:t xml:space="preserve">Local androgen switch: testosterone → DHT in the scalp</w:t>
      </w:r>
    </w:p>
    <w:p>
      <w:pPr>
        <w:pStyle w:val="Compact"/>
        <w:numPr>
          <w:ilvl w:val="0"/>
          <w:numId w:val="1040"/>
        </w:numPr>
      </w:pPr>
      <w:r>
        <w:t xml:space="preserve">Immune privilege: its collapse drives alopecia areata</w:t>
      </w:r>
    </w:p>
    <w:p>
      <w:pPr>
        <w:pStyle w:val="FirstParagraph"/>
      </w:pPr>
      <w:r>
        <w:t xml:space="preserve">Narration script</w:t>
      </w:r>
    </w:p>
    <w:p>
      <w:pPr>
        <w:pStyle w:val="BodyText"/>
      </w:pPr>
      <w:r>
        <w:t xml:space="preserve">Each hair follicle behaves like a small gland. When researchers keep human scalp follicles alive in culture, the follicles answer corticotropin-releasing hormone the way the pituitary and adrenal glands do. They make ACTH and alpha-MSH, they secrete cortisol, and cortisol-like signals feed back to switch the stimulus down. The same follicles run a growth hormone and IGF-1 loop of their own. On the scalp, an enzyme called five-alpha-reductase turns testosterone into dihydrotestosterone, and in genetically susceptible follicles that hormone drives the gradual shrinking behind pattern hair loss. Growing follicles also hide from the immune system. When that protection collapses, immune cells attack the hair bulb, and the result is alopecia areata. Most of this biology comes from tissue kept alive outside the body, so hold it as mechanism, a reason something might matter in patients.</w:t>
      </w:r>
    </w:p>
    <w:p>
      <w:pPr>
        <w:pStyle w:val="BodyText"/>
      </w:pPr>
      <w:r>
        <w:t xml:space="preserve">Sources: Ito N 2005 · Horesh EJ 2023 · Bertolini M 2020 · Adil A 2017 · Aesthetic &amp; Regenerative Endocrinology — A Clinician's Pocket Guide 2026</w:t>
      </w:r>
    </w:p>
    <w:bookmarkEnd w:id="112"/>
    <w:bookmarkStart w:id="113" w:name="two-trials-1200-adults-one-approval."/>
    <w:p>
      <w:pPr>
        <w:pStyle w:val="Heading3"/>
      </w:pPr>
      <w:r>
        <w:t xml:space="preserve">03 / 19 · Two trials, 1,200 adults, one approval.</w:t>
      </w:r>
    </w:p>
    <w:p>
      <w:pPr>
        <w:pStyle w:val="FirstParagraph"/>
      </w:pPr>
      <w:r>
        <w:rPr>
          <w:i/>
          <w:iCs/>
        </w:rPr>
        <w:t xml:space="preserve">Human evidence · stat</w:t>
      </w:r>
    </w:p>
    <w:p>
      <w:pPr>
        <w:pStyle w:val="BodyText"/>
      </w:pPr>
      <w:r>
        <w:t xml:space="preserve">When immune privilege fails, the attack depends on cytokine signals that JAK inhibitors interrupt. Two randomized phase 3 trials tested oral baricitinib in 1,200 adults with severe alopecia areata. In the US, FDA approved baricitinib for adults with severe alopecia areata on 13 June 2022. The Aesthetic &amp; Regenerative Endocrinology guide grades it A.</w:t>
      </w:r>
    </w:p>
    <w:p>
      <w:pPr>
        <w:pStyle w:val="BodyText"/>
      </w:pPr>
      <w:r>
        <w:rPr>
          <w:b/>
          <w:bCs/>
        </w:rPr>
        <w:t xml:space="preserve">1,200</w:t>
      </w:r>
      <w:r>
        <w:t xml:space="preserve"> </w:t>
      </w:r>
      <w:r>
        <w:t xml:space="preserve">— adults with severe alopecia areata in the two phase 3 trials of baricitinib (2022) (At 36 weeks, up to 39% of patients on baricitinib had at least 80% of their scalp hair, against 3–6% on placebo)</w:t>
      </w:r>
      <w:r>
        <w:br/>
      </w:r>
      <w:r>
        <w:rPr>
          <w:i/>
          <w:iCs/>
        </w:rPr>
        <w:t xml:space="preserve">Means:</w:t>
      </w:r>
      <w:r>
        <w:t xml:space="preserve"> </w:t>
      </w:r>
      <w:r>
        <w:t xml:space="preserve">Interrupting the immune signalling behind collapsed privilege regrows hair in severe alopecia areata. That is approval-grade evidence (A), and it shows what real follicle evidence looks like.</w:t>
      </w:r>
      <w:r>
        <w:br/>
      </w:r>
      <w:r>
        <w:rPr>
          <w:i/>
          <w:iCs/>
        </w:rPr>
        <w:t xml:space="preserve">Does not mean:</w:t>
      </w:r>
      <w:r>
        <w:t xml:space="preserve"> </w:t>
      </w:r>
      <w:r>
        <w:t xml:space="preserve">It says nothing about pattern hair loss, cosmetic thinning or any peptide. Both trials were funded by the manufacturer, and the authors called for longer trials.</w:t>
      </w:r>
    </w:p>
    <w:p>
      <w:pPr>
        <w:pStyle w:val="BodyText"/>
      </w:pPr>
      <w:r>
        <w:t xml:space="preserve">Sources: King B 2022 · US Food and Drug Administration 2022 · Bertolini M 2020 · Aesthetic &amp; Regenerative Endocrinology — A Clinician's Pocket Guide 2026</w:t>
      </w:r>
    </w:p>
    <w:bookmarkEnd w:id="113"/>
    <w:bookmarkStart w:id="114" w:name="four-questions-before-any-product."/>
    <w:p>
      <w:pPr>
        <w:pStyle w:val="Heading3"/>
      </w:pPr>
      <w:r>
        <w:t xml:space="preserve">04 / 19 · Four questions before any product.</w:t>
      </w:r>
    </w:p>
    <w:p>
      <w:pPr>
        <w:pStyle w:val="FirstParagraph"/>
      </w:pPr>
      <w:r>
        <w:rPr>
          <w:i/>
          <w:iCs/>
        </w:rPr>
        <w:t xml:space="preserve">Worked tool · tool</w:t>
      </w:r>
    </w:p>
    <w:p>
      <w:pPr>
        <w:pStyle w:val="BodyText"/>
      </w:pPr>
      <w:r>
        <w:t xml:space="preserve">The Aesthetic &amp; Regenerative Endocrinology guide's first-pass hair-loss workup asks four questions in order. Each yes points to a different condition and a different next step.</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Patterned thinning? (crown, vertex, frontal recession)</w:t>
            </w:r>
          </w:p>
        </w:tc>
        <w:tc>
          <w:tcPr/>
          <w:p>
            <w:pPr>
              <w:pStyle w:val="Compact"/>
            </w:pPr>
            <w:r>
              <w:t xml:space="preserve">Androgenetic alopecia</w:t>
            </w:r>
          </w:p>
        </w:tc>
        <w:tc>
          <w:tcPr/>
          <w:p>
            <w:pPr>
              <w:pStyle w:val="Compact"/>
            </w:pPr>
            <w:r>
              <w:t xml:space="preserve">Topical minoxidil; finasteride in men; treat coexisting iron or thyroid problems</w:t>
            </w:r>
          </w:p>
        </w:tc>
      </w:tr>
      <w:tr>
        <w:tc>
          <w:tcPr/>
          <w:p>
            <w:pPr>
              <w:pStyle w:val="Compact"/>
            </w:pPr>
            <w:r>
              <w:t xml:space="preserve">Diffuse shedding after a trigger? (illness, delivery, diet, a drug)</w:t>
            </w:r>
          </w:p>
        </w:tc>
        <w:tc>
          <w:tcPr/>
          <w:p>
            <w:pPr>
              <w:pStyle w:val="Compact"/>
            </w:pPr>
            <w:r>
              <w:t xml:space="preserve">Telogen effluvium</w:t>
            </w:r>
          </w:p>
        </w:tc>
        <w:tc>
          <w:tcPr/>
          <w:p>
            <w:pPr>
              <w:pStyle w:val="Compact"/>
            </w:pPr>
            <w:r>
              <w:t xml:space="preserve">Remove the trigger, reassure, recheck ferritin and TSH</w:t>
            </w:r>
          </w:p>
        </w:tc>
      </w:tr>
      <w:tr>
        <w:tc>
          <w:tcPr/>
          <w:p>
            <w:pPr>
              <w:pStyle w:val="Compact"/>
            </w:pPr>
            <w:r>
              <w:t xml:space="preserve">Patchy, smooth loss? (with or without nail pitting)</w:t>
            </w:r>
          </w:p>
        </w:tc>
        <w:tc>
          <w:tcPr/>
          <w:p>
            <w:pPr>
              <w:pStyle w:val="Compact"/>
            </w:pPr>
            <w:r>
              <w:t xml:space="preserve">Alopecia areata</w:t>
            </w:r>
          </w:p>
        </w:tc>
        <w:tc>
          <w:tcPr/>
          <w:p>
            <w:pPr>
              <w:pStyle w:val="Compact"/>
            </w:pPr>
            <w:r>
              <w:t xml:space="preserve">Dermatology referral; screen for thyroid and autoimmune disease</w:t>
            </w:r>
          </w:p>
        </w:tc>
      </w:tr>
      <w:tr>
        <w:tc>
          <w:tcPr/>
          <w:p>
            <w:pPr>
              <w:pStyle w:val="Compact"/>
            </w:pPr>
            <w:r>
              <w:t xml:space="preserve">Signs of androgen excess? (hirsutism, acne, irregular periods)</w:t>
            </w:r>
          </w:p>
        </w:tc>
        <w:tc>
          <w:tcPr/>
          <w:p>
            <w:pPr>
              <w:pStyle w:val="Compact"/>
            </w:pPr>
            <w:r>
              <w:t xml:space="preserve">Hyperandrogenism work-up</w:t>
            </w:r>
          </w:p>
        </w:tc>
        <w:tc>
          <w:tcPr/>
          <w:p>
            <w:pPr>
              <w:pStyle w:val="Compact"/>
            </w:pPr>
            <w:r>
              <w:t xml:space="preserve">Follow the guide's acne and androgen pathway</w:t>
            </w:r>
          </w:p>
        </w:tc>
      </w:tr>
      <w:tr>
        <w:tc>
          <w:tcPr/>
          <w:p>
            <w:pPr>
              <w:pStyle w:val="Compact"/>
            </w:pPr>
            <w:r>
              <w:t xml:space="preserve">In every patient</w:t>
            </w:r>
          </w:p>
        </w:tc>
        <w:tc>
          <w:tcPr/>
          <w:p>
            <w:pPr>
              <w:pStyle w:val="Compact"/>
            </w:pPr>
            <w:r>
              <w:t xml:space="preserve">Ferritin and TSH</w:t>
            </w:r>
          </w:p>
        </w:tc>
        <w:tc>
          <w:tcPr/>
          <w:p>
            <w:pPr>
              <w:pStyle w:val="Compact"/>
            </w:pPr>
            <w:r>
              <w:t xml:space="preserve">Add androgens if there are virilising signs; a scarring pattern needs a biopsy</w:t>
            </w:r>
          </w:p>
        </w:tc>
      </w:tr>
    </w:tbl>
    <w:p>
      <w:pPr>
        <w:pStyle w:val="BodyText"/>
      </w:pPr>
      <w:r>
        <w:rPr>
          <w:b/>
          <w:bCs/>
        </w:rPr>
        <w:t xml:space="preserve">Callout:</w:t>
      </w:r>
      <w:r>
        <w:t xml:space="preserve"> </w:t>
      </w:r>
      <w:r>
        <w:t xml:space="preserve">Refer severe or rapidly progressive alopecia areata promptly.</w:t>
      </w:r>
    </w:p>
    <w:p>
      <w:pPr>
        <w:pStyle w:val="BodyText"/>
      </w:pPr>
      <w:r>
        <w:rPr>
          <w:b/>
          <w:bCs/>
        </w:rPr>
        <w:t xml:space="preserve">Exercise (quickfire) · Which pattern is it?</w:t>
      </w:r>
      <w:r>
        <w:t xml:space="preserve"> </w:t>
      </w:r>
      <w:r>
        <w:t xml:space="preserve">— One fictional patient at a time: where does the workup point?</w:t>
      </w:r>
      <w:r>
        <w:t xml:space="preserve"> </w:t>
      </w:r>
      <w:r>
        <w:t xml:space="preserve">- Man, 38: a thinning crown and a receding hairline over five years →</w:t>
      </w:r>
      <w:r>
        <w:t xml:space="preserve"> </w:t>
      </w:r>
      <w:r>
        <w:rPr>
          <w:b/>
          <w:bCs/>
        </w:rPr>
        <w:t xml:space="preserve">Androgenetic pattern</w:t>
      </w:r>
      <w:r>
        <w:t xml:space="preserve"> </w:t>
      </w:r>
      <w:r>
        <w:t xml:space="preserve">—</w:t>
      </w:r>
      <w:r>
        <w:t xml:space="preserve"> </w:t>
      </w:r>
      <w:r>
        <w:rPr>
          <w:i/>
          <w:iCs/>
        </w:rPr>
        <w:t xml:space="preserve">Patterned thinning. The guide's first line is topical minoxidil, with finasteride as an option for men; check ferritin and TSH and treat any iron or thyroid problem.</w:t>
      </w:r>
      <w:r>
        <w:t xml:space="preserve"> </w:t>
      </w:r>
      <w:r>
        <w:t xml:space="preserve">- Woman, 31: handfuls of hair in the shower three months after giving birth →</w:t>
      </w:r>
      <w:r>
        <w:t xml:space="preserve"> </w:t>
      </w:r>
      <w:r>
        <w:rPr>
          <w:b/>
          <w:bCs/>
        </w:rPr>
        <w:t xml:space="preserve">Telogen effluvium</w:t>
      </w:r>
      <w:r>
        <w:t xml:space="preserve"> </w:t>
      </w:r>
      <w:r>
        <w:t xml:space="preserve">—</w:t>
      </w:r>
      <w:r>
        <w:t xml:space="preserve"> </w:t>
      </w:r>
      <w:r>
        <w:rPr>
          <w:i/>
          <w:iCs/>
        </w:rPr>
        <w:t xml:space="preserve">Diffuse shedding after a trigger. Reassure, and recheck ferritin and TSH.</w:t>
      </w:r>
      <w:r>
        <w:t xml:space="preserve"> </w:t>
      </w:r>
      <w:r>
        <w:t xml:space="preserve">- Man, 26: a smooth, round bald patch in the beard, and pitted nails →</w:t>
      </w:r>
      <w:r>
        <w:t xml:space="preserve"> </w:t>
      </w:r>
      <w:r>
        <w:rPr>
          <w:b/>
          <w:bCs/>
        </w:rPr>
        <w:t xml:space="preserve">Alopecia areata</w:t>
      </w:r>
      <w:r>
        <w:t xml:space="preserve"> </w:t>
      </w:r>
      <w:r>
        <w:t xml:space="preserve">—</w:t>
      </w:r>
      <w:r>
        <w:t xml:space="preserve"> </w:t>
      </w:r>
      <w:r>
        <w:rPr>
          <w:i/>
          <w:iCs/>
        </w:rPr>
        <w:t xml:space="preserve">Patchy smooth loss with nail pitting. Refer to dermatology and screen for thyroid and autoimmune disease.</w:t>
      </w:r>
      <w:r>
        <w:t xml:space="preserve"> </w:t>
      </w:r>
      <w:r>
        <w:t xml:space="preserve">- Woman, 55: a slowly widening central part, no shedding episode →</w:t>
      </w:r>
      <w:r>
        <w:t xml:space="preserve"> </w:t>
      </w:r>
      <w:r>
        <w:rPr>
          <w:b/>
          <w:bCs/>
        </w:rPr>
        <w:t xml:space="preserve">Androgenetic pattern</w:t>
      </w:r>
      <w:r>
        <w:t xml:space="preserve"> </w:t>
      </w:r>
      <w:r>
        <w:t xml:space="preserve">—</w:t>
      </w:r>
      <w:r>
        <w:t xml:space="preserve"> </w:t>
      </w:r>
      <w:r>
        <w:rPr>
          <w:i/>
          <w:iCs/>
        </w:rPr>
        <w:t xml:space="preserve">Patterned thinning in a woman. Topical minoxidil has randomized-trial support in women; check ferritin and TSH, and androgens if there are virilising signs.</w:t>
      </w:r>
      <w:r>
        <w:t xml:space="preserve"> </w:t>
      </w:r>
      <w:r>
        <w:t xml:space="preserve">- Man, 45: diffuse shedding two months after a rapid, very low-calorie diet →</w:t>
      </w:r>
      <w:r>
        <w:t xml:space="preserve"> </w:t>
      </w:r>
      <w:r>
        <w:rPr>
          <w:b/>
          <w:bCs/>
        </w:rPr>
        <w:t xml:space="preserve">Telogen effluvium</w:t>
      </w:r>
      <w:r>
        <w:t xml:space="preserve"> </w:t>
      </w:r>
      <w:r>
        <w:t xml:space="preserve">—</w:t>
      </w:r>
      <w:r>
        <w:t xml:space="preserve"> </w:t>
      </w:r>
      <w:r>
        <w:rPr>
          <w:i/>
          <w:iCs/>
        </w:rPr>
        <w:t xml:space="preserve">A dietary trigger. Address the diet, reassure, and check ferritin and TSH.</w:t>
      </w:r>
      <w:r>
        <w:t xml:space="preserve"> </w:t>
      </w:r>
      <w:r>
        <w:t xml:space="preserve">- Woman, 40: several patches that have spread across most of the scalp within weeks →</w:t>
      </w:r>
      <w:r>
        <w:t xml:space="preserve"> </w:t>
      </w:r>
      <w:r>
        <w:rPr>
          <w:b/>
          <w:bCs/>
        </w:rPr>
        <w:t xml:space="preserve">Alopecia areata</w:t>
      </w:r>
      <w:r>
        <w:t xml:space="preserve"> </w:t>
      </w:r>
      <w:r>
        <w:t xml:space="preserve">—</w:t>
      </w:r>
      <w:r>
        <w:t xml:space="preserve"> </w:t>
      </w:r>
      <w:r>
        <w:rPr>
          <w:i/>
          <w:iCs/>
        </w:rPr>
        <w:t xml:space="preserve">Severe or rapidly progressive alopecia areata. The guide asks for prompt referral; JAK inhibitors are specialist treatment.</w:t>
      </w:r>
    </w:p>
    <w:p>
      <w:pPr>
        <w:pStyle w:val="BodyText"/>
      </w:pPr>
      <w:r>
        <w:t xml:space="preserve">Sources: Aesthetic &amp; Regenerative Endocrinology — A Clinician's Pocket Guide 2026 · Adil A 2017 · King B 2022</w:t>
      </w:r>
    </w:p>
    <w:bookmarkEnd w:id="114"/>
    <w:bookmarkStart w:id="115" w:name="X902b1ed49840dff9a05f23dc3f91c33d74b44ab"/>
    <w:p>
      <w:pPr>
        <w:pStyle w:val="Heading3"/>
      </w:pPr>
      <w:r>
        <w:t xml:space="preserve">05 / 19 · Work up the hair loss before anyone mentions a peptide.</w:t>
      </w:r>
    </w:p>
    <w:p>
      <w:pPr>
        <w:pStyle w:val="FirstParagraph"/>
      </w:pPr>
      <w:r>
        <w:rPr>
          <w:i/>
          <w:iCs/>
        </w:rPr>
        <w:t xml:space="preserve">What changes in practice · audio</w:t>
      </w:r>
    </w:p>
    <w:p>
      <w:pPr>
        <w:pStyle w:val="BodyText"/>
      </w:pPr>
      <w:r>
        <w:t xml:space="preserve">Pattern, trigger, patches and androgens decide the treatment. Pooled randomized trials support topical minoxidil in men and women and finasteride in men. In the US, as of September 2026, topical minoxidil is FDA-approved and sold over the counter, finasteride for pattern hair loss is a prescription drug, and baricitinib is approved for adults with severe alopecia areata.</w:t>
      </w:r>
    </w:p>
    <w:p>
      <w:pPr>
        <w:pStyle w:val="Compact"/>
        <w:numPr>
          <w:ilvl w:val="0"/>
          <w:numId w:val="1041"/>
        </w:numPr>
      </w:pPr>
      <w:r>
        <w:t xml:space="preserve">Workup first: ferritin and TSH in everyone</w:t>
      </w:r>
    </w:p>
    <w:p>
      <w:pPr>
        <w:pStyle w:val="Compact"/>
        <w:numPr>
          <w:ilvl w:val="0"/>
          <w:numId w:val="1041"/>
        </w:numPr>
      </w:pPr>
      <w:r>
        <w:t xml:space="preserve">Approved options exist, with A-grade evidence</w:t>
      </w:r>
    </w:p>
    <w:p>
      <w:pPr>
        <w:pStyle w:val="Compact"/>
        <w:numPr>
          <w:ilvl w:val="0"/>
          <w:numId w:val="1041"/>
        </w:numPr>
      </w:pPr>
      <w:r>
        <w:t xml:space="preserve">Severe or fast-spreading alopecia areata goes to dermatology</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Complete the workup and record the pattern before prescribing. Offer the approved options with their grades, refer severe or rapidly progressive alopecia areata, and document any investigational product the patient raises and what you advised.</w:t>
      </w:r>
      <w:r>
        <w:t xml:space="preserve"> </w:t>
      </w:r>
      <w:r>
        <w:t xml:space="preserve">-</w:t>
      </w:r>
      <w:r>
        <w:t xml:space="preserve"> </w:t>
      </w:r>
      <w:r>
        <w:rPr>
          <w:i/>
          <w:iCs/>
        </w:rPr>
        <w:t xml:space="preserve">Clinical staff:</w:t>
      </w:r>
      <w:r>
        <w:t xml:space="preserve"> </w:t>
      </w:r>
      <w:r>
        <w:t xml:space="preserve">Note the pattern, the timeline and any recent trigger, photograph the scalp with consent if your setting allows, and pass it to the prescriber. Patchy or fast-spreading loss needs prompt escalation.</w:t>
      </w:r>
      <w:r>
        <w:t xml:space="preserve"> </w:t>
      </w:r>
      <w:r>
        <w:t xml:space="preserve">-</w:t>
      </w:r>
      <w:r>
        <w:t xml:space="preserve"> </w:t>
      </w:r>
      <w:r>
        <w:rPr>
          <w:i/>
          <w:iCs/>
        </w:rPr>
        <w:t xml:space="preserve">Advisor:</w:t>
      </w:r>
      <w:r>
        <w:t xml:space="preserve"> </w:t>
      </w:r>
      <w:r>
        <w:t xml:space="preserve">Explain what the approved options are and what their evidence shows. A patient with new, patchy, scarring or fast-spreading hair loss needs a prescriber before any product.</w:t>
      </w:r>
    </w:p>
    <w:p>
      <w:pPr>
        <w:pStyle w:val="BodyText"/>
      </w:pPr>
      <w:r>
        <w:t xml:space="preserve">Narration script</w:t>
      </w:r>
    </w:p>
    <w:p>
      <w:pPr>
        <w:pStyle w:val="BodyText"/>
      </w:pPr>
      <w:r>
        <w:t xml:space="preserve">Most requests for a hair peptide skip the diagnosis. Start with the pattern, ask about a trigger, look for patches and nail pitting, and look for signs of androgen excess. Check ferritin and thyroid function every time, and send a scarring pattern for biopsy. The approved options already carry strong evidence. Pooled randomized trials support topical minoxidil in men and women and finasteride in men. In the United States minoxidil is sold over the counter, while finasteride for hair loss needs a prescription. Severe or fast-spreading alopecia areata belongs with a dermatologist, where a JAK inhibitor is an approved option for adults. Whatever your role, the workup comes before the product.</w:t>
      </w:r>
    </w:p>
    <w:p>
      <w:pPr>
        <w:pStyle w:val="BodyText"/>
      </w:pPr>
      <w:r>
        <w:t xml:space="preserve">Sources: Aesthetic &amp; Regenerative Endocrinology — A Clinician's Pocket Guide 2026 · Adil A 2017 · US Food and Drug Administration 1988 · US Food and Drug Administration 1997 · US Food and Drug Administration 2022</w:t>
      </w:r>
    </w:p>
    <w:bookmarkEnd w:id="115"/>
    <w:bookmarkStart w:id="116" w:name="shedding-after-the-baby."/>
    <w:p>
      <w:pPr>
        <w:pStyle w:val="Heading3"/>
      </w:pPr>
      <w:r>
        <w:t xml:space="preserve">06 / 19 · Shedding after the baby.</w:t>
      </w:r>
    </w:p>
    <w:p>
      <w:pPr>
        <w:pStyle w:val="FirstParagraph"/>
      </w:pPr>
      <w:r>
        <w:rPr>
          <w:i/>
          <w:iCs/>
        </w:rPr>
        <w:t xml:space="preserve">Your turn · quiz</w:t>
      </w:r>
    </w:p>
    <w:p>
      <w:pPr>
        <w:pStyle w:val="BodyText"/>
      </w:pPr>
      <w:r>
        <w:t xml:space="preserve">One question to close lesson 5.1.</w:t>
      </w:r>
    </w:p>
    <w:p>
      <w:pPr>
        <w:pStyle w:val="BodyText"/>
      </w:pPr>
      <w:r>
        <w:rPr>
          <w:b/>
          <w:bCs/>
        </w:rPr>
        <w:t xml:space="preserve">Q.</w:t>
      </w:r>
      <w:r>
        <w:t xml:space="preserve"> </w:t>
      </w:r>
      <w:r>
        <w:t xml:space="preserve">A 32-year-old woman asks for a compounded peptide scalp spray. Diffuse shedding began three months after she gave birth; there are no patches and no signs of androgen excess. What comes first?</w:t>
      </w:r>
      <w:r>
        <w:t xml:space="preserve"> </w:t>
      </w:r>
      <w:r>
        <w:t xml:space="preserve">- ✗ Start the spray now, since peptides act on the follicle directly. —</w:t>
      </w:r>
      <w:r>
        <w:t xml:space="preserve"> </w:t>
      </w:r>
      <w:r>
        <w:rPr>
          <w:i/>
          <w:iCs/>
        </w:rPr>
        <w:t xml:space="preserve">That skips the diagnosis. The pattern points to telogen effluvium, and peptide sprays such as PTD-DBM or zinc thymulin have no human trial behind them.</w:t>
      </w:r>
      <w:r>
        <w:t xml:space="preserve"> </w:t>
      </w:r>
      <w:r>
        <w:t xml:space="preserve">- ✔ Treat it as likely telogen effluvium: reassure, check ferritin and TSH, and reassess the pattern before any product. —</w:t>
      </w:r>
      <w:r>
        <w:t xml:space="preserve"> </w:t>
      </w:r>
      <w:r>
        <w:rPr>
          <w:i/>
          <w:iCs/>
        </w:rPr>
        <w:t xml:space="preserve">Correct. Diffuse shedding after a trigger is the guide's telogen-effluvium branch, and ferritin and TSH are checked in everyone.</w:t>
      </w:r>
      <w:r>
        <w:t xml:space="preserve"> </w:t>
      </w:r>
      <w:r>
        <w:t xml:space="preserve">- ✗ Refer her for a JAK inhibitor. —</w:t>
      </w:r>
      <w:r>
        <w:t xml:space="preserve"> </w:t>
      </w:r>
      <w:r>
        <w:rPr>
          <w:i/>
          <w:iCs/>
        </w:rPr>
        <w:t xml:space="preserve">JAK inhibitors are for severe alopecia areata, which shows as patchy, smooth loss. This pattern is different.</w:t>
      </w:r>
    </w:p>
    <w:bookmarkEnd w:id="116"/>
    <w:bookmarkEnd w:id="117"/>
    <w:bookmarkStart w:id="125" w:name="X980c6911b099ebdd6f107b9ed0c10010099b9df"/>
    <w:p>
      <w:pPr>
        <w:pStyle w:val="Heading2"/>
      </w:pPr>
      <w:r>
        <w:t xml:space="preserve">Lesson 5.2 · Melanocortins: approved afamelanotide and gray-market Melanotan II</w:t>
      </w:r>
    </w:p>
    <w:bookmarkStart w:id="118" w:name="five-receptors-one-family-of-hormones."/>
    <w:p>
      <w:pPr>
        <w:pStyle w:val="Heading3"/>
      </w:pPr>
      <w:r>
        <w:t xml:space="preserve">07 / 19 · Five receptors, one family of hormones.</w:t>
      </w:r>
    </w:p>
    <w:p>
      <w:pPr>
        <w:pStyle w:val="FirstParagraph"/>
      </w:pPr>
      <w:r>
        <w:rPr>
          <w:i/>
          <w:iCs/>
        </w:rPr>
        <w:t xml:space="preserve">Lesson 5.2 · Concept · audio</w:t>
      </w:r>
    </w:p>
    <w:p>
      <w:pPr>
        <w:pStyle w:val="BodyText"/>
      </w:pPr>
      <w:r>
        <w:t xml:space="preserve">Skin makes proopiomelanocortin (POMC) and cuts it into ACTH, α-MSH and β-endorphin, and the same cells carry the receptors that answer them. Those peptides act on five melanocortin receptors. MC1R drives pigment in skin and hair, MC2R answers ACTH in the adrenal gland, MC3R and MC4R act in the brain on appetite, and MC5R governs sebum. Which receptors a drug reaches decides what else it does.</w:t>
      </w:r>
    </w:p>
    <w:p>
      <w:pPr>
        <w:pStyle w:val="Compact"/>
        <w:numPr>
          <w:ilvl w:val="0"/>
          <w:numId w:val="1042"/>
        </w:numPr>
      </w:pPr>
      <w:r>
        <w:t xml:space="preserve">MC1R: pigment of skin and hair</w:t>
      </w:r>
    </w:p>
    <w:p>
      <w:pPr>
        <w:pStyle w:val="Compact"/>
        <w:numPr>
          <w:ilvl w:val="0"/>
          <w:numId w:val="1042"/>
        </w:numPr>
      </w:pPr>
      <w:r>
        <w:t xml:space="preserve">MC2R: adrenal · MC5R: sebum</w:t>
      </w:r>
    </w:p>
    <w:p>
      <w:pPr>
        <w:pStyle w:val="Compact"/>
        <w:numPr>
          <w:ilvl w:val="0"/>
          <w:numId w:val="1042"/>
        </w:numPr>
      </w:pPr>
      <w:r>
        <w:t xml:space="preserve">MC3R and MC4R: appetite, in the brain</w:t>
      </w:r>
    </w:p>
    <w:p>
      <w:pPr>
        <w:pStyle w:val="FirstParagraph"/>
      </w:pPr>
      <w:r>
        <w:t xml:space="preserve">Narration script</w:t>
      </w:r>
    </w:p>
    <w:p>
      <w:pPr>
        <w:pStyle w:val="BodyText"/>
      </w:pPr>
      <w:r>
        <w:t xml:space="preserve">Pigment starts with hormones the skin makes for itself. Skin cells produce a precursor called POMC and cut it into ACTH, alpha-MSH and beta-endorphin, and the same cells carry the receptors that answer them. There are five melanocortin receptors. MC1R sets the pigment of skin and hair. MC2R is the adrenal receptor for ACTH. MC3R and MC4R work in the brain on appetite, and central receptors also drive sexual responses. MC5R governs sebum. Researchers caution that the real map is messier, with receptors turning up in more tissues than the textbook suggests. For this lesson one idea matters most. A drug that stays on MC1R mostly changes pigment, and a drug that reaches the brain's receptors brings other effects with it.</w:t>
      </w:r>
    </w:p>
    <w:p>
      <w:pPr>
        <w:pStyle w:val="BodyText"/>
      </w:pPr>
      <w:r>
        <w:t xml:space="preserve">Sources: Slominski A 2000 · Laiho L 2022 · Böhm M 2025 · Aesthetic &amp; Regenerative Endocrinology — A Clinician's Pocket Guide 2026</w:t>
      </w:r>
    </w:p>
    <w:bookmarkEnd w:id="118"/>
    <w:bookmarkStart w:id="119" w:name="X7f4b58f5c153a36d9bede1f0a499a91c1b061ad"/>
    <w:p>
      <w:pPr>
        <w:pStyle w:val="Heading3"/>
      </w:pPr>
      <w:r>
        <w:t xml:space="preserve">08 / 19 · One receptor family, two very different molecules.</w:t>
      </w:r>
    </w:p>
    <w:p>
      <w:pPr>
        <w:pStyle w:val="FirstParagraph"/>
      </w:pPr>
      <w:r>
        <w:rPr>
          <w:i/>
          <w:iCs/>
        </w:rPr>
        <w:t xml:space="preserve">Four registers · tool</w:t>
      </w:r>
    </w:p>
    <w:p>
      <w:pPr>
        <w:pStyle w:val="BodyText"/>
      </w:pPr>
      <w:r>
        <w:t xml:space="preserve">Afamelanotide and Melanotan II are both synthetic relatives of α-MSH. Compare them register by register and the resemblance ends at the receptor.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Afamelanotide: MC1R agonist · Melanotan II: non-selective</w:t>
            </w:r>
          </w:p>
        </w:tc>
        <w:tc>
          <w:tcPr/>
          <w:p>
            <w:pPr>
              <w:pStyle w:val="Compact"/>
            </w:pPr>
            <w:r>
              <w:t xml:space="preserve">Melanotan II also acts on MC3R, MC4R and MC5R and reaches the brain</w:t>
            </w:r>
          </w:p>
        </w:tc>
      </w:tr>
      <w:tr>
        <w:tc>
          <w:tcPr/>
          <w:p>
            <w:pPr>
              <w:pStyle w:val="Compact"/>
            </w:pPr>
            <w:r>
              <w:t xml:space="preserve">Human evidence</w:t>
            </w:r>
          </w:p>
        </w:tc>
        <w:tc>
          <w:tcPr/>
          <w:p>
            <w:pPr>
              <w:pStyle w:val="Compact"/>
            </w:pPr>
            <w:r>
              <w:t xml:space="preserve">Afamelanotide: A, for EPP only · Melanotan II: D</w:t>
            </w:r>
          </w:p>
        </w:tc>
        <w:tc>
          <w:tcPr/>
          <w:p>
            <w:pPr>
              <w:pStyle w:val="Compact"/>
            </w:pPr>
            <w:r>
              <w:t xml:space="preserve">Two phase 3 trials in erythropoietic protoporphyria, against a three-volunteer pilot and a ten-man erectile-dysfunction study from the 1990s. The Peptide Pocket Guide rates Melanotan II C and the Aesthetic &amp; Regenerative Endocrinology guide D; with no trial of tanning, this course uses D.</w:t>
            </w:r>
          </w:p>
        </w:tc>
      </w:tr>
      <w:tr>
        <w:tc>
          <w:tcPr/>
          <w:p>
            <w:pPr>
              <w:pStyle w:val="Compact"/>
            </w:pPr>
            <w:r>
              <w:t xml:space="preserve">Regulatory status</w:t>
            </w:r>
          </w:p>
        </w:tc>
        <w:tc>
          <w:tcPr/>
          <w:p>
            <w:pPr>
              <w:pStyle w:val="Compact"/>
            </w:pPr>
            <w:r>
              <w:t xml:space="preserve">Afamelanotide: EU 2014, US 2019 · Melanotan II: none</w:t>
            </w:r>
          </w:p>
        </w:tc>
        <w:tc>
          <w:tcPr/>
          <w:p>
            <w:pPr>
              <w:pStyle w:val="Compact"/>
            </w:pPr>
            <w:r>
              <w:t xml:space="preserve">Afamelanotide is approved only for EPP, as the manufacturer's implant. Melanotan II is approved for no indication anywhere.</w:t>
            </w:r>
          </w:p>
        </w:tc>
      </w:tr>
      <w:tr>
        <w:tc>
          <w:tcPr/>
          <w:p>
            <w:pPr>
              <w:pStyle w:val="Compact"/>
            </w:pPr>
            <w:r>
              <w:t xml:space="preserve">Open question</w:t>
            </w:r>
          </w:p>
        </w:tc>
        <w:tc>
          <w:tcPr/>
          <w:p>
            <w:pPr>
              <w:pStyle w:val="Compact"/>
            </w:pPr>
            <w:r>
              <w:t xml:space="preserve">Uses beyond EPP; melanoma risk</w:t>
            </w:r>
          </w:p>
        </w:tc>
        <w:tc>
          <w:tcPr/>
          <w:p>
            <w:pPr>
              <w:pStyle w:val="Compact"/>
            </w:pPr>
            <w:r>
              <w:t xml:space="preserve">A phase 3 trial of afamelanotide in vitiligo began in 2023 and has posted no results. Whether Melanotan II causes melanoma is unproven.</w:t>
            </w:r>
          </w:p>
        </w:tc>
      </w:tr>
    </w:tbl>
    <w:p>
      <w:pPr>
        <w:pStyle w:val="BodyText"/>
      </w:pPr>
      <w:r>
        <w:rPr>
          <w:b/>
          <w:bCs/>
        </w:rPr>
        <w:t xml:space="preserve">Callout:</w:t>
      </w:r>
      <w:r>
        <w:t xml:space="preserve"> </w:t>
      </w:r>
      <w:r>
        <w:t xml:space="preserve">A shared receptor does not bring a shared approval.</w:t>
      </w:r>
    </w:p>
    <w:p>
      <w:pPr>
        <w:pStyle w:val="BodyText"/>
      </w:pPr>
      <w:r>
        <w:t xml:space="preserve">Sources: Langendonk JG 2015 · European Medicines Agency 2014 · US Food and Drug Administration / Clinuvel Inc. 2024 · Dorr RT 1996 · Wessells H 1998 · Böhm M 2025 · Clinuvel 2023 · The Peptide Pocket Guide — 2026 Edition · Clinical Reference (seventy-two entries) 2026 · Aesthetic &amp; Regenerative Endocrinology — A Clinician's Pocket Guide 2026</w:t>
      </w:r>
    </w:p>
    <w:bookmarkEnd w:id="119"/>
    <w:bookmarkStart w:id="120" w:name="sixty-nine-hours-against-forty-one."/>
    <w:p>
      <w:pPr>
        <w:pStyle w:val="Heading3"/>
      </w:pPr>
      <w:r>
        <w:t xml:space="preserve">09 / 19 · Sixty-nine hours against forty-one.</w:t>
      </w:r>
    </w:p>
    <w:p>
      <w:pPr>
        <w:pStyle w:val="FirstParagraph"/>
      </w:pPr>
      <w:r>
        <w:rPr>
          <w:i/>
          <w:iCs/>
        </w:rPr>
        <w:t xml:space="preserve">The evidence · stat</w:t>
      </w:r>
    </w:p>
    <w:p>
      <w:pPr>
        <w:pStyle w:val="BodyText"/>
      </w:pPr>
      <w:r>
        <w:t xml:space="preserve">Erythropoietic protoporphyria (EPP) is a rare disorder in which sunlight causes acute, severe pain. In the US phase 3 trial, adults on afamelanotide spent a median 69.4 hours in direct sunlight without pain over six months, against 40.8 hours on placebo. The European trial also showed more pain-free time and fewer phototoxic reactions. Both trials were funded by the manufacturer.</w:t>
      </w:r>
    </w:p>
    <w:p>
      <w:pPr>
        <w:pStyle w:val="BodyText"/>
      </w:pPr>
      <w:r>
        <w:rPr>
          <w:b/>
          <w:bCs/>
        </w:rPr>
        <w:t xml:space="preserve">69 vs 41 h</w:t>
      </w:r>
      <w:r>
        <w:t xml:space="preserve"> </w:t>
      </w:r>
      <w:r>
        <w:t xml:space="preserve">— median pain-free hours in direct sunlight over six months, afamelanotide vs placebo (US phase 3 trial, 94 adults with EPP) (Langendonk et al., NEJM 2015 · European trial, 74 adults: 6.0 vs 0.8 hours over nine months)</w:t>
      </w:r>
      <w:r>
        <w:br/>
      </w:r>
      <w:r>
        <w:rPr>
          <w:i/>
          <w:iCs/>
        </w:rPr>
        <w:t xml:space="preserve">Means:</w:t>
      </w:r>
      <w:r>
        <w:t xml:space="preserve"> </w:t>
      </w:r>
      <w:r>
        <w:t xml:space="preserve">Afamelanotide lets people with EPP spend more time in sunlight without pain. That is approval-grade evidence (A) for one rare disease.</w:t>
      </w:r>
      <w:r>
        <w:br/>
      </w:r>
      <w:r>
        <w:rPr>
          <w:i/>
          <w:iCs/>
        </w:rPr>
        <w:t xml:space="preserve">Does not mean:</w:t>
      </w:r>
      <w:r>
        <w:t xml:space="preserve"> </w:t>
      </w:r>
      <w:r>
        <w:t xml:space="preserve">It says nothing about cosmetic tanning, about Melanotan II, or about unsupervised injections. Even in EPP, the US label recommends a full-body skin examination twice a year.</w:t>
      </w:r>
    </w:p>
    <w:p>
      <w:pPr>
        <w:pStyle w:val="BodyText"/>
      </w:pPr>
      <w:r>
        <w:t xml:space="preserve">Sources: Langendonk JG 2015 · US Food and Drug Administration / Clinuvel Inc. 2024 · European Medicines Agency 2014 · The Peptide Pocket Guide — 2026 Edition · Clinical Reference (seventy-two entries) 2026</w:t>
      </w:r>
    </w:p>
    <w:bookmarkEnd w:id="120"/>
    <w:bookmarkStart w:id="121" w:name="what-the-case-reports-show."/>
    <w:p>
      <w:pPr>
        <w:pStyle w:val="Heading3"/>
      </w:pPr>
      <w:r>
        <w:t xml:space="preserve">10 / 19 · What the case reports show.</w:t>
      </w:r>
    </w:p>
    <w:p>
      <w:pPr>
        <w:pStyle w:val="FirstParagraph"/>
      </w:pPr>
      <w:r>
        <w:rPr>
          <w:i/>
          <w:iCs/>
        </w:rPr>
        <w:t xml:space="preserve">Safety signals · audio</w:t>
      </w:r>
    </w:p>
    <w:p>
      <w:pPr>
        <w:pStyle w:val="BodyText"/>
      </w:pPr>
      <w:r>
        <w:t xml:space="preserve">The harms of Melanotan II come from case reports and reviews, so they show what can happen without telling you how often. Reported skin effects include darkening and growth of existing moles, crops of new and sometimes atypical naevi, and dark bands in the nails. At least five melanomas have been reported during or after use, each in someone with other risk factors, so causation is unproven. Systemic reports include ischaemic priapism needing surgery and a stimulant-like toxic reaction with rhabdomyolysis, and FDA lists posterior reversible encephalopathy syndrome among published serious events.</w:t>
      </w:r>
    </w:p>
    <w:p>
      <w:pPr>
        <w:pStyle w:val="Compact"/>
        <w:numPr>
          <w:ilvl w:val="0"/>
          <w:numId w:val="1043"/>
        </w:numPr>
      </w:pPr>
      <w:r>
        <w:t xml:space="preserve">Skin: changing moles, eruptive naevi, melanonychia</w:t>
      </w:r>
    </w:p>
    <w:p>
      <w:pPr>
        <w:pStyle w:val="Compact"/>
        <w:numPr>
          <w:ilvl w:val="0"/>
          <w:numId w:val="1043"/>
        </w:numPr>
      </w:pPr>
      <w:r>
        <w:t xml:space="preserve">Melanoma: reported, causation unproven</w:t>
      </w:r>
    </w:p>
    <w:p>
      <w:pPr>
        <w:pStyle w:val="Compact"/>
        <w:numPr>
          <w:ilvl w:val="0"/>
          <w:numId w:val="1043"/>
        </w:numPr>
      </w:pPr>
      <w:r>
        <w:t xml:space="preserve">Systemic: priapism, rhabdomyolysis, encephalopathy</w:t>
      </w:r>
    </w:p>
    <w:p>
      <w:pPr>
        <w:pStyle w:val="FirstParagraph"/>
      </w:pPr>
      <w:r>
        <w:t xml:space="preserve">Narration script</w:t>
      </w:r>
    </w:p>
    <w:p>
      <w:pPr>
        <w:pStyle w:val="BodyText"/>
      </w:pPr>
      <w:r>
        <w:t xml:space="preserve">Now the harms, and the kind of evidence behind them. Everything here comes from case reports and reviews, which tell you what can happen and leave open how often it does. In the skin, existing moles darken and grow, new moles erupt in crops, some of them atypical under the microscope, and dark bands can appear in the nails. At least five melanomas have been reported during or after Melanotan use. Each patient had other risk factors, such as fair skin, sunbed use or a family history, so causation is unproven, and the concern rests on a drug that pushes melanocytes to multiply. Beyond the skin, reports describe priapism that needed surgery, a stimulant-like toxic reaction with muscle breakdown and kidney injury, and a brain swelling syndrome that FDA lists among the published serious events.</w:t>
      </w:r>
    </w:p>
    <w:p>
      <w:pPr>
        <w:pStyle w:val="BodyText"/>
      </w:pPr>
      <w:r>
        <w:t xml:space="preserve">Sources: Habbema L 2017 · Cardones AR 2009 · Paurobally D 2013 · Hjuler KF 2014 · Böhm M 2025 · Mallory CW 2021 · Nelson ME 2012 · US Food and Drug Administration 2026 · Aesthetic &amp; Regenerative Endocrinology — A Clinician's Pocket Guide 2026</w:t>
      </w:r>
    </w:p>
    <w:bookmarkEnd w:id="121"/>
    <w:bookmarkStart w:id="122" w:name="X8dd968f632ef6645983bc4ba07ec3fe01be2066"/>
    <w:p>
      <w:pPr>
        <w:pStyle w:val="Heading3"/>
      </w:pPr>
      <w:r>
        <w:t xml:space="preserve">11 / 19 · New moles after a summer of tanning shots.</w:t>
      </w:r>
    </w:p>
    <w:p>
      <w:pPr>
        <w:pStyle w:val="FirstParagraph"/>
      </w:pPr>
      <w:r>
        <w:rPr>
          <w:i/>
          <w:iCs/>
        </w:rPr>
        <w:t xml:space="preserve">Fictional case · audio</w:t>
      </w:r>
    </w:p>
    <w:p>
      <w:pPr>
        <w:pStyle w:val="BodyText"/>
      </w:pPr>
      <w:r>
        <w:t xml:space="preserve">A 27-year-old attends for a skin-quality consultation and mentions injecting a 'tanning peptide' bought online for three months. She has noticed darker moles, several new small ones and a dark stripe along one fingernail. Her mother had melanoma. This is a fictional case built from the lesson's evidence, and one move clearly comes before the others.</w:t>
      </w:r>
    </w:p>
    <w:p>
      <w:pPr>
        <w:pStyle w:val="Compact"/>
        <w:numPr>
          <w:ilvl w:val="0"/>
          <w:numId w:val="1044"/>
        </w:numPr>
      </w:pPr>
      <w:r>
        <w:t xml:space="preserve">Almost certainly Melanotan II: approved nowhere, unknown strength and purity</w:t>
      </w:r>
    </w:p>
    <w:p>
      <w:pPr>
        <w:pStyle w:val="Compact"/>
        <w:numPr>
          <w:ilvl w:val="0"/>
          <w:numId w:val="1044"/>
        </w:numPr>
      </w:pPr>
      <w:r>
        <w:t xml:space="preserve">New and changing naevi and nail pigmentation are the documented harms</w:t>
      </w:r>
    </w:p>
    <w:p>
      <w:pPr>
        <w:pStyle w:val="Compact"/>
        <w:numPr>
          <w:ilvl w:val="0"/>
          <w:numId w:val="1044"/>
        </w:numPr>
      </w:pPr>
      <w:r>
        <w:t xml:space="preserve">Family history of melanoma: the guide's absolute contraindication</w:t>
      </w:r>
    </w:p>
    <w:p>
      <w:pPr>
        <w:pStyle w:val="FirstParagraph"/>
      </w:pPr>
      <w:r>
        <w:rPr>
          <w:b/>
          <w:bCs/>
        </w:rPr>
        <w:t xml:space="preserve">Exercise (scenario) · What do you do first?</w:t>
      </w:r>
      <w:r>
        <w:t xml:space="preserve"> </w:t>
      </w:r>
      <w:r>
        <w:t xml:space="preserve">—</w:t>
      </w:r>
    </w:p>
    <w:p>
      <w:pPr>
        <w:pStyle w:val="BodyText"/>
      </w:pPr>
      <w:r>
        <w:t xml:space="preserve">A 27-year-old attends for a skin-quality consultation and mentions injecting a 'tanning peptide' bought online for three months. She has noticed darker moles, several new small ones and a dark stripe along one fingernail. Her mother had melanoma.</w:t>
      </w:r>
    </w:p>
    <w:p>
      <w:pPr>
        <w:pStyle w:val="Compact"/>
        <w:numPr>
          <w:ilvl w:val="0"/>
          <w:numId w:val="1045"/>
        </w:numPr>
      </w:pPr>
      <w:r>
        <w:t xml:space="preserve">✗ Reassure her: darker moles are expected with a tan. Review them at her next routine visit. —</w:t>
      </w:r>
      <w:r>
        <w:t xml:space="preserve"> </w:t>
      </w:r>
      <w:r>
        <w:rPr>
          <w:i/>
          <w:iCs/>
        </w:rPr>
        <w:t xml:space="preserve">New and changing naevi are the documented harm here, dermoscopic changes on Melanotan II can mimic melanoma, and her family history raises the stakes.</w:t>
      </w:r>
    </w:p>
    <w:p>
      <w:pPr>
        <w:pStyle w:val="Compact"/>
        <w:numPr>
          <w:ilvl w:val="0"/>
          <w:numId w:val="1045"/>
        </w:numPr>
      </w:pPr>
      <w:r>
        <w:t xml:space="preserve">✔ Advise stopping now, record the product and seller, and have the whole skin and nails examined promptly, with dermoscopy and baseline photographs, by a dermatologist or skin-cancer clinician. —</w:t>
      </w:r>
      <w:r>
        <w:t xml:space="preserve"> </w:t>
      </w:r>
      <w:r>
        <w:rPr>
          <w:i/>
          <w:iCs/>
        </w:rPr>
        <w:t xml:space="preserve">Right. Stop the exposure, document it, and have the changing naevi and the nail band assessed and followed. Even the approved MC1R agonist comes with twice-yearly skin examinations, and she has a family history of melanoma.</w:t>
      </w:r>
    </w:p>
    <w:p>
      <w:pPr>
        <w:pStyle w:val="Compact"/>
        <w:numPr>
          <w:ilvl w:val="0"/>
          <w:numId w:val="1045"/>
        </w:numPr>
      </w:pPr>
      <w:r>
        <w:t xml:space="preserve">✗ Offer afamelanotide instead, as the approved version of the same drug. —</w:t>
      </w:r>
      <w:r>
        <w:t xml:space="preserve"> </w:t>
      </w:r>
      <w:r>
        <w:rPr>
          <w:i/>
          <w:iCs/>
        </w:rPr>
        <w:t xml:space="preserve">Afamelanotide is a different molecule, approved only for erythropoietic protoporphyria as the manufacturer's implant. It is not a tanning product and not a substitute.</w:t>
      </w:r>
    </w:p>
    <w:p>
      <w:pPr>
        <w:pStyle w:val="FirstParagraph"/>
      </w:pPr>
      <w:r>
        <w:t xml:space="preserve">Follow-up: Then document what she used, what you advised and who will follow her skin, and ask whether she bought anything else from the same seller.</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Examine the skin and nails or refer promptly, document the product and your advice, and decide who will follow her naevi. Do not offer another melanocortin agonist as a substitute.</w:t>
      </w:r>
      <w:r>
        <w:t xml:space="preserve"> </w:t>
      </w:r>
      <w:r>
        <w:t xml:space="preserve">-</w:t>
      </w:r>
      <w:r>
        <w:t xml:space="preserve"> </w:t>
      </w:r>
      <w:r>
        <w:rPr>
          <w:i/>
          <w:iCs/>
        </w:rPr>
        <w:t xml:space="preserve">Clinical staff:</w:t>
      </w:r>
      <w:r>
        <w:t xml:space="preserve"> </w:t>
      </w:r>
      <w:r>
        <w:t xml:space="preserve">Record the product, the seller and how long she used it, photograph the lesions and the nail with consent if your setting allows, and escalate to the prescriber the same day.</w:t>
      </w:r>
      <w:r>
        <w:t xml:space="preserve"> </w:t>
      </w:r>
      <w:r>
        <w:t xml:space="preserve">-</w:t>
      </w:r>
      <w:r>
        <w:t xml:space="preserve"> </w:t>
      </w:r>
      <w:r>
        <w:rPr>
          <w:i/>
          <w:iCs/>
        </w:rPr>
        <w:t xml:space="preserve">Advisor:</w:t>
      </w:r>
      <w:r>
        <w:t xml:space="preserve"> </w:t>
      </w:r>
      <w:r>
        <w:t xml:space="preserve">Advise her to stop and to see a prescriber or dermatologist promptly. Do not suggest another product or seller.</w:t>
      </w:r>
    </w:p>
    <w:p>
      <w:pPr>
        <w:pStyle w:val="BodyText"/>
      </w:pPr>
      <w:r>
        <w:t xml:space="preserve">Narration script</w:t>
      </w:r>
    </w:p>
    <w:p>
      <w:pPr>
        <w:pStyle w:val="BodyText"/>
      </w:pPr>
      <w:r>
        <w:t xml:space="preserve">Her booking says skin quality. This patient is fictional, built from the lesson's evidence. She is twenty-seven, and she mentions that she has been injecting a tanning peptide bought online for three months. She has noticed darker moles, several new small ones, and a dark stripe along one fingernail. Her mother had melanoma. The product is almost certainly Melanotan II, approved nowhere and of unknown strength and purity. New and changing moles and nail pigmentation are exactly the harms described in the reports, and in one patient followed with dermoscopy the changes made moles hard to tell from melanoma. The endocrinology guide treats a family history of melanoma as an absolute contraindication. Pick the move that comes first.</w:t>
      </w:r>
    </w:p>
    <w:p>
      <w:pPr>
        <w:pStyle w:val="BodyText"/>
      </w:pPr>
      <w:r>
        <w:t xml:space="preserve">Sources: Aesthetic &amp; Regenerative Endocrinology — A Clinician's Pocket Guide 2026 · Cardones AR 2009 · Mang R 2012 · Paurobally D 2013 · US Food and Drug Administration / Clinuvel Inc. 2024 · Böhm M 2025 · Habbema L 2017 · Breindahl T 2015</w:t>
      </w:r>
    </w:p>
    <w:bookmarkEnd w:id="122"/>
    <w:bookmarkStart w:id="123" w:name="three-regulators-one-answer."/>
    <w:p>
      <w:pPr>
        <w:pStyle w:val="Heading3"/>
      </w:pPr>
      <w:r>
        <w:t xml:space="preserve">12 / 19 · Three regulators, one answer.</w:t>
      </w:r>
    </w:p>
    <w:p>
      <w:pPr>
        <w:pStyle w:val="FirstParagraph"/>
      </w:pPr>
      <w:r>
        <w:rPr>
          <w:i/>
          <w:iCs/>
        </w:rPr>
        <w:t xml:space="preserve">Regulatory status · tool</w:t>
      </w:r>
    </w:p>
    <w:p>
      <w:pPr>
        <w:pStyle w:val="BodyText"/>
      </w:pPr>
      <w:r>
        <w:t xml:space="preserve">Each statement below is dated, because regulatory status changes. None of the three regulators has approved Melanotan II, and each has put its concerns on the record. UK and EU mapping for the rest of this course is still in progress.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United States · FDA (page current as of 22 April 2026)</w:t>
            </w:r>
          </w:p>
        </w:tc>
        <w:tc>
          <w:tcPr/>
          <w:p>
            <w:pPr>
              <w:pStyle w:val="Compact"/>
            </w:pPr>
            <w:r>
              <w:t xml:space="preserve">Unapproved; nomination withdrawn</w:t>
            </w:r>
          </w:p>
        </w:tc>
        <w:tc>
          <w:tcPr/>
          <w:p>
            <w:pPr>
              <w:pStyle w:val="Compact"/>
            </w:pPr>
            <w:r>
              <w:t xml:space="preserve">FDA's compounding safety page lists Melanotan II among substances withdrawn from Category 2, citing impurity and immunogenicity risks and published reports of melanoma, encephalopathy, sympathomimetic toxicity and priapism</w:t>
            </w:r>
          </w:p>
        </w:tc>
      </w:tr>
      <w:tr>
        <w:tc>
          <w:tcPr/>
          <w:p>
            <w:pPr>
              <w:pStyle w:val="Compact"/>
            </w:pPr>
            <w:r>
              <w:t xml:space="preserve">United Kingdom · MHRA (17 April 2024)</w:t>
            </w:r>
          </w:p>
        </w:tc>
        <w:tc>
          <w:tcPr/>
          <w:p>
            <w:pPr>
              <w:pStyle w:val="Compact"/>
            </w:pPr>
            <w:r>
              <w:t xml:space="preserve">Unauthorised medicine</w:t>
            </w:r>
          </w:p>
        </w:tc>
        <w:tc>
          <w:tcPr/>
          <w:p>
            <w:pPr>
              <w:pStyle w:val="Compact"/>
            </w:pPr>
            <w:r>
              <w:t xml:space="preserve">Injectable products are classed as medicines; MHRA advises anyone using them to stop immediately and has removed melanotan products from sale for over ten years</w:t>
            </w:r>
          </w:p>
        </w:tc>
      </w:tr>
      <w:tr>
        <w:tc>
          <w:tcPr/>
          <w:p>
            <w:pPr>
              <w:pStyle w:val="Compact"/>
            </w:pPr>
            <w:r>
              <w:t xml:space="preserve">Australia · TGA (17 August 2026)</w:t>
            </w:r>
          </w:p>
        </w:tc>
        <w:tc>
          <w:tcPr/>
          <w:p>
            <w:pPr>
              <w:pStyle w:val="Compact"/>
            </w:pPr>
            <w:r>
              <w:t xml:space="preserve">Prescription-only; no approved product</w:t>
            </w:r>
          </w:p>
        </w:tc>
        <w:tc>
          <w:tcPr/>
          <w:p>
            <w:pPr>
              <w:pStyle w:val="Compact"/>
            </w:pPr>
            <w:r>
              <w:t xml:space="preserve">Not approved as a tanning agent and nothing on the national register; seized, identically labelled nasal sprays varied more than twofold in content</w:t>
            </w:r>
          </w:p>
        </w:tc>
      </w:tr>
    </w:tbl>
    <w:p>
      <w:pPr>
        <w:pStyle w:val="BodyText"/>
      </w:pPr>
      <w:r>
        <w:rPr>
          <w:b/>
          <w:bCs/>
        </w:rPr>
        <w:t xml:space="preserve">Callout:</w:t>
      </w:r>
      <w:r>
        <w:t xml:space="preserve"> </w:t>
      </w:r>
      <w:r>
        <w:t xml:space="preserve">Check the regulator in your own jurisdiction, and date what you say.</w:t>
      </w:r>
    </w:p>
    <w:p>
      <w:pPr>
        <w:pStyle w:val="BodyText"/>
      </w:pPr>
      <w:r>
        <w:t xml:space="preserve">Sources: US Food and Drug Administration 2026 · Medicines and Healthcare products Regulatory Agency (UK) 2024 · Therapeutic Goods Administration (Australia) 2026 · Böhm M 2025 · Aesthetic &amp; Regenerative Endocrinology — A Clinician's Pocket Guide 2026</w:t>
      </w:r>
    </w:p>
    <w:bookmarkEnd w:id="123"/>
    <w:bookmarkStart w:id="124" w:name="the-approved-one-is-the-same-thing."/>
    <w:p>
      <w:pPr>
        <w:pStyle w:val="Heading3"/>
      </w:pPr>
      <w:r>
        <w:t xml:space="preserve">13 / 19 · 'The approved one is the same thing.'</w:t>
      </w:r>
    </w:p>
    <w:p>
      <w:pPr>
        <w:pStyle w:val="FirstParagraph"/>
      </w:pPr>
      <w:r>
        <w:rPr>
          <w:i/>
          <w:iCs/>
        </w:rPr>
        <w:t xml:space="preserve">Your turn · quiz</w:t>
      </w:r>
    </w:p>
    <w:p>
      <w:pPr>
        <w:pStyle w:val="BodyText"/>
      </w:pPr>
      <w:r>
        <w:t xml:space="preserve">One question to close lesson 5.2.</w:t>
      </w:r>
    </w:p>
    <w:p>
      <w:pPr>
        <w:pStyle w:val="BodyText"/>
      </w:pPr>
      <w:r>
        <w:rPr>
          <w:b/>
          <w:bCs/>
        </w:rPr>
        <w:t xml:space="preserve">Q.</w:t>
      </w:r>
      <w:r>
        <w:t xml:space="preserve"> </w:t>
      </w:r>
      <w:r>
        <w:t xml:space="preserve">A patient says, 'Afamelanotide is approved, so Melanotan II is basically the same drug.' What is the accurate reply?</w:t>
      </w:r>
      <w:r>
        <w:t xml:space="preserve"> </w:t>
      </w:r>
      <w:r>
        <w:t xml:space="preserve">- ✗ Yes. They act on the same receptor, so the approval covers both. —</w:t>
      </w:r>
      <w:r>
        <w:t xml:space="preserve"> </w:t>
      </w:r>
      <w:r>
        <w:rPr>
          <w:i/>
          <w:iCs/>
        </w:rPr>
        <w:t xml:space="preserve">Sharing MC1R does not make them the same molecule, and an approval attaches to one product and one indication.</w:t>
      </w:r>
      <w:r>
        <w:t xml:space="preserve"> </w:t>
      </w:r>
      <w:r>
        <w:t xml:space="preserve">- ✔ They are different molecules. Afamelanotide is approved only for erythropoietic protoporphyria; Melanotan II acts on several receptors, is approved nowhere, and is linked in case reports to changing moles and priapism. —</w:t>
      </w:r>
      <w:r>
        <w:t xml:space="preserve"> </w:t>
      </w:r>
      <w:r>
        <w:rPr>
          <w:i/>
          <w:iCs/>
        </w:rPr>
        <w:t xml:space="preserve">Correct. Same family, different selectivity, different evidence and different legal standing.</w:t>
      </w:r>
      <w:r>
        <w:t xml:space="preserve"> </w:t>
      </w:r>
      <w:r>
        <w:t xml:space="preserve">- ✗ Melanotan II is safe if it comes from a reputable seller. —</w:t>
      </w:r>
      <w:r>
        <w:t xml:space="preserve"> </w:t>
      </w:r>
      <w:r>
        <w:rPr>
          <w:i/>
          <w:iCs/>
        </w:rPr>
        <w:t xml:space="preserve">No seller can make it approved, and tested online products held less than the labelled amount, with unknown impurities.</w:t>
      </w:r>
    </w:p>
    <w:p>
      <w:pPr>
        <w:pStyle w:val="BodyText"/>
      </w:pPr>
      <w:r>
        <w:t xml:space="preserve">Sources: Mallory CW 2021</w:t>
      </w:r>
    </w:p>
    <w:bookmarkEnd w:id="124"/>
    <w:bookmarkEnd w:id="125"/>
    <w:bookmarkStart w:id="132" w:name="X681b74ac43dedd1ff18457bafeb74bc6beb9996"/>
    <w:p>
      <w:pPr>
        <w:pStyle w:val="Heading2"/>
      </w:pPr>
      <w:r>
        <w:t xml:space="preserve">Lesson 5.3 · Investigational hair peptides and how to grade them</w:t>
      </w:r>
    </w:p>
    <w:bookmarkStart w:id="126" w:name="a-wnt-switch-and-a-zinc-question."/>
    <w:p>
      <w:pPr>
        <w:pStyle w:val="Heading3"/>
      </w:pPr>
      <w:r>
        <w:t xml:space="preserve">14 / 19 · A Wnt switch and a zinc question.</w:t>
      </w:r>
    </w:p>
    <w:p>
      <w:pPr>
        <w:pStyle w:val="FirstParagraph"/>
      </w:pPr>
      <w:r>
        <w:rPr>
          <w:i/>
          <w:iCs/>
        </w:rPr>
        <w:t xml:space="preserve">Lesson 5.3 · Concept · audio</w:t>
      </w:r>
    </w:p>
    <w:p>
      <w:pPr>
        <w:pStyle w:val="BodyText"/>
      </w:pPr>
      <w:r>
        <w:t xml:space="preserve">PTD-DBM joins a cell-penetrating peptide to a short decoy sequence that stops the protein CXXC5 from binding Dishevelled. Freed from that brake, Wnt/β-catenin signalling rises, and in mice hair regrew faster. Its developers also found CXXC5 raised in human balding scalp. Zinc thymulin is a thymic peptide that is active only when bound to zinc. How it might act on hair has never been defined, and whether any effect would come from the peptide or the zinc is unknown.</w:t>
      </w:r>
    </w:p>
    <w:p>
      <w:pPr>
        <w:pStyle w:val="Compact"/>
        <w:numPr>
          <w:ilvl w:val="0"/>
          <w:numId w:val="1046"/>
        </w:numPr>
      </w:pPr>
      <w:r>
        <w:t xml:space="preserve">PTD-DBM: releases a Wnt brake (mouse data)</w:t>
      </w:r>
    </w:p>
    <w:p>
      <w:pPr>
        <w:pStyle w:val="Compact"/>
        <w:numPr>
          <w:ilvl w:val="0"/>
          <w:numId w:val="1046"/>
        </w:numPr>
      </w:pPr>
      <w:r>
        <w:t xml:space="preserve">Zinc thymulin: a zinc-dependent thymic peptide</w:t>
      </w:r>
    </w:p>
    <w:p>
      <w:pPr>
        <w:pStyle w:val="Compact"/>
        <w:numPr>
          <w:ilvl w:val="0"/>
          <w:numId w:val="1046"/>
        </w:numPr>
      </w:pPr>
      <w:r>
        <w:t xml:space="preserve">Both: mechanism first, human data absent</w:t>
      </w:r>
    </w:p>
    <w:p>
      <w:pPr>
        <w:pStyle w:val="FirstParagraph"/>
      </w:pPr>
      <w:r>
        <w:t xml:space="preserve">Narration script</w:t>
      </w:r>
    </w:p>
    <w:p>
      <w:pPr>
        <w:pStyle w:val="BodyText"/>
      </w:pPr>
      <w:r>
        <w:t xml:space="preserve">Two peptides are sold for hair, and both arrive with better stories than data. PTD-DBM joins a cell-penetrating fragment borrowed from an HIV protein to a short decoy sequence. Inside follicle cells, the decoy keeps a protein called CXXC5 from binding its partner, Dishevelled, and that releases a brake on Wnt signalling, a pathway involved in hair regrowth. In mice, hair regrew faster and follicles formed in healed wounds. The work came from the developer's own group. Zinc thymulin is a thymic hormone that becomes active only when zinc binds to it. How it might help hair has never been defined, and nobody has shown whether any effect would come from the peptide or from the zinc. Hold both as mechanism, and look for the human trial.</w:t>
      </w:r>
    </w:p>
    <w:p>
      <w:pPr>
        <w:pStyle w:val="BodyText"/>
      </w:pPr>
      <w:r>
        <w:t xml:space="preserve">Sources: Lee SH 2017 · Dardenne M 1982 · Mehta A 2025 · The Peptide Pocket Guide — 2026 Edition · Clinical Reference (seventy-two entries) 2026</w:t>
      </w:r>
    </w:p>
    <w:bookmarkEnd w:id="126"/>
    <w:bookmarkStart w:id="127" w:name="zero-trials-in-people."/>
    <w:p>
      <w:pPr>
        <w:pStyle w:val="Heading3"/>
      </w:pPr>
      <w:r>
        <w:t xml:space="preserve">15 / 19 · Zero trials in people.</w:t>
      </w:r>
    </w:p>
    <w:p>
      <w:pPr>
        <w:pStyle w:val="FirstParagraph"/>
      </w:pPr>
      <w:r>
        <w:rPr>
          <w:i/>
          <w:iCs/>
        </w:rPr>
        <w:t xml:space="preserve">The evidence · stat</w:t>
      </w:r>
    </w:p>
    <w:p>
      <w:pPr>
        <w:pStyle w:val="BodyText"/>
      </w:pPr>
      <w:r>
        <w:t xml:space="preserve">As of September 2026, PubMed and ClinicalTrials.gov list no human trial of PTD-DBM, published or registered. Its evidence is one 2017 study in mice and human scalp tissue from the developer's group, whose senior author is affiliated with a biotech company. A 2025 review's summary speaks of 'clinical efficacy', yet the review's own text describes PTD-DBM results in mouse models only.</w:t>
      </w:r>
    </w:p>
    <w:p>
      <w:pPr>
        <w:pStyle w:val="BodyText"/>
      </w:pPr>
      <w:r>
        <w:rPr>
          <w:b/>
          <w:bCs/>
        </w:rPr>
        <w:t xml:space="preserve">0</w:t>
      </w:r>
      <w:r>
        <w:t xml:space="preserve"> </w:t>
      </w:r>
      <w:r>
        <w:t xml:space="preserve">— human trials of PTD-DBM, published or registered (September 2026) (Lee et al., J Invest Dermatol 2017: mice, plus CXXC5 measured in human scalp tissue)</w:t>
      </w:r>
      <w:r>
        <w:br/>
      </w:r>
      <w:r>
        <w:rPr>
          <w:i/>
          <w:iCs/>
        </w:rPr>
        <w:t xml:space="preserve">Means:</w:t>
      </w:r>
      <w:r>
        <w:t xml:space="preserve"> </w:t>
      </w:r>
      <w:r>
        <w:t xml:space="preserve">Whether PTD-DBM regrows human hair is unknown. The Peptide Pocket Guide and this course grade it D.</w:t>
      </w:r>
      <w:r>
        <w:br/>
      </w:r>
      <w:r>
        <w:rPr>
          <w:i/>
          <w:iCs/>
        </w:rPr>
        <w:t xml:space="preserve">Does not mean:</w:t>
      </w:r>
      <w:r>
        <w:t xml:space="preserve"> </w:t>
      </w:r>
      <w:r>
        <w:t xml:space="preserve">It does not show that PTD-DBM fails or harms. One open safety question sits alongside: the 2025 review flags that off-target Wnt activation is associated with colorectal and liver cancers, a theoretical concern nobody has tested for this peptide.</w:t>
      </w:r>
    </w:p>
    <w:p>
      <w:pPr>
        <w:pStyle w:val="BodyText"/>
      </w:pPr>
      <w:r>
        <w:t xml:space="preserve">Sources: Lee SH 2017 · Mehta A 2025 · The Peptide Pocket Guide — 2026 Edition · Clinical Reference (seventy-two entries) 2026</w:t>
      </w:r>
    </w:p>
    <w:bookmarkEnd w:id="127"/>
    <w:bookmarkStart w:id="128" w:name="approved-or-unproven"/>
    <w:p>
      <w:pPr>
        <w:pStyle w:val="Heading3"/>
      </w:pPr>
      <w:r>
        <w:t xml:space="preserve">16 / 19 · Approved, or unproven?</w:t>
      </w:r>
    </w:p>
    <w:p>
      <w:pPr>
        <w:pStyle w:val="FirstParagraph"/>
      </w:pPr>
      <w:r>
        <w:rPr>
          <w:i/>
          <w:iCs/>
        </w:rPr>
        <w:t xml:space="preserve">Sort the evidence · tool</w:t>
      </w:r>
    </w:p>
    <w:p>
      <w:pPr>
        <w:pStyle w:val="BodyText"/>
      </w:pPr>
      <w:r>
        <w:t xml:space="preserve">Five things patients use or ask about for hair, with what each is claimed to do. Decide what stands behind each one before you see a grade.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Topical minoxidil</w:t>
            </w:r>
          </w:p>
        </w:tc>
        <w:tc>
          <w:tcPr/>
          <w:p>
            <w:pPr>
              <w:pStyle w:val="Compact"/>
            </w:pPr>
            <w:r>
              <w:t xml:space="preserve">Regrowth in pattern hair loss</w:t>
            </w:r>
          </w:p>
        </w:tc>
        <w:tc>
          <w:tcPr/>
          <w:p>
            <w:pPr>
              <w:pStyle w:val="Compact"/>
            </w:pPr>
            <w:r>
              <w:t xml:space="preserve">Scalp solution or foam</w:t>
            </w:r>
          </w:p>
        </w:tc>
      </w:tr>
      <w:tr>
        <w:tc>
          <w:tcPr/>
          <w:p>
            <w:pPr>
              <w:pStyle w:val="Compact"/>
            </w:pPr>
            <w:r>
              <w:t xml:space="preserve">Oral finasteride</w:t>
            </w:r>
          </w:p>
        </w:tc>
        <w:tc>
          <w:tcPr/>
          <w:p>
            <w:pPr>
              <w:pStyle w:val="Compact"/>
            </w:pPr>
            <w:r>
              <w:t xml:space="preserve">Slows pattern hair loss in men</w:t>
            </w:r>
          </w:p>
        </w:tc>
        <w:tc>
          <w:tcPr/>
          <w:p>
            <w:pPr>
              <w:pStyle w:val="Compact"/>
            </w:pPr>
            <w:r>
              <w:t xml:space="preserve">5α-reductase inhibitor</w:t>
            </w:r>
          </w:p>
        </w:tc>
      </w:tr>
      <w:tr>
        <w:tc>
          <w:tcPr/>
          <w:p>
            <w:pPr>
              <w:pStyle w:val="Compact"/>
            </w:pPr>
            <w:r>
              <w:t xml:space="preserve">Baricitinib</w:t>
            </w:r>
          </w:p>
        </w:tc>
        <w:tc>
          <w:tcPr/>
          <w:p>
            <w:pPr>
              <w:pStyle w:val="Compact"/>
            </w:pPr>
            <w:r>
              <w:t xml:space="preserve">Regrowth in severe alopecia areata</w:t>
            </w:r>
          </w:p>
        </w:tc>
        <w:tc>
          <w:tcPr/>
          <w:p>
            <w:pPr>
              <w:pStyle w:val="Compact"/>
            </w:pPr>
            <w:r>
              <w:t xml:space="preserve">Oral JAK inhibitor</w:t>
            </w:r>
          </w:p>
        </w:tc>
      </w:tr>
      <w:tr>
        <w:tc>
          <w:tcPr/>
          <w:p>
            <w:pPr>
              <w:pStyle w:val="Compact"/>
            </w:pPr>
            <w:r>
              <w:t xml:space="preserve">PTD-DBM spray</w:t>
            </w:r>
          </w:p>
        </w:tc>
        <w:tc>
          <w:tcPr/>
          <w:p>
            <w:pPr>
              <w:pStyle w:val="Compact"/>
            </w:pPr>
            <w:r>
              <w:t xml:space="preserve">Regrowth in pattern hair loss</w:t>
            </w:r>
          </w:p>
        </w:tc>
        <w:tc>
          <w:tcPr/>
          <w:p>
            <w:pPr>
              <w:pStyle w:val="Compact"/>
            </w:pPr>
            <w:r>
              <w:t xml:space="preserve">Wnt activator, compounded or research-grade</w:t>
            </w:r>
          </w:p>
        </w:tc>
      </w:tr>
      <w:tr>
        <w:tc>
          <w:tcPr/>
          <w:p>
            <w:pPr>
              <w:pStyle w:val="Compact"/>
            </w:pPr>
            <w:r>
              <w:t xml:space="preserve">Zinc thymulin spray</w:t>
            </w:r>
          </w:p>
        </w:tc>
        <w:tc>
          <w:tcPr/>
          <w:p>
            <w:pPr>
              <w:pStyle w:val="Compact"/>
            </w:pPr>
            <w:r>
              <w:t xml:space="preserve">Thicker, fuller hair</w:t>
            </w:r>
          </w:p>
        </w:tc>
        <w:tc>
          <w:tcPr/>
          <w:p>
            <w:pPr>
              <w:pStyle w:val="Compact"/>
            </w:pPr>
            <w:r>
              <w:t xml:space="preserve">Zinc-bound thymic peptide, compounded</w:t>
            </w:r>
          </w:p>
        </w:tc>
      </w:tr>
    </w:tbl>
    <w:p>
      <w:pPr>
        <w:pStyle w:val="BodyText"/>
      </w:pPr>
      <w:r>
        <w:rPr>
          <w:b/>
          <w:bCs/>
        </w:rPr>
        <w:t xml:space="preserve">Callout:</w:t>
      </w:r>
      <w:r>
        <w:t xml:space="preserve"> </w:t>
      </w:r>
      <w:r>
        <w:t xml:space="preserve">A plausible pathway is a reason to run a trial. The trial is what you grade.</w:t>
      </w:r>
    </w:p>
    <w:p>
      <w:pPr>
        <w:pStyle w:val="BodyText"/>
      </w:pPr>
      <w:r>
        <w:rPr>
          <w:b/>
          <w:bCs/>
        </w:rPr>
        <w:t xml:space="preserve">Exercise (classify) · Trial or theory?</w:t>
      </w:r>
      <w:r>
        <w:t xml:space="preserve"> </w:t>
      </w:r>
      <w:r>
        <w:t xml:space="preserve">— Tap what stands behind each one.</w:t>
      </w:r>
      <w:r>
        <w:t xml:space="preserve"> </w:t>
      </w:r>
      <w:r>
        <w:t xml:space="preserve">- Topical minoxidil →</w:t>
      </w:r>
      <w:r>
        <w:t xml:space="preserve"> </w:t>
      </w:r>
      <w:r>
        <w:rPr>
          <w:b/>
          <w:bCs/>
        </w:rPr>
        <w:t xml:space="preserve">Approved, with randomized trials</w:t>
      </w:r>
      <w:r>
        <w:t xml:space="preserve"> </w:t>
      </w:r>
      <w:r>
        <w:t xml:space="preserve">—</w:t>
      </w:r>
      <w:r>
        <w:t xml:space="preserve"> </w:t>
      </w:r>
      <w:r>
        <w:rPr>
          <w:i/>
          <w:iCs/>
        </w:rPr>
        <w:t xml:space="preserve">GRADE A. Meta-analysed randomized trials show benefit in men and women; in the US it has been FDA-approved since 1988 and is sold over the counter.</w:t>
      </w:r>
      <w:r>
        <w:t xml:space="preserve"> </w:t>
      </w:r>
      <w:r>
        <w:t xml:space="preserve">- Oral finasteride →</w:t>
      </w:r>
      <w:r>
        <w:t xml:space="preserve"> </w:t>
      </w:r>
      <w:r>
        <w:rPr>
          <w:b/>
          <w:bCs/>
        </w:rPr>
        <w:t xml:space="preserve">Approved, with randomized trials</w:t>
      </w:r>
      <w:r>
        <w:t xml:space="preserve"> </w:t>
      </w:r>
      <w:r>
        <w:t xml:space="preserve">—</w:t>
      </w:r>
      <w:r>
        <w:t xml:space="preserve"> </w:t>
      </w:r>
      <w:r>
        <w:rPr>
          <w:i/>
          <w:iCs/>
        </w:rPr>
        <w:t xml:space="preserve">GRADE A in men. Meta-analysed randomized trials; in the US a prescription drug for hair loss since 1997.</w:t>
      </w:r>
      <w:r>
        <w:t xml:space="preserve"> </w:t>
      </w:r>
      <w:r>
        <w:t xml:space="preserve">- Baricitinib →</w:t>
      </w:r>
      <w:r>
        <w:t xml:space="preserve"> </w:t>
      </w:r>
      <w:r>
        <w:rPr>
          <w:b/>
          <w:bCs/>
        </w:rPr>
        <w:t xml:space="preserve">Approved, with randomized trials</w:t>
      </w:r>
      <w:r>
        <w:t xml:space="preserve"> </w:t>
      </w:r>
      <w:r>
        <w:t xml:space="preserve">—</w:t>
      </w:r>
      <w:r>
        <w:t xml:space="preserve"> </w:t>
      </w:r>
      <w:r>
        <w:rPr>
          <w:i/>
          <w:iCs/>
        </w:rPr>
        <w:t xml:space="preserve">GRADE A. Two phase 3 trials in 1,200 adults; FDA-approved for adults with severe alopecia areata in June 2022.</w:t>
      </w:r>
      <w:r>
        <w:t xml:space="preserve"> </w:t>
      </w:r>
      <w:r>
        <w:t xml:space="preserve">- PTD-DBM spray →</w:t>
      </w:r>
      <w:r>
        <w:t xml:space="preserve"> </w:t>
      </w:r>
      <w:r>
        <w:rPr>
          <w:b/>
          <w:bCs/>
        </w:rPr>
        <w:t xml:space="preserve">No human trial</w:t>
      </w:r>
      <w:r>
        <w:t xml:space="preserve"> </w:t>
      </w:r>
      <w:r>
        <w:t xml:space="preserve">—</w:t>
      </w:r>
      <w:r>
        <w:t xml:space="preserve"> </w:t>
      </w:r>
      <w:r>
        <w:rPr>
          <w:i/>
          <w:iCs/>
        </w:rPr>
        <w:t xml:space="preserve">GRADE D. One 2017 study in mice and scalp tissue from the developer's group; no human trial published or registered; on none of FDA's 503A lists.</w:t>
      </w:r>
      <w:r>
        <w:t xml:space="preserve"> </w:t>
      </w:r>
      <w:r>
        <w:t xml:space="preserve">- Zinc thymulin spray →</w:t>
      </w:r>
      <w:r>
        <w:t xml:space="preserve"> </w:t>
      </w:r>
      <w:r>
        <w:rPr>
          <w:b/>
          <w:bCs/>
        </w:rPr>
        <w:t xml:space="preserve">No human trial</w:t>
      </w:r>
      <w:r>
        <w:t xml:space="preserve"> </w:t>
      </w:r>
      <w:r>
        <w:t xml:space="preserve">—</w:t>
      </w:r>
      <w:r>
        <w:t xml:space="preserve"> </w:t>
      </w:r>
      <w:r>
        <w:rPr>
          <w:i/>
          <w:iCs/>
        </w:rPr>
        <w:t xml:space="preserve">GRADE D. No indexed human hair study; the guide's cited case series could not be found. In the US, thymulin acetate sits in 503A Category 3, nominated without adequate support.</w:t>
      </w:r>
    </w:p>
    <w:p>
      <w:pPr>
        <w:pStyle w:val="BodyText"/>
      </w:pPr>
      <w:r>
        <w:t xml:space="preserve">Sources: Adil A 2017 · King B 2022 · US Food and Drug Administration 1988 · US Food and Drug Administration 1997 · US Food and Drug Administration 2022 · Lee SH 2017 · Dardenne M 1982 · US Food and Drug Administration 2026 · The Peptide Pocket Guide — 2026 Edition · Clinical Reference (seventy-two entries) 2026</w:t>
      </w:r>
    </w:p>
    <w:bookmarkEnd w:id="128"/>
    <w:bookmarkStart w:id="129" w:name="X25ad964860569b320524680b0d7986cc6acbd22"/>
    <w:p>
      <w:pPr>
        <w:pStyle w:val="Heading3"/>
      </w:pPr>
      <w:r>
        <w:t xml:space="preserve">17 / 19 · When the request is a compounded hair spray.</w:t>
      </w:r>
    </w:p>
    <w:p>
      <w:pPr>
        <w:pStyle w:val="FirstParagraph"/>
      </w:pPr>
      <w:r>
        <w:rPr>
          <w:i/>
          <w:iCs/>
        </w:rPr>
        <w:t xml:space="preserve">What changes in practice · audio</w:t>
      </w:r>
    </w:p>
    <w:p>
      <w:pPr>
        <w:pStyle w:val="BodyText"/>
      </w:pPr>
      <w:r>
        <w:t xml:space="preserve">In the US, on FDA's category lists of 14 May 2026, thymulin acetate sits in Category 3: nominated without enough information to evaluate, and outside the enforcement discretion that Category 1 carries. PTD-DBM appears on none of the three lists, and neither substance is on the 503A bulks list. Both carry grade D evidence. The useful conversation names the grade, returns to the workup and describes the approved options.</w:t>
      </w:r>
    </w:p>
    <w:p>
      <w:pPr>
        <w:pStyle w:val="Compact"/>
        <w:numPr>
          <w:ilvl w:val="0"/>
          <w:numId w:val="1047"/>
        </w:numPr>
      </w:pPr>
      <w:r>
        <w:t xml:space="preserve">Thymulin acetate: 503A Category 3 (US, May 2026)</w:t>
      </w:r>
    </w:p>
    <w:p>
      <w:pPr>
        <w:pStyle w:val="Compact"/>
        <w:numPr>
          <w:ilvl w:val="0"/>
          <w:numId w:val="1047"/>
        </w:numPr>
      </w:pPr>
      <w:r>
        <w:t xml:space="preserve">PTD-DBM: on no FDA 503A list</w:t>
      </w:r>
    </w:p>
    <w:p>
      <w:pPr>
        <w:pStyle w:val="Compact"/>
        <w:numPr>
          <w:ilvl w:val="0"/>
          <w:numId w:val="1047"/>
        </w:numPr>
      </w:pPr>
      <w:r>
        <w:t xml:space="preserve">Grade D for both: say so, then return to the workup</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Check a substance's current 503A status before any compounding conversation; neither peptide has Category 1 standing today. If a patient already uses one, record the product, the source and the grade you quoted, and offer the workup and the approved options.</w:t>
      </w:r>
      <w:r>
        <w:t xml:space="preserve"> </w:t>
      </w:r>
      <w:r>
        <w:t xml:space="preserve">-</w:t>
      </w:r>
      <w:r>
        <w:t xml:space="preserve"> </w:t>
      </w:r>
      <w:r>
        <w:rPr>
          <w:i/>
          <w:iCs/>
        </w:rPr>
        <w:t xml:space="preserve">Clinical staff:</w:t>
      </w:r>
      <w:r>
        <w:t xml:space="preserve"> </w:t>
      </w:r>
      <w:r>
        <w:t xml:space="preserve">If a patient mentions a peptide hair spray, note the product, where it came from and any scalp irritation, and pass it to the prescriber. When asked whether it works, keep to what the evidence shows.</w:t>
      </w:r>
      <w:r>
        <w:t xml:space="preserve"> </w:t>
      </w:r>
      <w:r>
        <w:t xml:space="preserve">-</w:t>
      </w:r>
      <w:r>
        <w:t xml:space="preserve"> </w:t>
      </w:r>
      <w:r>
        <w:rPr>
          <w:i/>
          <w:iCs/>
        </w:rPr>
        <w:t xml:space="preserve">Advisor:</w:t>
      </w:r>
      <w:r>
        <w:t xml:space="preserve"> </w:t>
      </w:r>
      <w:r>
        <w:t xml:space="preserve">Describe PTD-DBM and zinc thymulin as research-stage, with no human trials. Point a patient with hair loss to a prescriber for the workup rather than to a product.</w:t>
      </w:r>
    </w:p>
    <w:p>
      <w:pPr>
        <w:pStyle w:val="BodyText"/>
      </w:pPr>
      <w:r>
        <w:t xml:space="preserve">Narration script</w:t>
      </w:r>
    </w:p>
    <w:p>
      <w:pPr>
        <w:pStyle w:val="BodyText"/>
      </w:pPr>
      <w:r>
        <w:t xml:space="preserve">Stated for the United States, the regulatory picture is short. On FDA's category lists of the fourteenth of May, twenty twenty-six, thymulin acetate sits in Category 3, meaning it was nominated without enough information for FDA to evaluate, and it falls outside the enforcement discretion that Category 1 substances receive. PTD-DBM appears on none of the three lists. Neither substance is on the 503A bulks list itself. The evidence grade for both is D. So when a patient asks for a compounded hair spray, give the grade plainly, go back to the diagnosis, and describe the approved options and what they can offer. Mapping of UK and EU status for these two peptides is still under way.</w:t>
      </w:r>
    </w:p>
    <w:p>
      <w:pPr>
        <w:pStyle w:val="BodyText"/>
      </w:pPr>
      <w:r>
        <w:t xml:space="preserve">Sources: US Food and Drug Administration 2026 · US Food and Drug Administration 2026 · US Code of Federal Regulations (eCFR) 2019 · The Peptide Pocket Guide — 2026 Edition · Clinical Reference (seventy-two entries) 2026 · Adil A 2017</w:t>
      </w:r>
    </w:p>
    <w:bookmarkEnd w:id="129"/>
    <w:bookmarkStart w:id="130" w:name="the-new-minoxidil"/>
    <w:p>
      <w:pPr>
        <w:pStyle w:val="Heading3"/>
      </w:pPr>
      <w:r>
        <w:t xml:space="preserve">18 / 19 · 'The new minoxidil'?</w:t>
      </w:r>
    </w:p>
    <w:p>
      <w:pPr>
        <w:pStyle w:val="FirstParagraph"/>
      </w:pPr>
      <w:r>
        <w:rPr>
          <w:i/>
          <w:iCs/>
        </w:rPr>
        <w:t xml:space="preserve">Your turn · quiz</w:t>
      </w:r>
    </w:p>
    <w:p>
      <w:pPr>
        <w:pStyle w:val="BodyText"/>
      </w:pPr>
      <w:r>
        <w:t xml:space="preserve">One question to close lesson 5.3.</w:t>
      </w:r>
    </w:p>
    <w:p>
      <w:pPr>
        <w:pStyle w:val="BodyText"/>
      </w:pPr>
      <w:r>
        <w:rPr>
          <w:b/>
          <w:bCs/>
        </w:rPr>
        <w:t xml:space="preserve">Q.</w:t>
      </w:r>
      <w:r>
        <w:t xml:space="preserve"> </w:t>
      </w:r>
      <w:r>
        <w:t xml:space="preserve">A patient with pattern thinning asks whether a compounded PTD-DBM spray is 'the new minoxidil'. What does the evidence support?</w:t>
      </w:r>
      <w:r>
        <w:t xml:space="preserve"> </w:t>
      </w:r>
      <w:r>
        <w:t xml:space="preserve">- ✗ Yes. It acts on the Wnt pathway, which drives hair growth. —</w:t>
      </w:r>
      <w:r>
        <w:t xml:space="preserve"> </w:t>
      </w:r>
      <w:r>
        <w:rPr>
          <w:i/>
          <w:iCs/>
        </w:rPr>
        <w:t xml:space="preserve">That is a mechanism argument. There is no human trial of PTD-DBM, so 'works like minoxidil' has nothing behind it.</w:t>
      </w:r>
      <w:r>
        <w:t xml:space="preserve"> </w:t>
      </w:r>
      <w:r>
        <w:t xml:space="preserve">- ✔ PTD-DBM has mouse data and no human trial (D); minoxidil has randomized-trial support and US approval (A). Start with the workup and the approved options. —</w:t>
      </w:r>
      <w:r>
        <w:t xml:space="preserve"> </w:t>
      </w:r>
      <w:r>
        <w:rPr>
          <w:i/>
          <w:iCs/>
        </w:rPr>
        <w:t xml:space="preserve">Correct. Name the grade of each, then go back to the diagnosis.</w:t>
      </w:r>
      <w:r>
        <w:t xml:space="preserve"> </w:t>
      </w:r>
      <w:r>
        <w:t xml:space="preserve">- ✗ It is safer than minoxidil because it is a peptide. —</w:t>
      </w:r>
      <w:r>
        <w:t xml:space="preserve"> </w:t>
      </w:r>
      <w:r>
        <w:rPr>
          <w:i/>
          <w:iCs/>
        </w:rPr>
        <w:t xml:space="preserve">Being a peptide says nothing about safety. Its effects in people, short or long term, are unknown.</w:t>
      </w:r>
    </w:p>
    <w:bookmarkEnd w:id="130"/>
    <w:bookmarkStart w:id="131" w:name="X68c0443655afec24b74ce7ff7120a2c9187bf4b"/>
    <w:p>
      <w:pPr>
        <w:pStyle w:val="Heading3"/>
      </w:pPr>
      <w:r>
        <w:t xml:space="preserve">19 / 19 · Before my next hair or tanning conversation.</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follicle and pigment checklist</w:t>
      </w:r>
      <w:r>
        <w:t xml:space="preserve"> </w:t>
      </w:r>
      <w:r>
        <w:t xml:space="preserve">— Tap everything you will do. Choose as many as you like.</w:t>
      </w:r>
      <w:r>
        <w:t xml:space="preserve"> </w:t>
      </w:r>
      <w:r>
        <w:rPr>
          <w:i/>
          <w:iCs/>
        </w:rPr>
        <w:t xml:space="preserve">Before my next hair or tanning conversation I will …</w:t>
      </w:r>
      <w:r>
        <w:t xml:space="preserve"> </w:t>
      </w:r>
      <w:r>
        <w:t xml:space="preserve">work up the hair loss before any product · name the evidence grade out loud · ask exactly what was injected or sprayed, and from where · examine or refer new or changing moles · ask about a personal or family history of melanoma · check the product's current status with my regulator</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documentation: the product the patient used, the grade you quoted, and your referral.</w:t>
      </w:r>
      <w:r>
        <w:t xml:space="preserve"> </w:t>
      </w:r>
      <w:r>
        <w:t xml:space="preserve">-</w:t>
      </w:r>
      <w:r>
        <w:t xml:space="preserve"> </w:t>
      </w:r>
      <w:r>
        <w:rPr>
          <w:i/>
          <w:iCs/>
        </w:rPr>
        <w:t xml:space="preserve">Clinical staff:</w:t>
      </w:r>
      <w:r>
        <w:t xml:space="preserve"> </w:t>
      </w:r>
      <w:r>
        <w:t xml:space="preserve">Your checklist ends with escalation: melanocortin use, new moles or patchy hair loss go to the prescriber the same day.</w:t>
      </w:r>
      <w:r>
        <w:t xml:space="preserve"> </w:t>
      </w:r>
      <w:r>
        <w:t xml:space="preserve">-</w:t>
      </w:r>
      <w:r>
        <w:t xml:space="preserve"> </w:t>
      </w:r>
      <w:r>
        <w:rPr>
          <w:i/>
          <w:iCs/>
        </w:rPr>
        <w:t xml:space="preserve">Advisor:</w:t>
      </w:r>
      <w:r>
        <w:t xml:space="preserve"> </w:t>
      </w:r>
      <w:r>
        <w:t xml:space="preserve">Your checklist ends with referral: product facts you can give; skin changes and a hair-loss diagnosis go to a prescriber.</w:t>
      </w:r>
    </w:p>
    <w:p>
      <w:pPr>
        <w:pStyle w:val="BodyText"/>
      </w:pPr>
      <w:r>
        <w:t xml:space="preserve">Sources: Aesthetic &amp; Regenerative Endocrinology — A Clinician's Pocket Guide 2026 · Böhm M 2025</w:t>
      </w:r>
    </w:p>
    <w:bookmarkEnd w:id="131"/>
    <w:bookmarkEnd w:id="132"/>
    <w:bookmarkStart w:id="133" w:name="module-check-4"/>
    <w:p>
      <w:pPr>
        <w:pStyle w:val="Heading2"/>
      </w:pPr>
      <w:r>
        <w:t xml:space="preserve">Module check</w:t>
      </w:r>
    </w:p>
    <w:p>
      <w:pPr>
        <w:pStyle w:val="FirstParagraph"/>
      </w:pPr>
      <w:r>
        <w:rPr>
          <w:b/>
          <w:bCs/>
        </w:rPr>
        <w:t xml:space="preserve">Q.</w:t>
      </w:r>
      <w:r>
        <w:t xml:space="preserve"> </w:t>
      </w:r>
      <w:r>
        <w:t xml:space="preserve">Closing Module 5: which statement keeps the four registers apart for Melanotan II?</w:t>
      </w:r>
      <w:r>
        <w:t xml:space="preserve"> </w:t>
      </w:r>
      <w:r>
        <w:t xml:space="preserve">- ✗ It shares afamelanotide's receptor, so it shares afamelanotide's approval. —</w:t>
      </w:r>
      <w:r>
        <w:t xml:space="preserve"> </w:t>
      </w:r>
      <w:r>
        <w:rPr>
          <w:i/>
          <w:iCs/>
        </w:rPr>
        <w:t xml:space="preserve">That blends mechanism into regulatory status. The approval belongs to afamelanotide, for EPP only.</w:t>
      </w:r>
      <w:r>
        <w:t xml:space="preserve"> </w:t>
      </w:r>
      <w:r>
        <w:t xml:space="preserve">- ✔ Mechanism: a non-selective melanocortin agonist. Evidence: two tiny 1990s studies and case reports of harm (D). Status: approved nowhere, with US, UK and Australian regulators on record against it. Open question: whether it causes melanoma. —</w:t>
      </w:r>
      <w:r>
        <w:t xml:space="preserve"> </w:t>
      </w:r>
      <w:r>
        <w:rPr>
          <w:i/>
          <w:iCs/>
        </w:rPr>
        <w:t xml:space="preserve">Correct. Four separate answers, each with its own source.</w:t>
      </w:r>
      <w:r>
        <w:t xml:space="preserve"> </w:t>
      </w:r>
      <w:r>
        <w:t xml:space="preserve">- ✗ Because melanoma causation is unproven, it is safe to use with monitoring. —</w:t>
      </w:r>
      <w:r>
        <w:t xml:space="preserve"> </w:t>
      </w:r>
      <w:r>
        <w:rPr>
          <w:i/>
          <w:iCs/>
        </w:rPr>
        <w:t xml:space="preserve">An unproven cause is an open question and offers no reassurance; the documented harms and the lack of approval still stand.</w:t>
      </w:r>
    </w:p>
    <w:p>
      <w:r>
        <w:pict>
          <v:rect style="width:0;height:1.5pt" o:hralign="center" o:hrstd="t" o:hr="t"/>
        </w:pict>
      </w:r>
    </w:p>
    <w:bookmarkEnd w:id="133"/>
    <w:bookmarkEnd w:id="134"/>
    <w:bookmarkStart w:id="158" w:name="X97e028be6ef20639e874c3be1ecc4cf8a7d439e"/>
    <w:p>
      <w:pPr>
        <w:pStyle w:val="Heading1"/>
      </w:pPr>
      <w:r>
        <w:t xml:space="preserve">Hormones and Peptides for Skin · Module 06 — review draft</w:t>
      </w:r>
    </w:p>
    <w:p>
      <w:pPr>
        <w:pStyle w:val="FirstParagraph"/>
      </w:pPr>
      <w:r>
        <w:rPr>
          <w:i/>
          <w:iCs/>
        </w:rPr>
        <w:t xml:space="preserve">approved · authored 2026-09-24 · 19 moments, ~26 min + module check · 38 sources · 19 claims</w:t>
      </w:r>
    </w:p>
    <w:p>
      <w:pPr>
        <w:pStyle w:val="BodyText"/>
      </w:pPr>
      <w:r>
        <w:t xml:space="preserve">Every factual sentence traces to the graded registry (</w:t>
      </w:r>
      <w:r>
        <w:rPr>
          <w:rStyle w:val="VerbatimChar"/>
        </w:rPr>
        <w:t xml:space="preserve">citations/m06.md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141" w:name="X1aefa51e1c03b8604534c3723470338a58ea8af"/>
    <w:p>
      <w:pPr>
        <w:pStyle w:val="Heading2"/>
      </w:pPr>
      <w:r>
        <w:t xml:space="preserve">Lesson 6.1 · Growth hormone and IGF-1 in skin homeostasis</w:t>
      </w:r>
    </w:p>
    <w:bookmarkStart w:id="135" w:name="X04e2f29e10eb0164a459637f7a82717bf5f9d29"/>
    <w:p>
      <w:pPr>
        <w:pStyle w:val="Heading3"/>
      </w:pPr>
      <w:r>
        <w:t xml:space="preserve">01 / 19 · Real endocrinology, borrowed for marketing.</w:t>
      </w:r>
    </w:p>
    <w:p>
      <w:pPr>
        <w:pStyle w:val="FirstParagraph"/>
      </w:pPr>
      <w:r>
        <w:rPr>
          <w:i/>
          <w:iCs/>
        </w:rPr>
        <w:t xml:space="preserve">Module 06 · The growth-hormone axis and the skin · title</w:t>
      </w:r>
    </w:p>
    <w:p>
      <w:pPr>
        <w:pStyle w:val="BodyText"/>
      </w:pPr>
      <w:r>
        <w:t xml:space="preserve">Growth hormone and IGF-1 genuinely shape skin, and one peptide on this axis has approval-grade trials. Most of what patients are offered has much less behind it. In three lessons you will separate the physiology from the promise, the approved from the anecdotal, and the side-effects you can see from the risks nobody has measured.</w:t>
      </w:r>
    </w:p>
    <w:p>
      <w:pPr>
        <w:pStyle w:val="Compact"/>
        <w:numPr>
          <w:ilvl w:val="0"/>
          <w:numId w:val="1048"/>
        </w:numPr>
      </w:pPr>
      <w:r>
        <w:t xml:space="preserve">6.1 Growth hormone and IGF-1 in the skin</w:t>
      </w:r>
    </w:p>
    <w:p>
      <w:pPr>
        <w:pStyle w:val="Compact"/>
        <w:numPr>
          <w:ilvl w:val="0"/>
          <w:numId w:val="1048"/>
        </w:numPr>
      </w:pPr>
      <w:r>
        <w:t xml:space="preserve">6.2 GHRH analogues and secretagogues: what stands behind each</w:t>
      </w:r>
    </w:p>
    <w:p>
      <w:pPr>
        <w:pStyle w:val="Compact"/>
        <w:numPr>
          <w:ilvl w:val="0"/>
          <w:numId w:val="1048"/>
        </w:numPr>
      </w:pPr>
      <w:r>
        <w:t xml:space="preserve">6.3 Signs of excess, oedema and mitogenic risk</w:t>
      </w:r>
    </w:p>
    <w:bookmarkEnd w:id="135"/>
    <w:bookmarkStart w:id="136" w:name="two-hormones-two-layers-of-skin."/>
    <w:p>
      <w:pPr>
        <w:pStyle w:val="Heading3"/>
      </w:pPr>
      <w:r>
        <w:t xml:space="preserve">02 / 19 · Two hormones, two layers of skin.</w:t>
      </w:r>
    </w:p>
    <w:p>
      <w:pPr>
        <w:pStyle w:val="FirstParagraph"/>
      </w:pPr>
      <w:r>
        <w:rPr>
          <w:i/>
          <w:iCs/>
        </w:rPr>
        <w:t xml:space="preserve">Lesson 6.1 · Mechanism · audio</w:t>
      </w:r>
    </w:p>
    <w:p>
      <w:pPr>
        <w:pStyle w:val="BodyText"/>
      </w:pPr>
      <w:r>
        <w:t xml:space="preserve">Growth hormone acts mostly in the dermis. Its receptor is expressed more by fibroblasts than by keratinocytes, and it increases fibroblast numbers and supports collagen synthesis. IGF-1, made locally by fibroblasts and melanocytes, reaches keratinocytes through the IGF-1 receptor and makes them divide. Human hair follicles even run their own small growth-hormone loop in the laboratory. With age, GH secretion and IGF-1 fall steadily; this is the somatopause.</w:t>
      </w:r>
    </w:p>
    <w:p>
      <w:pPr>
        <w:pStyle w:val="Compact"/>
        <w:numPr>
          <w:ilvl w:val="0"/>
          <w:numId w:val="1049"/>
        </w:numPr>
      </w:pPr>
      <w:r>
        <w:t xml:space="preserve">GH: dermal fibroblasts and collagen</w:t>
      </w:r>
    </w:p>
    <w:p>
      <w:pPr>
        <w:pStyle w:val="Compact"/>
        <w:numPr>
          <w:ilvl w:val="0"/>
          <w:numId w:val="1049"/>
        </w:numPr>
      </w:pPr>
      <w:r>
        <w:t xml:space="preserve">IGF-1: keratinocyte proliferation, supplied locally</w:t>
      </w:r>
    </w:p>
    <w:p>
      <w:pPr>
        <w:pStyle w:val="Compact"/>
        <w:numPr>
          <w:ilvl w:val="0"/>
          <w:numId w:val="1049"/>
        </w:numPr>
      </w:pPr>
      <w:r>
        <w:t xml:space="preserve">Somatopause: GH and IGF-1 fall with age</w:t>
      </w:r>
    </w:p>
    <w:p>
      <w:pPr>
        <w:pStyle w:val="FirstParagraph"/>
      </w:pPr>
      <w:r>
        <w:t xml:space="preserve">Narration script</w:t>
      </w:r>
    </w:p>
    <w:p>
      <w:pPr>
        <w:pStyle w:val="BodyText"/>
      </w:pPr>
      <w:r>
        <w:t xml:space="preserve">Two layers of skin listen to two different parts of the same axis. Growth hormone speaks mainly to the dermis. Its receptor is expressed more on fibroblasts than on keratinocytes, and in culture growth hormone increases fibroblast numbers and supports collagen synthesis, sometimes directly and sometimes through IGF-1. The epidermis listens to IGF-1. Keratinocytes carry the IGF-1 receptor, their neighbours in the dermis supply the hormone, and in culture IGF-1 makes keratinocytes divide where growth hormone on its own does nothing. Human hair follicles even keep a small growth-hormone loop running when they are cultured outside the body. With age, growth-hormone pulses and IGF-1 fall steadily, a change called the somatopause. Hold all of this as mechanism. It explains why the axis could matter for skin. Whether changing it helps a patient is a separate question, and the trials answer it.</w:t>
      </w:r>
    </w:p>
    <w:p>
      <w:pPr>
        <w:pStyle w:val="BodyText"/>
      </w:pPr>
      <w:r>
        <w:t xml:space="preserve">Sources: Tavakkol A 1992 · Edmondson SR 2003 · Horesh EJ 2023 · Veldhuis JD 2008 · Aesthetic &amp; Regenerative Endocrinology — A Clinician's Pocket Guide 2026</w:t>
      </w:r>
    </w:p>
    <w:bookmarkEnd w:id="136"/>
    <w:bookmarkStart w:id="137" w:name="a-much-cited-skin-result-read-again."/>
    <w:p>
      <w:pPr>
        <w:pStyle w:val="Heading3"/>
      </w:pPr>
      <w:r>
        <w:t xml:space="preserve">03 / 19 · A much-cited skin result, read again.</w:t>
      </w:r>
    </w:p>
    <w:p>
      <w:pPr>
        <w:pStyle w:val="FirstParagraph"/>
      </w:pPr>
      <w:r>
        <w:rPr>
          <w:i/>
          <w:iCs/>
        </w:rPr>
        <w:t xml:space="preserve">Human evidence · stat</w:t>
      </w:r>
    </w:p>
    <w:p>
      <w:pPr>
        <w:pStyle w:val="BodyText"/>
      </w:pPr>
      <w:r>
        <w:t xml:space="preserve">In 1990 a much-cited New England Journal of Medicine study gave growth hormone for six months to 12 healthy men over 60, with nine untreated men for comparison and no placebo. Lean mass rose and fat fell. Skin thickness rose 7.1%, with P = 0.07, short of statistical significance. A small 1996 randomized trial in 28 older men found 15% more collagen laid down in implanted wound tubes on GH, a laboratory surrogate for repair.</w:t>
      </w:r>
    </w:p>
    <w:p>
      <w:pPr>
        <w:pStyle w:val="BodyText"/>
      </w:pPr>
      <w:r>
        <w:rPr>
          <w:b/>
          <w:bCs/>
        </w:rPr>
        <w:t xml:space="preserve">7.1%</w:t>
      </w:r>
      <w:r>
        <w:t xml:space="preserve"> </w:t>
      </w:r>
      <w:r>
        <w:t xml:space="preserve">— rise in skin thickness in 12 older men given growth hormone for six months (1990) (P = 0.07 · nine untreated men as comparison · no placebo)</w:t>
      </w:r>
      <w:r>
        <w:br/>
      </w:r>
      <w:r>
        <w:rPr>
          <w:i/>
          <w:iCs/>
        </w:rPr>
        <w:t xml:space="preserve">Means:</w:t>
      </w:r>
      <w:r>
        <w:t xml:space="preserve"> </w:t>
      </w:r>
      <w:r>
        <w:t xml:space="preserve">A skin result still quoted for growth hormone comes from 12 treated men, without a placebo, and it missed statistical significance. Graded on its design, it is D.</w:t>
      </w:r>
      <w:r>
        <w:br/>
      </w:r>
      <w:r>
        <w:rPr>
          <w:i/>
          <w:iCs/>
        </w:rPr>
        <w:t xml:space="preserve">Does not mean:</w:t>
      </w:r>
      <w:r>
        <w:t xml:space="preserve"> </w:t>
      </w:r>
      <w:r>
        <w:t xml:space="preserve">It does not show that GH thins skin or that it fails in true deficiency, and it says nothing about secretagogues. It shows how thin the direct skin evidence for growth hormone in healthy ageing is.</w:t>
      </w:r>
    </w:p>
    <w:p>
      <w:pPr>
        <w:pStyle w:val="BodyText"/>
      </w:pPr>
      <w:r>
        <w:t xml:space="preserve">Sources: Rudman D 1990 · Papadakis MA 1996</w:t>
      </w:r>
    </w:p>
    <w:bookmarkEnd w:id="137"/>
    <w:bookmarkStart w:id="138" w:name="X3712699165567ea527d82d1e95b824c701a6d89"/>
    <w:p>
      <w:pPr>
        <w:pStyle w:val="Heading3"/>
      </w:pPr>
      <w:r>
        <w:t xml:space="preserve">04 / 19 · Mechanism, human evidence or open question?</w:t>
      </w:r>
    </w:p>
    <w:p>
      <w:pPr>
        <w:pStyle w:val="FirstParagraph"/>
      </w:pPr>
      <w:r>
        <w:rPr>
          <w:i/>
          <w:iCs/>
        </w:rPr>
        <w:t xml:space="preserve">Sort the evidence · tool</w:t>
      </w:r>
    </w:p>
    <w:p>
      <w:pPr>
        <w:pStyle w:val="BodyText"/>
      </w:pPr>
      <w:r>
        <w:t xml:space="preserve">Six things you will hear about growth hormone and skin, each accurate as worded. Before you see the answer, decide what kind of statement each one is.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Keratinocytes</w:t>
            </w:r>
          </w:p>
        </w:tc>
        <w:tc>
          <w:tcPr/>
          <w:p>
            <w:pPr>
              <w:pStyle w:val="Compact"/>
            </w:pPr>
            <w:r>
              <w:t xml:space="preserve">IGF-1 makes them divide in culture; GH alone does not</w:t>
            </w:r>
          </w:p>
        </w:tc>
        <w:tc>
          <w:tcPr/>
          <w:p>
            <w:pPr>
              <w:pStyle w:val="Compact"/>
            </w:pPr>
            <w:r>
              <w:t xml:space="preserve">1992</w:t>
            </w:r>
          </w:p>
        </w:tc>
      </w:tr>
      <w:tr>
        <w:tc>
          <w:tcPr/>
          <w:p>
            <w:pPr>
              <w:pStyle w:val="Compact"/>
            </w:pPr>
            <w:r>
              <w:t xml:space="preserve">GH deficiency</w:t>
            </w:r>
          </w:p>
        </w:tc>
        <w:tc>
          <w:tcPr/>
          <w:p>
            <w:pPr>
              <w:pStyle w:val="Compact"/>
            </w:pPr>
            <w:r>
              <w:t xml:space="preserve">Adults with untreated deficiency have a thinner epidermis on biopsy</w:t>
            </w:r>
          </w:p>
        </w:tc>
        <w:tc>
          <w:tcPr/>
          <w:p>
            <w:pPr>
              <w:pStyle w:val="Compact"/>
            </w:pPr>
            <w:r>
              <w:t xml:space="preserve">2001</w:t>
            </w:r>
          </w:p>
        </w:tc>
      </w:tr>
      <w:tr>
        <w:tc>
          <w:tcPr/>
          <w:p>
            <w:pPr>
              <w:pStyle w:val="Compact"/>
            </w:pPr>
            <w:r>
              <w:t xml:space="preserve">Major burns</w:t>
            </w:r>
          </w:p>
        </w:tc>
        <w:tc>
          <w:tcPr/>
          <w:p>
            <w:pPr>
              <w:pStyle w:val="Compact"/>
            </w:pPr>
            <w:r>
              <w:t xml:space="preserve">GH shortened donor-site healing by about three days in adults</w:t>
            </w:r>
          </w:p>
        </w:tc>
        <w:tc>
          <w:tcPr/>
          <w:p>
            <w:pPr>
              <w:pStyle w:val="Compact"/>
            </w:pPr>
            <w:r>
              <w:t xml:space="preserve">2014</w:t>
            </w:r>
          </w:p>
        </w:tc>
      </w:tr>
      <w:tr>
        <w:tc>
          <w:tcPr/>
          <w:p>
            <w:pPr>
              <w:pStyle w:val="Compact"/>
            </w:pPr>
            <w:r>
              <w:t xml:space="preserve">Hair follicle</w:t>
            </w:r>
          </w:p>
        </w:tc>
        <w:tc>
          <w:tcPr/>
          <w:p>
            <w:pPr>
              <w:pStyle w:val="Compact"/>
            </w:pPr>
            <w:r>
              <w:t xml:space="preserve">Follicles keep a GH–IGF-1 loop running outside the body</w:t>
            </w:r>
          </w:p>
        </w:tc>
        <w:tc>
          <w:tcPr/>
          <w:p>
            <w:pPr>
              <w:pStyle w:val="Compact"/>
            </w:pPr>
            <w:r>
              <w:t xml:space="preserve">2023</w:t>
            </w:r>
          </w:p>
        </w:tc>
      </w:tr>
      <w:tr>
        <w:tc>
          <w:tcPr/>
          <w:p>
            <w:pPr>
              <w:pStyle w:val="Compact"/>
            </w:pPr>
            <w:r>
              <w:t xml:space="preserve">Acromegaly</w:t>
            </w:r>
          </w:p>
        </w:tc>
        <w:tc>
          <w:tcPr/>
          <w:p>
            <w:pPr>
              <w:pStyle w:val="Compact"/>
            </w:pPr>
            <w:r>
              <w:t xml:space="preserve">Glycosaminoglycan deposits and oedema thicken and puff the skin</w:t>
            </w:r>
          </w:p>
        </w:tc>
        <w:tc>
          <w:tcPr/>
          <w:p>
            <w:pPr>
              <w:pStyle w:val="Compact"/>
            </w:pPr>
            <w:r>
              <w:t xml:space="preserve">2006</w:t>
            </w:r>
          </w:p>
        </w:tc>
      </w:tr>
      <w:tr>
        <w:tc>
          <w:tcPr/>
          <w:p>
            <w:pPr>
              <w:pStyle w:val="Compact"/>
            </w:pPr>
            <w:r>
              <w:t xml:space="preserve">Healthy adults</w:t>
            </w:r>
          </w:p>
        </w:tc>
        <w:tc>
          <w:tcPr/>
          <w:p>
            <w:pPr>
              <w:pStyle w:val="Compact"/>
            </w:pPr>
            <w:r>
              <w:t xml:space="preserve">Whether raising GH or IGF-1 makes facial skin look younger</w:t>
            </w:r>
          </w:p>
        </w:tc>
        <w:tc>
          <w:tcPr/>
          <w:p>
            <w:pPr>
              <w:pStyle w:val="Compact"/>
            </w:pPr>
            <w:r>
              <w:t xml:space="preserve">—</w:t>
            </w:r>
          </w:p>
        </w:tc>
      </w:tr>
    </w:tbl>
    <w:p>
      <w:pPr>
        <w:pStyle w:val="BodyText"/>
      </w:pPr>
      <w:r>
        <w:rPr>
          <w:b/>
          <w:bCs/>
        </w:rPr>
        <w:t xml:space="preserve">Callout:</w:t>
      </w:r>
      <w:r>
        <w:t xml:space="preserve"> </w:t>
      </w:r>
      <w:r>
        <w:t xml:space="preserve">Knowing what growth hormone does to skin in disease is different from knowing what it does to healthy skin.</w:t>
      </w:r>
    </w:p>
    <w:p>
      <w:pPr>
        <w:pStyle w:val="BodyText"/>
      </w:pPr>
      <w:r>
        <w:rPr>
          <w:b/>
          <w:bCs/>
        </w:rPr>
        <w:t xml:space="preserve">Exercise (classify) · Which register?</w:t>
      </w:r>
      <w:r>
        <w:t xml:space="preserve"> </w:t>
      </w:r>
      <w:r>
        <w:t xml:space="preserve">— Tap the kind of statement each one is.</w:t>
      </w:r>
      <w:r>
        <w:t xml:space="preserve"> </w:t>
      </w:r>
      <w:r>
        <w:t xml:space="preserve">- IGF-1 makes keratinocytes divide in culture; GH alone does not →</w:t>
      </w:r>
      <w:r>
        <w:t xml:space="preserve"> </w:t>
      </w:r>
      <w:r>
        <w:rPr>
          <w:b/>
          <w:bCs/>
        </w:rPr>
        <w:t xml:space="preserve">Mechanism</w:t>
      </w:r>
      <w:r>
        <w:t xml:space="preserve"> </w:t>
      </w:r>
      <w:r>
        <w:t xml:space="preserve">—</w:t>
      </w:r>
      <w:r>
        <w:t xml:space="preserve"> </w:t>
      </w:r>
      <w:r>
        <w:rPr>
          <w:i/>
          <w:iCs/>
        </w:rPr>
        <w:t xml:space="preserve">Mechanism (D). Cell-culture work from 1992 explains a pathway; it tells you nothing about a patient's skin.</w:t>
      </w:r>
      <w:r>
        <w:t xml:space="preserve"> </w:t>
      </w:r>
      <w:r>
        <w:t xml:space="preserve">- Adults with untreated GH deficiency have a thinner epidermis on biopsy →</w:t>
      </w:r>
      <w:r>
        <w:t xml:space="preserve"> </w:t>
      </w:r>
      <w:r>
        <w:rPr>
          <w:b/>
          <w:bCs/>
        </w:rPr>
        <w:t xml:space="preserve">Human evidence</w:t>
      </w:r>
      <w:r>
        <w:t xml:space="preserve"> </w:t>
      </w:r>
      <w:r>
        <w:t xml:space="preserve">—</w:t>
      </w:r>
      <w:r>
        <w:t xml:space="preserve"> </w:t>
      </w:r>
      <w:r>
        <w:rPr>
          <w:i/>
          <w:iCs/>
        </w:rPr>
        <w:t xml:space="preserve">Human evidence (C), small and observational: 45 people biopsied in 2001. Treatment of childhood-onset deficiency did not fully normalise the skin.</w:t>
      </w:r>
      <w:r>
        <w:t xml:space="preserve"> </w:t>
      </w:r>
      <w:r>
        <w:t xml:space="preserve">- GH shortened donor-site healing in adults with major burns →</w:t>
      </w:r>
      <w:r>
        <w:t xml:space="preserve"> </w:t>
      </w:r>
      <w:r>
        <w:rPr>
          <w:b/>
          <w:bCs/>
        </w:rPr>
        <w:t xml:space="preserve">Human evidence</w:t>
      </w:r>
      <w:r>
        <w:t xml:space="preserve"> </w:t>
      </w:r>
      <w:r>
        <w:t xml:space="preserve">—</w:t>
      </w:r>
      <w:r>
        <w:t xml:space="preserve"> </w:t>
      </w:r>
      <w:r>
        <w:rPr>
          <w:i/>
          <w:iCs/>
        </w:rPr>
        <w:t xml:space="preserve">Human evidence (C): 13 small randomized trials pooled by Cochrane in 2014, with more hyperglycaemia on GH and a risk of bias. Burns over 40% of the body, far from cosmetic use.</w:t>
      </w:r>
      <w:r>
        <w:t xml:space="preserve"> </w:t>
      </w:r>
      <w:r>
        <w:t xml:space="preserve">- Hair follicles keep a GH–IGF-1 loop running outside the body →</w:t>
      </w:r>
      <w:r>
        <w:t xml:space="preserve"> </w:t>
      </w:r>
      <w:r>
        <w:rPr>
          <w:b/>
          <w:bCs/>
        </w:rPr>
        <w:t xml:space="preserve">Mechanism</w:t>
      </w:r>
      <w:r>
        <w:t xml:space="preserve"> </w:t>
      </w:r>
      <w:r>
        <w:t xml:space="preserve">—</w:t>
      </w:r>
      <w:r>
        <w:t xml:space="preserve"> </w:t>
      </w:r>
      <w:r>
        <w:rPr>
          <w:i/>
          <w:iCs/>
        </w:rPr>
        <w:t xml:space="preserve">Mechanism (D). An ex vivo finding from 2023 about follicle biology.</w:t>
      </w:r>
      <w:r>
        <w:t xml:space="preserve"> </w:t>
      </w:r>
      <w:r>
        <w:t xml:space="preserve">- In acromegaly, glycosaminoglycan deposits and oedema thicken the skin →</w:t>
      </w:r>
      <w:r>
        <w:t xml:space="preserve"> </w:t>
      </w:r>
      <w:r>
        <w:rPr>
          <w:b/>
          <w:bCs/>
        </w:rPr>
        <w:t xml:space="preserve">Human evidence</w:t>
      </w:r>
      <w:r>
        <w:t xml:space="preserve"> </w:t>
      </w:r>
      <w:r>
        <w:t xml:space="preserve">—</w:t>
      </w:r>
      <w:r>
        <w:t xml:space="preserve"> </w:t>
      </w:r>
      <w:r>
        <w:rPr>
          <w:i/>
          <w:iCs/>
        </w:rPr>
        <w:t xml:space="preserve">Human evidence from disease. It shows what too much growth hormone does to skin, and says nothing about a cosmetic benefit.</w:t>
      </w:r>
      <w:r>
        <w:t xml:space="preserve"> </w:t>
      </w:r>
      <w:r>
        <w:t xml:space="preserve">- Whether raising GH or IGF-1 makes a healthy adult's facial skin look younger →</w:t>
      </w:r>
      <w:r>
        <w:t xml:space="preserve"> </w:t>
      </w:r>
      <w:r>
        <w:rPr>
          <w:b/>
          <w:bCs/>
        </w:rPr>
        <w:t xml:space="preserve">Open question</w:t>
      </w:r>
      <w:r>
        <w:t xml:space="preserve"> </w:t>
      </w:r>
      <w:r>
        <w:t xml:space="preserve">—</w:t>
      </w:r>
      <w:r>
        <w:t xml:space="preserve"> </w:t>
      </w:r>
      <w:r>
        <w:rPr>
          <w:i/>
          <w:iCs/>
        </w:rPr>
        <w:t xml:space="preserve">Open question. No randomized trial has measured it, and the 1990 skin result missed statistical significance.</w:t>
      </w:r>
    </w:p>
    <w:p>
      <w:pPr>
        <w:pStyle w:val="BodyText"/>
      </w:pPr>
      <w:r>
        <w:t xml:space="preserve">Sources: Tavakkol A 1992 · Lange M 2001 · Breederveld RS 2014 · Horesh EJ 2023 · Ben-Shlomo A 2006 · Rudman D 1990 · Edmondson SR 2003</w:t>
      </w:r>
    </w:p>
    <w:bookmarkEnd w:id="138"/>
    <w:bookmarkStart w:id="139" w:name="X486a3913ba3fc45409490ad485bd226715c7861"/>
    <w:p>
      <w:pPr>
        <w:pStyle w:val="Heading3"/>
      </w:pPr>
      <w:r>
        <w:t xml:space="preserve">05 / 19 · Deficiency is a diagnosis. Decline is ageing.</w:t>
      </w:r>
    </w:p>
    <w:p>
      <w:pPr>
        <w:pStyle w:val="FirstParagraph"/>
      </w:pPr>
      <w:r>
        <w:rPr>
          <w:i/>
          <w:iCs/>
        </w:rPr>
        <w:t xml:space="preserve">What changes in practice · audio</w:t>
      </w:r>
    </w:p>
    <w:p>
      <w:pPr>
        <w:pStyle w:val="BodyText"/>
      </w:pPr>
      <w:r>
        <w:t xml:space="preserve">In healthy older adults, randomized trials of growth hormone show small shifts in body composition, about 2 kg less fat and 2 kg more lean mass, with more oedema, joint pain, carpal tunnel syndrome and a trend towards diabetes. Strength and endurance change little. The Aesthetic &amp; Regenerative Endocrinology guide grades its advice against treatment A; graded on the trials themselves the evidence is B, and the conclusion is the same. In the US, as of September 2026, knowingly distributing growth hormone for anti-ageing is a federal offence.</w:t>
      </w:r>
    </w:p>
    <w:p>
      <w:pPr>
        <w:pStyle w:val="Compact"/>
        <w:numPr>
          <w:ilvl w:val="0"/>
          <w:numId w:val="1050"/>
        </w:numPr>
      </w:pPr>
      <w:r>
        <w:t xml:space="preserve">Healthy ageing: small body-composition change, more side-effects</w:t>
      </w:r>
    </w:p>
    <w:p>
      <w:pPr>
        <w:pStyle w:val="Compact"/>
        <w:numPr>
          <w:ilvl w:val="0"/>
          <w:numId w:val="1050"/>
        </w:numPr>
      </w:pPr>
      <w:r>
        <w:t xml:space="preserve">Grade B on the trials (guide: A), same conclusion</w:t>
      </w:r>
    </w:p>
    <w:p>
      <w:pPr>
        <w:pStyle w:val="Compact"/>
        <w:numPr>
          <w:ilvl w:val="0"/>
          <w:numId w:val="1050"/>
        </w:numPr>
      </w:pPr>
      <w:r>
        <w:t xml:space="preserve">US: distribution for anti-ageing is a federal offence</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Prescribe growth hormone only for a confirmed deficiency or another approved indication, usually with an endocrinologist. For a request framed as anti-ageing, document the conversation, the evidence you quoted and the legal position, and decline.</w:t>
      </w:r>
      <w:r>
        <w:t xml:space="preserve"> </w:t>
      </w:r>
      <w:r>
        <w:t xml:space="preserve">-</w:t>
      </w:r>
      <w:r>
        <w:t xml:space="preserve"> </w:t>
      </w:r>
      <w:r>
        <w:rPr>
          <w:i/>
          <w:iCs/>
        </w:rPr>
        <w:t xml:space="preserve">Clinical staff:</w:t>
      </w:r>
      <w:r>
        <w:t xml:space="preserve"> </w:t>
      </w:r>
      <w:r>
        <w:t xml:space="preserve">If a patient mentions growth hormone or 'HGH' for skin or energy, record what they use, where it comes from and any swelling, joint pain or tingling, and bring it to the prescriber.</w:t>
      </w:r>
      <w:r>
        <w:t xml:space="preserve"> </w:t>
      </w:r>
      <w:r>
        <w:t xml:space="preserve">-</w:t>
      </w:r>
      <w:r>
        <w:t xml:space="preserve"> </w:t>
      </w:r>
      <w:r>
        <w:rPr>
          <w:i/>
          <w:iCs/>
        </w:rPr>
        <w:t xml:space="preserve">Advisor:</w:t>
      </w:r>
      <w:r>
        <w:t xml:space="preserve"> </w:t>
      </w:r>
      <w:r>
        <w:t xml:space="preserve">You can explain that growth hormone falls normally with age and that trials in healthy adults show more side-effects than benefit. Anyone who wants to start it needs a prescriber's assessment rather than a product recommendation.</w:t>
      </w:r>
    </w:p>
    <w:p>
      <w:pPr>
        <w:pStyle w:val="BodyText"/>
      </w:pPr>
      <w:r>
        <w:t xml:space="preserve">Narration script</w:t>
      </w:r>
    </w:p>
    <w:p>
      <w:pPr>
        <w:pStyle w:val="BodyText"/>
      </w:pPr>
      <w:r>
        <w:t xml:space="preserve">Here the physiology meets the waiting room. A patient in their fifties has read that growth hormone falls with age and asks whether topping it up would help their skin. The trials in healthy older adults answer that. Pooled, they show about two kilograms less fat and two kilograms more lean mass, with more swelling, joint pain, carpal tunnel symptoms and a drift towards diabetes, while strength and stamina change little. Graded on those trials the evidence is B, consistent and independent though small, and the Aesthetic and Regenerative Endocrinology guide gives its advice against treatment an A. Both land in the same place. Growth hormone treats a diagnosed deficiency and a short list of approved conditions. In the United States, distributing it for anti-ageing is a federal offence. Whatever your role, name the decline for what it is, a normal part of ageing.</w:t>
      </w:r>
    </w:p>
    <w:p>
      <w:pPr>
        <w:pStyle w:val="BodyText"/>
      </w:pPr>
      <w:r>
        <w:t xml:space="preserve">Sources: Blackman MR 2002 · Pfizer (FDA-approved labeling) 2026 · Aesthetic &amp; Regenerative Endocrinology — A Clinician's Pocket Guide 2026 · Liu H 2007 · Office of the Law Revision Counsel 2026</w:t>
      </w:r>
    </w:p>
    <w:bookmarkEnd w:id="139"/>
    <w:bookmarkStart w:id="140" w:name="low-for-my-age."/>
    <w:p>
      <w:pPr>
        <w:pStyle w:val="Heading3"/>
      </w:pPr>
      <w:r>
        <w:t xml:space="preserve">06 / 19 · 'Low for my age.'</w:t>
      </w:r>
    </w:p>
    <w:p>
      <w:pPr>
        <w:pStyle w:val="FirstParagraph"/>
      </w:pPr>
      <w:r>
        <w:rPr>
          <w:i/>
          <w:iCs/>
        </w:rPr>
        <w:t xml:space="preserve">Your turn · quiz</w:t>
      </w:r>
    </w:p>
    <w:p>
      <w:pPr>
        <w:pStyle w:val="BodyText"/>
      </w:pPr>
      <w:r>
        <w:t xml:space="preserve">One question to close lesson 6.1.</w:t>
      </w:r>
    </w:p>
    <w:p>
      <w:pPr>
        <w:pStyle w:val="BodyText"/>
      </w:pPr>
      <w:r>
        <w:rPr>
          <w:b/>
          <w:bCs/>
        </w:rPr>
        <w:t xml:space="preserve">Q.</w:t>
      </w:r>
      <w:r>
        <w:t xml:space="preserve"> </w:t>
      </w:r>
      <w:r>
        <w:t xml:space="preserve">Fictional chart note: a healthy 58-year-old asks for growth hormone 'for her skin' after an online test reported her IGF-1 as 'below the range for a 30-year-old'. She has no pituitary history. What does the evidence support?</w:t>
      </w:r>
      <w:r>
        <w:t xml:space="preserve"> </w:t>
      </w:r>
      <w:r>
        <w:t xml:space="preserve">- ✗ Start growth hormone, because restoring a youthful IGF-1 thickens skin. —</w:t>
      </w:r>
      <w:r>
        <w:t xml:space="preserve"> </w:t>
      </w:r>
      <w:r>
        <w:rPr>
          <w:i/>
          <w:iCs/>
        </w:rPr>
        <w:t xml:space="preserve">The much-cited skin result for that idea missed statistical significance, and trials in healthy adults show more side-effects than benefit.</w:t>
      </w:r>
      <w:r>
        <w:t xml:space="preserve"> </w:t>
      </w:r>
      <w:r>
        <w:t xml:space="preserve">- ✔ Read her IGF-1 against an age-matched range; without a diagnosed deficiency, the trials show small gains and more side-effects, so growth hormone is not the answer. —</w:t>
      </w:r>
      <w:r>
        <w:t xml:space="preserve"> </w:t>
      </w:r>
      <w:r>
        <w:rPr>
          <w:i/>
          <w:iCs/>
        </w:rPr>
        <w:t xml:space="preserve">Correct. A low-for-young IGF-1 is often normal for age, and the healthy-ageing trials point against treatment.</w:t>
      </w:r>
      <w:r>
        <w:t xml:space="preserve"> </w:t>
      </w:r>
      <w:r>
        <w:t xml:space="preserve">- ✗ Offer a secretagogue instead, because it raises her own growth hormone more gently. —</w:t>
      </w:r>
      <w:r>
        <w:t xml:space="preserve"> </w:t>
      </w:r>
      <w:r>
        <w:rPr>
          <w:i/>
          <w:iCs/>
        </w:rPr>
        <w:t xml:space="preserve">That is a mechanism argument. No secretagogue has trial evidence of benefit for skin or healthy ageing, as lesson 6.2 shows.</w:t>
      </w:r>
    </w:p>
    <w:bookmarkEnd w:id="140"/>
    <w:bookmarkEnd w:id="141"/>
    <w:bookmarkStart w:id="149" w:name="Xc86538447d128292dfc312c7136a62fb0c82eb3"/>
    <w:p>
      <w:pPr>
        <w:pStyle w:val="Heading2"/>
      </w:pPr>
      <w:r>
        <w:t xml:space="preserve">Lesson 6.2 · GHRH analogues and secretagogues: clinical pharmacology</w:t>
      </w:r>
    </w:p>
    <w:bookmarkStart w:id="142" w:name="one-axis-four-ways-in."/>
    <w:p>
      <w:pPr>
        <w:pStyle w:val="Heading3"/>
      </w:pPr>
      <w:r>
        <w:t xml:space="preserve">07 / 19 · One axis, four ways in.</w:t>
      </w:r>
    </w:p>
    <w:p>
      <w:pPr>
        <w:pStyle w:val="FirstParagraph"/>
      </w:pPr>
      <w:r>
        <w:rPr>
          <w:i/>
          <w:iCs/>
        </w:rPr>
        <w:t xml:space="preserve">Lesson 6.2 · Concept · audio</w:t>
      </w:r>
    </w:p>
    <w:p>
      <w:pPr>
        <w:pStyle w:val="BodyText"/>
      </w:pPr>
      <w:r>
        <w:t xml:space="preserve">Somatropin is growth hormone itself. GHRH analogues (sermorelin, tesamorelin, CJC-1295) stimulate the pituitary's GHRH receptor. Ghrelin-receptor agonists (ipamorelin, GHRP-2, GHRP-6 and the oral ibutamoren, MK-677) stimulate GH release through a second pituitary receptor. IGF-1 analogues such as IGF-1 LR3 bypass the pituitary altogether. They are sold as one family, and the next moments take them apart.</w:t>
      </w:r>
    </w:p>
    <w:p>
      <w:pPr>
        <w:pStyle w:val="Compact"/>
        <w:numPr>
          <w:ilvl w:val="0"/>
          <w:numId w:val="1051"/>
        </w:numPr>
      </w:pPr>
      <w:r>
        <w:t xml:space="preserve">Replace: somatropin</w:t>
      </w:r>
    </w:p>
    <w:p>
      <w:pPr>
        <w:pStyle w:val="Compact"/>
        <w:numPr>
          <w:ilvl w:val="0"/>
          <w:numId w:val="1051"/>
        </w:numPr>
      </w:pPr>
      <w:r>
        <w:t xml:space="preserve">Stimulate: GHRH analogues and ghrelin-receptor agonists</w:t>
      </w:r>
    </w:p>
    <w:p>
      <w:pPr>
        <w:pStyle w:val="Compact"/>
        <w:numPr>
          <w:ilvl w:val="0"/>
          <w:numId w:val="1051"/>
        </w:numPr>
      </w:pPr>
      <w:r>
        <w:t xml:space="preserve">Bypass: IGF-1 analogues</w:t>
      </w:r>
    </w:p>
    <w:p>
      <w:pPr>
        <w:pStyle w:val="FirstParagraph"/>
      </w:pPr>
      <w:r>
        <w:t xml:space="preserve">Narration script</w:t>
      </w:r>
    </w:p>
    <w:p>
      <w:pPr>
        <w:pStyle w:val="BodyText"/>
      </w:pPr>
      <w:r>
        <w:t xml:space="preserve">Four routes lead into the same axis, and patients rarely know which one they are on. Somatropin is growth hormone itself, made by recombinant technology. GHRH analogues, sermorelin, tesamorelin and CJC-1295, press on the pituitary's releasing-hormone receptor, so the gland releases its own growth hormone in pulses. Ghrelin-receptor agonists, ipamorelin, GHRP-2, GHRP-6 and the oral compound ibutamoren, press on a second pituitary receptor. IGF-1 analogues such as IGF-1 LR3 skip the pituitary and act on the IGF-1 receptor directly. Every route ends at that same receptor, which is why lesson three treats their risks together. Clinics often sell all of these as one family with one promise. Keep them apart, because the trials, the approvals and the side-effects belong to each molecule separately.</w:t>
      </w:r>
    </w:p>
    <w:p>
      <w:pPr>
        <w:pStyle w:val="BodyText"/>
      </w:pPr>
      <w:r>
        <w:t xml:space="preserve">Sources: Dominikowski A 2026 · Teichman SL 2006 · Nass R 2008 · Pfizer (FDA-approved labeling) 2026 · Aesthetic &amp; Regenerative Endocrinology — A Clinician's Pocket Guide 2026 · The Peptide Pocket Guide — 2026 Edition · Clinical Reference (seventy-two entries) 2026</w:t>
      </w:r>
    </w:p>
    <w:bookmarkEnd w:id="142"/>
    <w:bookmarkStart w:id="143" w:name="what-real-peptide-evidence-looks-like."/>
    <w:p>
      <w:pPr>
        <w:pStyle w:val="Heading3"/>
      </w:pPr>
      <w:r>
        <w:t xml:space="preserve">08 / 19 · What real peptide evidence looks like.</w:t>
      </w:r>
    </w:p>
    <w:p>
      <w:pPr>
        <w:pStyle w:val="FirstParagraph"/>
      </w:pPr>
      <w:r>
        <w:rPr>
          <w:i/>
          <w:iCs/>
        </w:rPr>
        <w:t xml:space="preserve">Worked example · tool</w:t>
      </w:r>
    </w:p>
    <w:p>
      <w:pPr>
        <w:pStyle w:val="BodyText"/>
      </w:pPr>
      <w:r>
        <w:t xml:space="preserve">Tesamorelin is the instructive exception on this axis. Both Hormonaly guides grade it A, for one indication. Read the record in order.</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Trials</w:t>
            </w:r>
          </w:p>
        </w:tc>
        <w:tc>
          <w:tcPr/>
          <w:p>
            <w:pPr>
              <w:pStyle w:val="Compact"/>
            </w:pPr>
            <w:r>
              <w:t xml:space="preserve">Two phase 3 RCTs, 806 patients</w:t>
            </w:r>
          </w:p>
        </w:tc>
        <w:tc>
          <w:tcPr/>
          <w:p>
            <w:pPr>
              <w:pStyle w:val="Compact"/>
            </w:pPr>
            <w:r>
              <w:t xml:space="preserve">Randomized, double-blind, placebo-controlled and run by the developer, in adults with HIV and excess abdominal fat</w:t>
            </w:r>
          </w:p>
        </w:tc>
      </w:tr>
      <w:tr>
        <w:tc>
          <w:tcPr/>
          <w:p>
            <w:pPr>
              <w:pStyle w:val="Compact"/>
            </w:pPr>
            <w:r>
              <w:t xml:space="preserve">Result</w:t>
            </w:r>
          </w:p>
        </w:tc>
        <w:tc>
          <w:tcPr/>
          <w:p>
            <w:pPr>
              <w:pStyle w:val="Compact"/>
            </w:pPr>
            <w:r>
              <w:t xml:space="preserve">About 15% less visceral fat than placebo at 26 weeks</w:t>
            </w:r>
          </w:p>
        </w:tc>
        <w:tc>
          <w:tcPr/>
          <w:p>
            <w:pPr>
              <w:pStyle w:val="Compact"/>
            </w:pPr>
            <w:r>
              <w:t xml:space="preserve">Subcutaneous fat unchanged; the reduction held to 52 weeks on continued treatment</w:t>
            </w:r>
          </w:p>
        </w:tc>
      </w:tr>
      <w:tr>
        <w:tc>
          <w:tcPr/>
          <w:p>
            <w:pPr>
              <w:pStyle w:val="Compact"/>
            </w:pPr>
            <w:r>
              <w:t xml:space="preserve">US status (label, August 2026)</w:t>
            </w:r>
          </w:p>
        </w:tc>
        <w:tc>
          <w:tcPr/>
          <w:p>
            <w:pPr>
              <w:pStyle w:val="Compact"/>
            </w:pPr>
            <w:r>
              <w:t xml:space="preserve">FDA-approved since 2010, for one use</w:t>
            </w:r>
          </w:p>
        </w:tc>
        <w:tc>
          <w:tcPr/>
          <w:p>
            <w:pPr>
              <w:pStyle w:val="Compact"/>
            </w:pPr>
            <w:r>
              <w:t xml:space="preserve">Reduction of excess abdominal fat in adults with HIV-associated lipodystrophy. The label says it is not for weight loss and that long-term cardiovascular safety has not been established.</w:t>
            </w:r>
          </w:p>
        </w:tc>
      </w:tr>
      <w:tr>
        <w:tc>
          <w:tcPr/>
          <w:p>
            <w:pPr>
              <w:pStyle w:val="Compact"/>
            </w:pPr>
            <w:r>
              <w:t xml:space="preserve">Safety, in its own label</w:t>
            </w:r>
          </w:p>
        </w:tc>
        <w:tc>
          <w:tcPr/>
          <w:p>
            <w:pPr>
              <w:pStyle w:val="Compact"/>
            </w:pPr>
            <w:r>
              <w:t xml:space="preserve">IGF-1 above +2 SD in 47% at 26 weeks</w:t>
            </w:r>
          </w:p>
        </w:tc>
        <w:tc>
          <w:tcPr/>
          <w:p>
            <w:pPr>
              <w:pStyle w:val="Compact"/>
            </w:pPr>
            <w:r>
              <w:t xml:space="preserve">Diabetes-range HbA1c in 5% against 1% on placebo; fluid retention; contraindicated in active malignancy</w:t>
            </w:r>
          </w:p>
        </w:tc>
      </w:tr>
      <w:tr>
        <w:tc>
          <w:tcPr/>
          <w:p>
            <w:pPr>
              <w:pStyle w:val="Compact"/>
            </w:pPr>
            <w:r>
              <w:t xml:space="preserve">Grade</w:t>
            </w:r>
          </w:p>
        </w:tc>
        <w:tc>
          <w:tcPr/>
          <w:p>
            <w:pPr>
              <w:pStyle w:val="Compact"/>
            </w:pPr>
            <w:r>
              <w:t xml:space="preserve">A, for HIV-associated abdominal fat only</w:t>
            </w:r>
          </w:p>
        </w:tc>
        <w:tc>
          <w:tcPr/>
          <w:p>
            <w:pPr>
              <w:pStyle w:val="Compact"/>
            </w:pPr>
            <w:r>
              <w:t xml:space="preserve">No trial has tested skin, anti-ageing or general body shaping</w:t>
            </w:r>
          </w:p>
        </w:tc>
      </w:tr>
    </w:tbl>
    <w:p>
      <w:pPr>
        <w:pStyle w:val="BodyText"/>
      </w:pPr>
      <w:r>
        <w:rPr>
          <w:b/>
          <w:bCs/>
        </w:rPr>
        <w:t xml:space="preserve">Callout:</w:t>
      </w:r>
      <w:r>
        <w:t xml:space="preserve"> </w:t>
      </w:r>
      <w:r>
        <w:t xml:space="preserve">A GRADE A travels with its indication. The molecule does not carry it anywhere else.</w:t>
      </w:r>
    </w:p>
    <w:p>
      <w:pPr>
        <w:pStyle w:val="BodyText"/>
      </w:pPr>
      <w:r>
        <w:t xml:space="preserve">Sources: Falutz J 2007 · Falutz J 2010 · Theratechnologies Inc. (FDA-approved labeling) 2026 · Aesthetic &amp; Regenerative Endocrinology — A Clinician's Pocket Guide 2026 · The Peptide Pocket Guide — 2026 Edition · Clinical Reference (seventy-two entries) 2026</w:t>
      </w:r>
    </w:p>
    <w:bookmarkEnd w:id="143"/>
    <w:bookmarkStart w:id="144" w:name="zero-skin-trials."/>
    <w:p>
      <w:pPr>
        <w:pStyle w:val="Heading3"/>
      </w:pPr>
      <w:r>
        <w:t xml:space="preserve">09 / 19 · Zero skin trials.</w:t>
      </w:r>
    </w:p>
    <w:p>
      <w:pPr>
        <w:pStyle w:val="FirstParagraph"/>
      </w:pPr>
      <w:r>
        <w:rPr>
          <w:i/>
          <w:iCs/>
        </w:rPr>
        <w:t xml:space="preserve">The evidence · stat</w:t>
      </w:r>
    </w:p>
    <w:p>
      <w:pPr>
        <w:pStyle w:val="BodyText"/>
      </w:pPr>
      <w:r>
        <w:t xml:space="preserve">A PubMed search in September 2026 found no randomized trial with a skin outcome for tesamorelin, CJC-1295, ipamorelin or IGF-1 LR3. The nearest is a 1997 study of a GHRH(1-29) analogue related to sermorelin, in 19 older adults. Skin thickness measured by caliper rose after 16 weeks, compared with a placebo lead-in rather than a parallel control group.</w:t>
      </w:r>
    </w:p>
    <w:p>
      <w:pPr>
        <w:pStyle w:val="BodyText"/>
      </w:pPr>
      <w:r>
        <w:rPr>
          <w:b/>
          <w:bCs/>
        </w:rPr>
        <w:t xml:space="preserve">0</w:t>
      </w:r>
      <w:r>
        <w:t xml:space="preserve"> </w:t>
      </w:r>
      <w:r>
        <w:t xml:space="preserve">— randomized trials with a skin outcome for tesamorelin, CJC-1295, ipamorelin or IGF-1 LR3 (PubMed, September 2026) (Closest: a 1997 single-blind study of a GHRH(1-29) analogue, 19 older adults, skin thickness by caliper)</w:t>
      </w:r>
      <w:r>
        <w:br/>
      </w:r>
      <w:r>
        <w:rPr>
          <w:i/>
          <w:iCs/>
        </w:rPr>
        <w:t xml:space="preserve">Means:</w:t>
      </w:r>
      <w:r>
        <w:t xml:space="preserve"> </w:t>
      </w:r>
      <w:r>
        <w:t xml:space="preserve">Every skin promise made for these peptides rests on mechanism and anecdote. The nearest data are one small study without a parallel control group (D).</w:t>
      </w:r>
      <w:r>
        <w:br/>
      </w:r>
      <w:r>
        <w:rPr>
          <w:i/>
          <w:iCs/>
        </w:rPr>
        <w:t xml:space="preserve">Does not mean:</w:t>
      </w:r>
      <w:r>
        <w:t xml:space="preserve"> </w:t>
      </w:r>
      <w:r>
        <w:t xml:space="preserve">It does not show these peptides harm skin or do nothing for it. It shows the question has never been properly tested, and a clinic brochure cannot fill that gap.</w:t>
      </w:r>
    </w:p>
    <w:p>
      <w:pPr>
        <w:pStyle w:val="BodyText"/>
      </w:pPr>
      <w:r>
        <w:t xml:space="preserve">Sources: Khorram O 1997 · Dominikowski A 2026 · The Peptide Pocket Guide — 2026 Edition · Clinical Reference (seventy-two entries) 2026</w:t>
      </w:r>
    </w:p>
    <w:bookmarkEnd w:id="144"/>
    <w:bookmarkStart w:id="145" w:name="approval-grade-hormone-levels-or-nothing"/>
    <w:p>
      <w:pPr>
        <w:pStyle w:val="Heading3"/>
      </w:pPr>
      <w:r>
        <w:t xml:space="preserve">10 / 19 · Approval-grade, hormone levels, or nothing?</w:t>
      </w:r>
    </w:p>
    <w:p>
      <w:pPr>
        <w:pStyle w:val="FirstParagraph"/>
      </w:pPr>
      <w:r>
        <w:rPr>
          <w:i/>
          <w:iCs/>
        </w:rPr>
        <w:t xml:space="preserve">Sort the evidence · tool</w:t>
      </w:r>
    </w:p>
    <w:p>
      <w:pPr>
        <w:pStyle w:val="BodyText"/>
      </w:pPr>
      <w:r>
        <w:t xml:space="preserve">Seven products on this axis and the use each one is offered for. Decide what actually stands behind each before you see its grade.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Tesamorelin</w:t>
            </w:r>
          </w:p>
        </w:tc>
        <w:tc>
          <w:tcPr/>
          <w:p>
            <w:pPr>
              <w:pStyle w:val="Compact"/>
            </w:pPr>
            <w:r>
              <w:t xml:space="preserve">Less visceral fat in HIV-associated lipodystrophy</w:t>
            </w:r>
          </w:p>
        </w:tc>
        <w:tc>
          <w:tcPr/>
          <w:p>
            <w:pPr>
              <w:pStyle w:val="Compact"/>
            </w:pPr>
            <w:r>
              <w:t xml:space="preserve">GHRH analogue</w:t>
            </w:r>
          </w:p>
        </w:tc>
      </w:tr>
      <w:tr>
        <w:tc>
          <w:tcPr/>
          <w:p>
            <w:pPr>
              <w:pStyle w:val="Compact"/>
            </w:pPr>
            <w:r>
              <w:t xml:space="preserve">Somatropin</w:t>
            </w:r>
          </w:p>
        </w:tc>
        <w:tc>
          <w:tcPr/>
          <w:p>
            <w:pPr>
              <w:pStyle w:val="Compact"/>
            </w:pPr>
            <w:r>
              <w:t xml:space="preserve">Treats adult growth-hormone deficiency</w:t>
            </w:r>
          </w:p>
        </w:tc>
        <w:tc>
          <w:tcPr/>
          <w:p>
            <w:pPr>
              <w:pStyle w:val="Compact"/>
            </w:pPr>
            <w:r>
              <w:t xml:space="preserve">Recombinant GH</w:t>
            </w:r>
          </w:p>
        </w:tc>
      </w:tr>
      <w:tr>
        <w:tc>
          <w:tcPr/>
          <w:p>
            <w:pPr>
              <w:pStyle w:val="Compact"/>
            </w:pPr>
            <w:r>
              <w:t xml:space="preserve">Sermorelin</w:t>
            </w:r>
          </w:p>
        </w:tc>
        <w:tc>
          <w:tcPr/>
          <w:p>
            <w:pPr>
              <w:pStyle w:val="Compact"/>
            </w:pPr>
            <w:r>
              <w:t xml:space="preserve">Youthful GH levels in healthy adults</w:t>
            </w:r>
          </w:p>
        </w:tc>
        <w:tc>
          <w:tcPr/>
          <w:p>
            <w:pPr>
              <w:pStyle w:val="Compact"/>
            </w:pPr>
            <w:r>
              <w:t xml:space="preserve">GHRH(1-29)</w:t>
            </w:r>
          </w:p>
        </w:tc>
      </w:tr>
      <w:tr>
        <w:tc>
          <w:tcPr/>
          <w:p>
            <w:pPr>
              <w:pStyle w:val="Compact"/>
            </w:pPr>
            <w:r>
              <w:t xml:space="preserve">CJC-1295 with DAC</w:t>
            </w:r>
          </w:p>
        </w:tc>
        <w:tc>
          <w:tcPr/>
          <w:p>
            <w:pPr>
              <w:pStyle w:val="Compact"/>
            </w:pPr>
            <w:r>
              <w:t xml:space="preserve">A weeks-long GH boost for skin and recovery</w:t>
            </w:r>
          </w:p>
        </w:tc>
        <w:tc>
          <w:tcPr/>
          <w:p>
            <w:pPr>
              <w:pStyle w:val="Compact"/>
            </w:pPr>
            <w:r>
              <w:t xml:space="preserve">Long-acting GHRH analogue</w:t>
            </w:r>
          </w:p>
        </w:tc>
      </w:tr>
      <w:tr>
        <w:tc>
          <w:tcPr/>
          <w:p>
            <w:pPr>
              <w:pStyle w:val="Compact"/>
            </w:pPr>
            <w:r>
              <w:t xml:space="preserve">CJC-1295 without DAC ('Mod GRF 1-29')</w:t>
            </w:r>
          </w:p>
        </w:tc>
        <w:tc>
          <w:tcPr/>
          <w:p>
            <w:pPr>
              <w:pStyle w:val="Compact"/>
            </w:pPr>
            <w:r>
              <w:t xml:space="preserve">Pulsed GH for skin and sleep</w:t>
            </w:r>
          </w:p>
        </w:tc>
        <w:tc>
          <w:tcPr/>
          <w:p>
            <w:pPr>
              <w:pStyle w:val="Compact"/>
            </w:pPr>
            <w:r>
              <w:t xml:space="preserve">GHRH analogue</w:t>
            </w:r>
          </w:p>
        </w:tc>
      </w:tr>
      <w:tr>
        <w:tc>
          <w:tcPr/>
          <w:p>
            <w:pPr>
              <w:pStyle w:val="Compact"/>
            </w:pPr>
            <w:r>
              <w:t xml:space="preserve">Ipamorelin</w:t>
            </w:r>
          </w:p>
        </w:tc>
        <w:tc>
          <w:tcPr/>
          <w:p>
            <w:pPr>
              <w:pStyle w:val="Compact"/>
            </w:pPr>
            <w:r>
              <w:t xml:space="preserve">'Clean' GH release for anti-ageing</w:t>
            </w:r>
          </w:p>
        </w:tc>
        <w:tc>
          <w:tcPr/>
          <w:p>
            <w:pPr>
              <w:pStyle w:val="Compact"/>
            </w:pPr>
            <w:r>
              <w:t xml:space="preserve">Ghrelin-receptor agonist</w:t>
            </w:r>
          </w:p>
        </w:tc>
      </w:tr>
      <w:tr>
        <w:tc>
          <w:tcPr/>
          <w:p>
            <w:pPr>
              <w:pStyle w:val="Compact"/>
            </w:pPr>
            <w:r>
              <w:t xml:space="preserve">IGF-1 LR3</w:t>
            </w:r>
          </w:p>
        </w:tc>
        <w:tc>
          <w:tcPr/>
          <w:p>
            <w:pPr>
              <w:pStyle w:val="Compact"/>
            </w:pPr>
            <w:r>
              <w:t xml:space="preserve">Muscle and skin repair</w:t>
            </w:r>
          </w:p>
        </w:tc>
        <w:tc>
          <w:tcPr/>
          <w:p>
            <w:pPr>
              <w:pStyle w:val="Compact"/>
            </w:pPr>
            <w:r>
              <w:t xml:space="preserve">IGF-1 analogue</w:t>
            </w:r>
          </w:p>
        </w:tc>
      </w:tr>
    </w:tbl>
    <w:p>
      <w:pPr>
        <w:pStyle w:val="BodyText"/>
      </w:pPr>
      <w:r>
        <w:rPr>
          <w:b/>
          <w:bCs/>
        </w:rPr>
        <w:t xml:space="preserve">Callout:</w:t>
      </w:r>
      <w:r>
        <w:t xml:space="preserve"> </w:t>
      </w:r>
      <w:r>
        <w:t xml:space="preserve">A higher IGF-1 is a laboratory result. Benefit to a patient needs a clinical trial.</w:t>
      </w:r>
    </w:p>
    <w:p>
      <w:pPr>
        <w:pStyle w:val="BodyText"/>
      </w:pPr>
      <w:r>
        <w:rPr>
          <w:b/>
          <w:bCs/>
        </w:rPr>
        <w:t xml:space="preserve">Exercise (quickfire) · What stands behind it?</w:t>
      </w:r>
      <w:r>
        <w:t xml:space="preserve"> </w:t>
      </w:r>
      <w:r>
        <w:t xml:space="preserve">— One product at a time: approval-grade trials, hormone levels only, or no human studies?</w:t>
      </w:r>
      <w:r>
        <w:t xml:space="preserve"> </w:t>
      </w:r>
      <w:r>
        <w:t xml:space="preserve">- Tesamorelin, for HIV-associated abdominal fat →</w:t>
      </w:r>
      <w:r>
        <w:t xml:space="preserve"> </w:t>
      </w:r>
      <w:r>
        <w:rPr>
          <w:b/>
          <w:bCs/>
        </w:rPr>
        <w:t xml:space="preserve">Approval-grade trials for this use</w:t>
      </w:r>
      <w:r>
        <w:t xml:space="preserve"> </w:t>
      </w:r>
      <w:r>
        <w:t xml:space="preserve">—</w:t>
      </w:r>
      <w:r>
        <w:t xml:space="preserve"> </w:t>
      </w:r>
      <w:r>
        <w:rPr>
          <w:i/>
          <w:iCs/>
        </w:rPr>
        <w:t xml:space="preserve">GRADE A. Two phase 3 trials and FDA approval in 2010, for this indication and no other.</w:t>
      </w:r>
      <w:r>
        <w:t xml:space="preserve"> </w:t>
      </w:r>
      <w:r>
        <w:t xml:space="preserve">- Somatropin, for adult GH deficiency →</w:t>
      </w:r>
      <w:r>
        <w:t xml:space="preserve"> </w:t>
      </w:r>
      <w:r>
        <w:rPr>
          <w:b/>
          <w:bCs/>
        </w:rPr>
        <w:t xml:space="preserve">Approval-grade trials for this use</w:t>
      </w:r>
      <w:r>
        <w:t xml:space="preserve"> </w:t>
      </w:r>
      <w:r>
        <w:t xml:space="preserve">—</w:t>
      </w:r>
      <w:r>
        <w:t xml:space="preserve"> </w:t>
      </w:r>
      <w:r>
        <w:rPr>
          <w:i/>
          <w:iCs/>
        </w:rPr>
        <w:t xml:space="preserve">GRADE A for diagnosed deficiency, on decades of trials. For healthy ageing, the trials show more side-effects than benefit.</w:t>
      </w:r>
      <w:r>
        <w:t xml:space="preserve"> </w:t>
      </w:r>
      <w:r>
        <w:t xml:space="preserve">- Sermorelin, for youthful GH in healthy adults →</w:t>
      </w:r>
      <w:r>
        <w:t xml:space="preserve"> </w:t>
      </w:r>
      <w:r>
        <w:rPr>
          <w:b/>
          <w:bCs/>
        </w:rPr>
        <w:t xml:space="preserve">Hormone levels rise; no benefit shown</w:t>
      </w:r>
      <w:r>
        <w:t xml:space="preserve"> </w:t>
      </w:r>
      <w:r>
        <w:t xml:space="preserve">—</w:t>
      </w:r>
      <w:r>
        <w:t xml:space="preserve"> </w:t>
      </w:r>
      <w:r>
        <w:rPr>
          <w:i/>
          <w:iCs/>
        </w:rPr>
        <w:t xml:space="preserve">In this course, GRADE D for this use. Small studies show GH and IGF-1 rising; none shows a clinical or skin benefit. Its former US approval was for children with GH deficiency.</w:t>
      </w:r>
      <w:r>
        <w:t xml:space="preserve"> </w:t>
      </w:r>
      <w:r>
        <w:t xml:space="preserve">- CJC-1295 with DAC, for skin and recovery →</w:t>
      </w:r>
      <w:r>
        <w:t xml:space="preserve"> </w:t>
      </w:r>
      <w:r>
        <w:rPr>
          <w:b/>
          <w:bCs/>
        </w:rPr>
        <w:t xml:space="preserve">Hormone levels rise; no benefit shown</w:t>
      </w:r>
      <w:r>
        <w:t xml:space="preserve"> </w:t>
      </w:r>
      <w:r>
        <w:t xml:space="preserve">—</w:t>
      </w:r>
      <w:r>
        <w:t xml:space="preserve"> </w:t>
      </w:r>
      <w:r>
        <w:rPr>
          <w:i/>
          <w:iCs/>
        </w:rPr>
        <w:t xml:space="preserve">GRADE D for any clinical use. Two phase 1 trials in healthy adults showed GH and IGF-1 rising for days; neither measured a clinical outcome. The Hormonaly guides rate it C; the trials stop at hormone levels.</w:t>
      </w:r>
      <w:r>
        <w:t xml:space="preserve"> </w:t>
      </w:r>
      <w:r>
        <w:t xml:space="preserve">- CJC-1295 without DAC, for skin and sleep →</w:t>
      </w:r>
      <w:r>
        <w:t xml:space="preserve"> </w:t>
      </w:r>
      <w:r>
        <w:rPr>
          <w:b/>
          <w:bCs/>
        </w:rPr>
        <w:t xml:space="preserve">No published human studies</w:t>
      </w:r>
      <w:r>
        <w:t xml:space="preserve"> </w:t>
      </w:r>
      <w:r>
        <w:t xml:space="preserve">—</w:t>
      </w:r>
      <w:r>
        <w:t xml:space="preserve"> </w:t>
      </w:r>
      <w:r>
        <w:rPr>
          <w:i/>
          <w:iCs/>
        </w:rPr>
        <w:t xml:space="preserve">GRADE D. No peer-reviewed human study of this form exists; its promises are borrowed from sermorelin and from the DAC version.</w:t>
      </w:r>
      <w:r>
        <w:t xml:space="preserve"> </w:t>
      </w:r>
      <w:r>
        <w:t xml:space="preserve">- Ipamorelin, for anti-ageing →</w:t>
      </w:r>
      <w:r>
        <w:t xml:space="preserve"> </w:t>
      </w:r>
      <w:r>
        <w:rPr>
          <w:b/>
          <w:bCs/>
        </w:rPr>
        <w:t xml:space="preserve">Hormone levels rise; no benefit shown</w:t>
      </w:r>
      <w:r>
        <w:t xml:space="preserve"> </w:t>
      </w:r>
      <w:r>
        <w:t xml:space="preserve">—</w:t>
      </w:r>
      <w:r>
        <w:t xml:space="preserve"> </w:t>
      </w:r>
      <w:r>
        <w:rPr>
          <w:i/>
          <w:iCs/>
        </w:rPr>
        <w:t xml:space="preserve">GRADE D for anti-ageing and skin. Human studies show GH release; its only phase 2 trial, in postoperative ileus, showed no benefit over placebo.</w:t>
      </w:r>
      <w:r>
        <w:t xml:space="preserve"> </w:t>
      </w:r>
      <w:r>
        <w:t xml:space="preserve">- IGF-1 LR3, for muscle and skin repair →</w:t>
      </w:r>
      <w:r>
        <w:t xml:space="preserve"> </w:t>
      </w:r>
      <w:r>
        <w:rPr>
          <w:b/>
          <w:bCs/>
        </w:rPr>
        <w:t xml:space="preserve">No published human studies</w:t>
      </w:r>
      <w:r>
        <w:t xml:space="preserve"> </w:t>
      </w:r>
      <w:r>
        <w:t xml:space="preserve">—</w:t>
      </w:r>
      <w:r>
        <w:t xml:space="preserve"> </w:t>
      </w:r>
      <w:r>
        <w:rPr>
          <w:i/>
          <w:iCs/>
        </w:rPr>
        <w:t xml:space="preserve">GRADE D. No peer-reviewed human study; mechanism and user reports only.</w:t>
      </w:r>
    </w:p>
    <w:p>
      <w:pPr>
        <w:pStyle w:val="BodyText"/>
      </w:pPr>
      <w:r>
        <w:t xml:space="preserve">Sources: Falutz J 2007 · Pfizer (FDA-approved labeling) 2026 · Teichman SL 2006 · Beck DE 2014 · Dominikowski A 2026 · US Food and Drug Administration 2013 · Aesthetic &amp; Regenerative Endocrinology — A Clinician's Pocket Guide 2026 · The Peptide Pocket Guide — 2026 Edition · Clinical Reference (seventy-two entries) 2026</w:t>
      </w:r>
    </w:p>
    <w:bookmarkEnd w:id="145"/>
    <w:bookmarkStart w:id="146" w:name="where-each-one-stands-in-the-us."/>
    <w:p>
      <w:pPr>
        <w:pStyle w:val="Heading3"/>
      </w:pPr>
      <w:r>
        <w:t xml:space="preserve">11 / 19 · Where each one stands in the US.</w:t>
      </w:r>
    </w:p>
    <w:p>
      <w:pPr>
        <w:pStyle w:val="FirstParagraph"/>
      </w:pPr>
      <w:r>
        <w:rPr>
          <w:i/>
          <w:iCs/>
        </w:rPr>
        <w:t xml:space="preserve">Regulatory status · tool</w:t>
      </w:r>
    </w:p>
    <w:p>
      <w:pPr>
        <w:pStyle w:val="BodyText"/>
      </w:pPr>
      <w:r>
        <w:t xml:space="preserve">Dated to FDA's 503A category list of 14 May 2026, its Category 2 page (current as of 22 April 2026), the October 2024 advisory-committee votes, the bulks list in 21 CFR 216.23 and Drugs@FDA as checked on 24 September 2026. Absence from every list does not make a substance permitted, and FDA stopped placing newly nominated substances into categories in January 2025.</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Somatropin · tesamorelin</w:t>
            </w:r>
          </w:p>
        </w:tc>
        <w:tc>
          <w:tcPr/>
          <w:p>
            <w:pPr>
              <w:pStyle w:val="Compact"/>
            </w:pPr>
            <w:r>
              <w:t xml:space="preserve">FDA-approved for defined indications</w:t>
            </w:r>
          </w:p>
        </w:tc>
        <w:tc>
          <w:tcPr/>
          <w:p>
            <w:pPr>
              <w:pStyle w:val="Compact"/>
            </w:pPr>
            <w:r>
              <w:t xml:space="preserve">Growth-hormone deficiency and specific growth disorders; HIV-associated abdominal fat. Knowingly distributing growth hormone for other uses, anti-ageing included, is a federal offence (21 U.S.C. 333(e)).</w:t>
            </w:r>
          </w:p>
        </w:tc>
      </w:tr>
      <w:tr>
        <w:tc>
          <w:tcPr/>
          <w:p>
            <w:pPr>
              <w:pStyle w:val="Compact"/>
            </w:pPr>
            <w:r>
              <w:t xml:space="preserve">Sermorelin</w:t>
            </w:r>
          </w:p>
        </w:tc>
        <w:tc>
          <w:tcPr/>
          <w:p>
            <w:pPr>
              <w:pStyle w:val="Compact"/>
            </w:pPr>
            <w:r>
              <w:t xml:space="preserve">No approved product on the market</w:t>
            </w:r>
          </w:p>
        </w:tc>
        <w:tc>
          <w:tcPr/>
          <w:p>
            <w:pPr>
              <w:pStyle w:val="Compact"/>
            </w:pPr>
            <w:r>
              <w:t xml:space="preserve">Approved as Geref in 1990 and 1997, discontinued in 2008, approvals withdrawn in 2009 at the maker's request; FDA found in 2013 that this was not for safety or effectiveness reasons. In no 503A category.</w:t>
            </w:r>
          </w:p>
        </w:tc>
      </w:tr>
      <w:tr>
        <w:tc>
          <w:tcPr/>
          <w:p>
            <w:pPr>
              <w:pStyle w:val="Compact"/>
            </w:pPr>
            <w:r>
              <w:t xml:space="preserve">Ibutamoren (MK-677)</w:t>
            </w:r>
          </w:p>
        </w:tc>
        <w:tc>
          <w:tcPr/>
          <w:p>
            <w:pPr>
              <w:pStyle w:val="Compact"/>
            </w:pPr>
            <w:r>
              <w:t xml:space="preserve">503A and 503B Category 2</w:t>
            </w:r>
          </w:p>
        </w:tc>
        <w:tc>
          <w:tcPr/>
          <w:p>
            <w:pPr>
              <w:pStyle w:val="Compact"/>
            </w:pPr>
            <w:r>
              <w:t xml:space="preserve">FDA cites a heart-failure signal that stopped a hip-fracture trial early. The advisory committee voted 13 to 1 against adding it to the bulks list (October 2024).</w:t>
            </w:r>
          </w:p>
        </w:tc>
      </w:tr>
      <w:tr>
        <w:tc>
          <w:tcPr/>
          <w:p>
            <w:pPr>
              <w:pStyle w:val="Compact"/>
            </w:pPr>
            <w:r>
              <w:t xml:space="preserve">Ipamorelin · CJC-1295</w:t>
            </w:r>
          </w:p>
        </w:tc>
        <w:tc>
          <w:tcPr/>
          <w:p>
            <w:pPr>
              <w:pStyle w:val="Compact"/>
            </w:pPr>
            <w:r>
              <w:t xml:space="preserve">Withdrawn 503A nominations</w:t>
            </w:r>
          </w:p>
        </w:tc>
        <w:tc>
          <w:tcPr/>
          <w:p>
            <w:pPr>
              <w:pStyle w:val="Compact"/>
            </w:pPr>
            <w:r>
              <w:t xml:space="preserve">FDA lists both among Category 2 nominations that were withdrawn, citing serious adverse events; ipamorelin remains in 503B Category 2. The committee voted 0 to 12, with one abstention, against listing ipamorelin (October 2024).</w:t>
            </w:r>
          </w:p>
        </w:tc>
      </w:tr>
      <w:tr>
        <w:tc>
          <w:tcPr/>
          <w:p>
            <w:pPr>
              <w:pStyle w:val="Compact"/>
            </w:pPr>
            <w:r>
              <w:t xml:space="preserve">GHRP-2 · GHRP-6</w:t>
            </w:r>
          </w:p>
        </w:tc>
        <w:tc>
          <w:tcPr/>
          <w:p>
            <w:pPr>
              <w:pStyle w:val="Compact"/>
            </w:pPr>
            <w:r>
              <w:t xml:space="preserve">503A Category 3</w:t>
            </w:r>
          </w:p>
        </w:tc>
        <w:tc>
          <w:tcPr/>
          <w:p>
            <w:pPr>
              <w:pStyle w:val="Compact"/>
            </w:pPr>
            <w:r>
              <w:t xml:space="preserve">Nominated without adequate support for FDA to evaluate; both in 503B Category 2.</w:t>
            </w:r>
          </w:p>
        </w:tc>
      </w:tr>
      <w:tr>
        <w:tc>
          <w:tcPr/>
          <w:p>
            <w:pPr>
              <w:pStyle w:val="Compact"/>
            </w:pPr>
            <w:r>
              <w:t xml:space="preserve">IGF-1 LR3</w:t>
            </w:r>
          </w:p>
        </w:tc>
        <w:tc>
          <w:tcPr/>
          <w:p>
            <w:pPr>
              <w:pStyle w:val="Compact"/>
            </w:pPr>
            <w:r>
              <w:t xml:space="preserve">No approved product, no category</w:t>
            </w:r>
          </w:p>
        </w:tc>
        <w:tc>
          <w:tcPr/>
          <w:p>
            <w:pPr>
              <w:pStyle w:val="Compact"/>
            </w:pPr>
            <w:r>
              <w:t xml:space="preserve">Named in a 2020 FDA warning letter, with CJC-1295, ipamorelin, GHRP-2, GHRP-6 and MK-677, as ineligible for the 503A exemptions.</w:t>
            </w:r>
          </w:p>
        </w:tc>
      </w:tr>
    </w:tbl>
    <w:p>
      <w:pPr>
        <w:pStyle w:val="BodyText"/>
      </w:pPr>
      <w:r>
        <w:rPr>
          <w:b/>
          <w:bCs/>
        </w:rPr>
        <w:t xml:space="preserve">Callout:</w:t>
      </w:r>
      <w:r>
        <w:t xml:space="preserve"> </w:t>
      </w:r>
      <w:r>
        <w:t xml:space="preserve">The 503A bulks list holds six substances, none on this axis. Check the live lists before any conversation about compounding.</w:t>
      </w:r>
    </w:p>
    <w:p>
      <w:pPr>
        <w:pStyle w:val="BodyText"/>
      </w:pPr>
      <w:r>
        <w:t xml:space="preserve">Sources: US Food and Drug Administration 2026 · US Food and Drug Administration 2026 · US Food and Drug Administration 2024 · Code of Federal Regulations (eCFR) 2026 · US Food and Drug Administration 2026 · US Food and Drug Administration 2013 · US Food and Drug Administration 2020 · US Food and Drug Administration 2026 · Office of the Law Revision Counsel 2026 · Theratechnologies Inc. (FDA-approved labeling) 2026 · Adunsky A 2011</w:t>
      </w:r>
    </w:p>
    <w:bookmarkEnd w:id="146"/>
    <w:bookmarkStart w:id="147" w:name="name-the-indication-before-the-molecule."/>
    <w:p>
      <w:pPr>
        <w:pStyle w:val="Heading3"/>
      </w:pPr>
      <w:r>
        <w:t xml:space="preserve">12 / 19 · Name the indication before the molecule.</w:t>
      </w:r>
    </w:p>
    <w:p>
      <w:pPr>
        <w:pStyle w:val="FirstParagraph"/>
      </w:pPr>
      <w:r>
        <w:rPr>
          <w:i/>
          <w:iCs/>
        </w:rPr>
        <w:t xml:space="preserve">What changes in practice · audio</w:t>
      </w:r>
    </w:p>
    <w:p>
      <w:pPr>
        <w:pStyle w:val="BodyText"/>
      </w:pPr>
      <w:r>
        <w:t xml:space="preserve">When a patient asks about a growth-hormone peptide, three answers come first. Which molecule, exactly, including whether 'CJC' means with or without DAC. What stands behind it, whether approval-grade trials for one indication, hormone levels only, or nothing. And where it stands in the US today, read off the live FDA lists. Tesamorelin's GRADE A belongs to HIV-associated abdominal fat and transfers to nothing else.</w:t>
      </w:r>
    </w:p>
    <w:p>
      <w:pPr>
        <w:pStyle w:val="Compact"/>
        <w:numPr>
          <w:ilvl w:val="0"/>
          <w:numId w:val="1052"/>
        </w:numPr>
      </w:pPr>
      <w:r>
        <w:t xml:space="preserve">Which molecule, exactly</w:t>
      </w:r>
    </w:p>
    <w:p>
      <w:pPr>
        <w:pStyle w:val="Compact"/>
        <w:numPr>
          <w:ilvl w:val="0"/>
          <w:numId w:val="1052"/>
        </w:numPr>
      </w:pPr>
      <w:r>
        <w:t xml:space="preserve">What stands behind it</w:t>
      </w:r>
    </w:p>
    <w:p>
      <w:pPr>
        <w:pStyle w:val="Compact"/>
        <w:numPr>
          <w:ilvl w:val="0"/>
          <w:numId w:val="1052"/>
        </w:numPr>
      </w:pPr>
      <w:r>
        <w:t xml:space="preserve">Where it stands in the US today</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Tesamorelin is the only GHRH analogue with a current FDA-approved indication, and it is not a skin treatment. Do not prescribe compounded secretagogues on the strength of a mechanism; document what the patient uses and assess or refer any sign of GH excess.</w:t>
      </w:r>
      <w:r>
        <w:t xml:space="preserve"> </w:t>
      </w:r>
      <w:r>
        <w:t xml:space="preserve">-</w:t>
      </w:r>
      <w:r>
        <w:t xml:space="preserve"> </w:t>
      </w:r>
      <w:r>
        <w:rPr>
          <w:i/>
          <w:iCs/>
        </w:rPr>
        <w:t xml:space="preserve">Clinical staff:</w:t>
      </w:r>
      <w:r>
        <w:t xml:space="preserve"> </w:t>
      </w:r>
      <w:r>
        <w:t xml:space="preserve">Ask which product, from whom and for how long, and record the exact name on the vial. Report swelling, tingling, joint pain or new skin changes to the prescriber. Do not advise on amounts or timing.</w:t>
      </w:r>
      <w:r>
        <w:t xml:space="preserve"> </w:t>
      </w:r>
      <w:r>
        <w:t xml:space="preserve">-</w:t>
      </w:r>
      <w:r>
        <w:t xml:space="preserve"> </w:t>
      </w:r>
      <w:r>
        <w:rPr>
          <w:i/>
          <w:iCs/>
        </w:rPr>
        <w:t xml:space="preserve">Advisor:</w:t>
      </w:r>
      <w:r>
        <w:t xml:space="preserve"> </w:t>
      </w:r>
      <w:r>
        <w:t xml:space="preserve">Describe these products accurately: one approved use for tesamorelin, hormone-level data or nothing for the rest, and no US bulks-list standing for the secretagogues. Refer anyone injecting them to a prescriber.</w:t>
      </w:r>
    </w:p>
    <w:p>
      <w:pPr>
        <w:pStyle w:val="BodyText"/>
      </w:pPr>
      <w:r>
        <w:t xml:space="preserve">Narration script</w:t>
      </w:r>
    </w:p>
    <w:p>
      <w:pPr>
        <w:pStyle w:val="BodyText"/>
      </w:pPr>
      <w:r>
        <w:t xml:space="preserve">Imagine the request as it usually arrives. A patient says their clinic offers a peptide that raises growth hormone naturally, for skin and sleep, and asks what you think. Three answers come before anything else. First, which molecule, exactly, because CJC-1295 with and without its albumin-binding tail are two different products, and only the version with the tail has been tested in people. Second, what stands behind it. Tesamorelin has approval-grade trials for visceral fat in people with HIV, and the rest stop at hormone levels or have never been studied in humans. Third, where it stands in the United States today, read off FDA's live lists. As of September 2026, none of the growth-hormone secretagogues sits on the 503A bulks list. UK and EU status is still being mapped for this course, so treat these as US facts.</w:t>
      </w:r>
    </w:p>
    <w:p>
      <w:pPr>
        <w:pStyle w:val="BodyText"/>
      </w:pPr>
      <w:r>
        <w:t xml:space="preserve">Sources: Theratechnologies Inc. (FDA-approved labeling) 2026 · Dominikowski A 2026 · US Food and Drug Administration 2026 · Code of Federal Regulations (eCFR) 2026 · Aesthetic &amp; Regenerative Endocrinology — A Clinician's Pocket Guide 2026</w:t>
      </w:r>
    </w:p>
    <w:bookmarkEnd w:id="147"/>
    <w:bookmarkStart w:id="148" w:name="basically-tesamorelin"/>
    <w:p>
      <w:pPr>
        <w:pStyle w:val="Heading3"/>
      </w:pPr>
      <w:r>
        <w:t xml:space="preserve">13 / 19 · 'Basically tesamorelin?'</w:t>
      </w:r>
    </w:p>
    <w:p>
      <w:pPr>
        <w:pStyle w:val="FirstParagraph"/>
      </w:pPr>
      <w:r>
        <w:rPr>
          <w:i/>
          <w:iCs/>
        </w:rPr>
        <w:t xml:space="preserve">Your turn · quiz</w:t>
      </w:r>
    </w:p>
    <w:p>
      <w:pPr>
        <w:pStyle w:val="BodyText"/>
      </w:pPr>
      <w:r>
        <w:t xml:space="preserve">One question to close lesson 6.2.</w:t>
      </w:r>
    </w:p>
    <w:p>
      <w:pPr>
        <w:pStyle w:val="BodyText"/>
      </w:pPr>
      <w:r>
        <w:rPr>
          <w:b/>
          <w:bCs/>
        </w:rPr>
        <w:t xml:space="preserve">Q.</w:t>
      </w:r>
      <w:r>
        <w:t xml:space="preserve"> </w:t>
      </w:r>
      <w:r>
        <w:t xml:space="preserve">Fictional chart note: a 47-year-old has been prescribed a compounded 'CJC-1295/ipamorelin' product by a wellness clinic for skin quality. She asks whether it is 'basically tesamorelin'. What is the most accurate answer?</w:t>
      </w:r>
      <w:r>
        <w:t xml:space="preserve"> </w:t>
      </w:r>
      <w:r>
        <w:t xml:space="preserve">- ✗ Yes. Both work on the growth-hormone pathway, so tesamorelin's approval covers the class. —</w:t>
      </w:r>
      <w:r>
        <w:t xml:space="preserve"> </w:t>
      </w:r>
      <w:r>
        <w:rPr>
          <w:i/>
          <w:iCs/>
        </w:rPr>
        <w:t xml:space="preserve">An approval and its GRADE A belong to tesamorelin, for HIV-associated abdominal fat. They do not transfer to other molecules or uses.</w:t>
      </w:r>
      <w:r>
        <w:t xml:space="preserve"> </w:t>
      </w:r>
      <w:r>
        <w:t xml:space="preserve">- ✔ No. Tesamorelin has phase 3 trials and a US approval for HIV-associated abdominal fat; CJC-1295 and ipamorelin have hormone-level data at best and no skin trials; neither is on the US 503A bulks list. —</w:t>
      </w:r>
      <w:r>
        <w:t xml:space="preserve"> </w:t>
      </w:r>
      <w:r>
        <w:rPr>
          <w:i/>
          <w:iCs/>
        </w:rPr>
        <w:t xml:space="preserve">Correct. Different molecules, different evidence, different regulatory standing.</w:t>
      </w:r>
      <w:r>
        <w:t xml:space="preserve"> </w:t>
      </w:r>
      <w:r>
        <w:t xml:space="preserve">- ✗ Yes, provided the compounding pharmacy is licensed. —</w:t>
      </w:r>
      <w:r>
        <w:t xml:space="preserve"> </w:t>
      </w:r>
      <w:r>
        <w:rPr>
          <w:i/>
          <w:iCs/>
        </w:rPr>
        <w:t xml:space="preserve">A licensed pharmacy changes neither the evidence nor the fact that, in the US, these substances have no bulks-list standing.</w:t>
      </w:r>
    </w:p>
    <w:bookmarkEnd w:id="148"/>
    <w:bookmarkEnd w:id="149"/>
    <w:bookmarkStart w:id="156" w:name="Xde8836c6ecbaf4301e43350c63565f2e051bde8"/>
    <w:p>
      <w:pPr>
        <w:pStyle w:val="Heading2"/>
      </w:pPr>
      <w:r>
        <w:t xml:space="preserve">Lesson 6.3 · GH excess, oedema and mitogenic risk</w:t>
      </w:r>
    </w:p>
    <w:bookmarkStart w:id="150" w:name="what-too-much-growth-hormone-looks-like."/>
    <w:p>
      <w:pPr>
        <w:pStyle w:val="Heading3"/>
      </w:pPr>
      <w:r>
        <w:t xml:space="preserve">14 / 19 · What too much growth hormone looks like.</w:t>
      </w:r>
    </w:p>
    <w:p>
      <w:pPr>
        <w:pStyle w:val="FirstParagraph"/>
      </w:pPr>
      <w:r>
        <w:rPr>
          <w:i/>
          <w:iCs/>
        </w:rPr>
        <w:t xml:space="preserve">Lesson 6.3 · Recognition · audio</w:t>
      </w:r>
    </w:p>
    <w:p>
      <w:pPr>
        <w:pStyle w:val="BodyText"/>
      </w:pPr>
      <w:r>
        <w:t xml:space="preserve">Sustained GH excess changes skin in ways you can see. In acromegaly, glycosaminoglycan deposits and oedema make the face, hands and feet puffy and thick; the skin turns oily with large pores; sweating increases; skin tags and acanthosis nigricans appear. Drugs on this axis bring their own signs: fluid retention with swelling, joint pain, tingling and carpal tunnel symptoms. The Endocrine Society recommends measuring IGF-1 when typical acral and facial features are present.</w:t>
      </w:r>
    </w:p>
    <w:p>
      <w:pPr>
        <w:pStyle w:val="Compact"/>
        <w:numPr>
          <w:ilvl w:val="0"/>
          <w:numId w:val="1053"/>
        </w:numPr>
      </w:pPr>
      <w:r>
        <w:t xml:space="preserve">Soft tissue: puffy, thickened face, hands and feet</w:t>
      </w:r>
    </w:p>
    <w:p>
      <w:pPr>
        <w:pStyle w:val="Compact"/>
        <w:numPr>
          <w:ilvl w:val="0"/>
          <w:numId w:val="1053"/>
        </w:numPr>
      </w:pPr>
      <w:r>
        <w:t xml:space="preserve">Skin: oily, sweaty, skin tags, acanthosis nigricans</w:t>
      </w:r>
    </w:p>
    <w:p>
      <w:pPr>
        <w:pStyle w:val="Compact"/>
        <w:numPr>
          <w:ilvl w:val="0"/>
          <w:numId w:val="1053"/>
        </w:numPr>
      </w:pPr>
      <w:r>
        <w:t xml:space="preserve">On treatment: swelling, joint pain, tingling</w:t>
      </w:r>
    </w:p>
    <w:p>
      <w:pPr>
        <w:pStyle w:val="FirstParagraph"/>
      </w:pPr>
      <w:r>
        <w:t xml:space="preserve">Narration script</w:t>
      </w:r>
    </w:p>
    <w:p>
      <w:pPr>
        <w:pStyle w:val="BodyText"/>
      </w:pPr>
      <w:r>
        <w:t xml:space="preserve">Excess growth hormone leaves visible marks on skin and soft tissue, and noticing them early matters. In acromegaly, glycosaminoglycan deposits and oedema thicken the face, hands and feet, so features look puffy and coarse. The skin turns oily with large pores, sweating increases, and skin tags and acanthosis nigricans appear. Hands and feet enlarge slowly, and the jaw widens. Drugs on this axis bring their own signs, usually transient, with swelling, joint pain, tingling fingers and carpal tunnel symptoms. On somatropin, the label asks for existing moles to be watched for growth or malignant change. The Endocrine Society recommends measuring IGF-1 when typical acral and facial features are present, and suggests it when several associated conditions cluster. For most of you the job is recognition and referral, and the diagnosis belongs to endocrinology.</w:t>
      </w:r>
    </w:p>
    <w:p>
      <w:pPr>
        <w:pStyle w:val="BodyText"/>
      </w:pPr>
      <w:r>
        <w:t xml:space="preserve">Sources: Ben-Shlomo A 2006 · Katznelson L 2014 · Giustina A 2024 · Pfizer (FDA-approved labeling) 2026 · Liu H 2007</w:t>
      </w:r>
    </w:p>
    <w:bookmarkEnd w:id="150"/>
    <w:bookmarkStart w:id="151" w:name="does-raising-igf-1-cause-cancer"/>
    <w:p>
      <w:pPr>
        <w:pStyle w:val="Heading3"/>
      </w:pPr>
      <w:r>
        <w:t xml:space="preserve">15 / 19 · Does raising IGF-1 cause cancer?</w:t>
      </w:r>
    </w:p>
    <w:p>
      <w:pPr>
        <w:pStyle w:val="FirstParagraph"/>
      </w:pPr>
      <w:r>
        <w:rPr>
          <w:i/>
          <w:iCs/>
        </w:rPr>
        <w:t xml:space="preserve">Four registers · tool</w:t>
      </w:r>
    </w:p>
    <w:p>
      <w:pPr>
        <w:pStyle w:val="BodyText"/>
      </w:pPr>
      <w:r>
        <w:t xml:space="preserve">The honest answer has four parts, and each has its own source. Keep them apart, or a mechanism will be heard as a measured risk.</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Mechanism</w:t>
            </w:r>
          </w:p>
        </w:tc>
        <w:tc>
          <w:tcPr/>
          <w:p>
            <w:pPr>
              <w:pStyle w:val="Compact"/>
            </w:pPr>
            <w:r>
              <w:t xml:space="preserve">Plausible</w:t>
            </w:r>
          </w:p>
        </w:tc>
        <w:tc>
          <w:tcPr/>
          <w:p>
            <w:pPr>
              <w:pStyle w:val="Compact"/>
            </w:pPr>
            <w:r>
              <w:t xml:space="preserve">IGF-1 receptor signalling drives cell proliferation and survival, which gives any IGF-1-raising product a theoretical concern</w:t>
            </w:r>
          </w:p>
        </w:tc>
      </w:tr>
      <w:tr>
        <w:tc>
          <w:tcPr/>
          <w:p>
            <w:pPr>
              <w:pStyle w:val="Compact"/>
            </w:pPr>
            <w:r>
              <w:t xml:space="preserve">Human observation</w:t>
            </w:r>
          </w:p>
        </w:tc>
        <w:tc>
          <w:tcPr/>
          <w:p>
            <w:pPr>
              <w:pStyle w:val="Compact"/>
            </w:pPr>
            <w:r>
              <w:t xml:space="preserve">Modest associations</w:t>
            </w:r>
          </w:p>
        </w:tc>
        <w:tc>
          <w:tcPr/>
          <w:p>
            <w:pPr>
              <w:pStyle w:val="Compact"/>
            </w:pPr>
            <w:r>
              <w:t xml:space="preserve">In large studies, higher natural IGF-1 goes with slightly higher risks of prostate, breast, colorectal and thyroid cancer; reverse causation is not excluded. In one Ecuadorian cohort, people with GH-receptor deficiency had almost no cancer.</w:t>
            </w:r>
          </w:p>
        </w:tc>
      </w:tr>
      <w:tr>
        <w:tc>
          <w:tcPr/>
          <w:p>
            <w:pPr>
              <w:pStyle w:val="Compact"/>
            </w:pPr>
            <w:r>
              <w:t xml:space="preserve">Acromegaly</w:t>
            </w:r>
          </w:p>
        </w:tc>
        <w:tc>
          <w:tcPr/>
          <w:p>
            <w:pPr>
              <w:pStyle w:val="Compact"/>
            </w:pPr>
            <w:r>
              <w:t xml:space="preserve">Slightly raised, inconsistently</w:t>
            </w:r>
          </w:p>
        </w:tc>
        <w:tc>
          <w:tcPr/>
          <w:p>
            <w:pPr>
              <w:pStyle w:val="Compact"/>
            </w:pPr>
            <w:r>
              <w:t xml:space="preserve">Pooled studies show about 1.5 times the expected cancer incidence, with the highest estimates from small single-centre series; a Danish nationwide cohort found no clear rise</w:t>
            </w:r>
          </w:p>
        </w:tc>
      </w:tr>
      <w:tr>
        <w:tc>
          <w:tcPr/>
          <w:p>
            <w:pPr>
              <w:pStyle w:val="Compact"/>
            </w:pPr>
            <w:r>
              <w:t xml:space="preserve">GH replacement</w:t>
            </w:r>
          </w:p>
        </w:tc>
        <w:tc>
          <w:tcPr/>
          <w:p>
            <w:pPr>
              <w:pStyle w:val="Compact"/>
            </w:pPr>
            <w:r>
              <w:t xml:space="preserve">Largely reassuring</w:t>
            </w:r>
          </w:p>
        </w:tc>
        <w:tc>
          <w:tcPr/>
          <w:p>
            <w:pPr>
              <w:pStyle w:val="Compact"/>
            </w:pPr>
            <w:r>
              <w:t xml:space="preserve">No clear raised risk in 23,984 GH-treated children with growth failure and no other disease; a 2022 consensus found no link with primary tumours or recurrence in survivors</w:t>
            </w:r>
          </w:p>
        </w:tc>
      </w:tr>
      <w:tr>
        <w:tc>
          <w:tcPr/>
          <w:p>
            <w:pPr>
              <w:pStyle w:val="Compact"/>
            </w:pPr>
            <w:r>
              <w:t xml:space="preserve">Open question</w:t>
            </w:r>
          </w:p>
        </w:tc>
        <w:tc>
          <w:tcPr/>
          <w:p>
            <w:pPr>
              <w:pStyle w:val="Compact"/>
            </w:pPr>
            <w:r>
              <w:t xml:space="preserve">Unmeasured</w:t>
            </w:r>
          </w:p>
        </w:tc>
        <w:tc>
          <w:tcPr/>
          <w:p>
            <w:pPr>
              <w:pStyle w:val="Compact"/>
            </w:pPr>
            <w:r>
              <w:t xml:space="preserve">No long-term cancer data exist for secretagogues or IGF-1 LR3 used for ageing or skin</w:t>
            </w:r>
          </w:p>
        </w:tc>
      </w:tr>
    </w:tbl>
    <w:p>
      <w:pPr>
        <w:pStyle w:val="BodyText"/>
      </w:pPr>
      <w:r>
        <w:rPr>
          <w:b/>
          <w:bCs/>
        </w:rPr>
        <w:t xml:space="preserve">Callout:</w:t>
      </w:r>
      <w:r>
        <w:t xml:space="preserve"> </w:t>
      </w:r>
      <w:r>
        <w:t xml:space="preserve">A plausible mechanism plus a modest association is a reason for caution and consent. It is a different thing from a measured risk.</w:t>
      </w:r>
    </w:p>
    <w:p>
      <w:pPr>
        <w:pStyle w:val="BodyText"/>
      </w:pPr>
      <w:r>
        <w:t xml:space="preserve">Sources: Edmondson SR 2003 · Renehan AG 2004 · Knuppel A 2020 · Dal J 2018 · Swerdlow AJ 2017 · Boguszewski MCS 2022 · Guevara-Aguirre J 2011 · Dominikowski A 2026</w:t>
      </w:r>
    </w:p>
    <w:bookmarkEnd w:id="151"/>
    <w:bookmarkStart w:id="152" w:name="half-the-patients-on-the-approved-one."/>
    <w:p>
      <w:pPr>
        <w:pStyle w:val="Heading3"/>
      </w:pPr>
      <w:r>
        <w:t xml:space="preserve">16 / 19 · Half the patients on the approved one.</w:t>
      </w:r>
    </w:p>
    <w:p>
      <w:pPr>
        <w:pStyle w:val="FirstParagraph"/>
      </w:pPr>
      <w:r>
        <w:rPr>
          <w:i/>
          <w:iCs/>
        </w:rPr>
        <w:t xml:space="preserve">The evidence · stat</w:t>
      </w:r>
    </w:p>
    <w:p>
      <w:pPr>
        <w:pStyle w:val="BodyText"/>
      </w:pPr>
      <w:r>
        <w:t xml:space="preserve">Tesamorelin is the best-studied peptide on this axis. In its pivotal trials, 47% of treated patients had IGF-1 more than two standard deviations above the mean at 26 weeks, and 36% more than three. Its label states that the effects of prolonged IGF-1 elevation are unknown. For unapproved secretagogues bought for skin, nobody has published the equivalent figure.</w:t>
      </w:r>
    </w:p>
    <w:p>
      <w:pPr>
        <w:pStyle w:val="BodyText"/>
      </w:pPr>
      <w:r>
        <w:rPr>
          <w:b/>
          <w:bCs/>
        </w:rPr>
        <w:t xml:space="preserve">47%</w:t>
      </w:r>
      <w:r>
        <w:t xml:space="preserve"> </w:t>
      </w:r>
      <w:r>
        <w:t xml:space="preserve">— of tesamorelin-treated patients with IGF-1 above +2 SD at 26 weeks in its pivotal trials (36% above +3 SD · label: effects of prolonged elevation unknown)</w:t>
      </w:r>
      <w:r>
        <w:br/>
      </w:r>
      <w:r>
        <w:rPr>
          <w:i/>
          <w:iCs/>
        </w:rPr>
        <w:t xml:space="preserve">Means:</w:t>
      </w:r>
      <w:r>
        <w:t xml:space="preserve"> </w:t>
      </w:r>
      <w:r>
        <w:t xml:space="preserve">Pushing IGF-1 above the normal range is common even with an approved GHRH analogue used as labelled, in monitored trials.</w:t>
      </w:r>
      <w:r>
        <w:br/>
      </w:r>
      <w:r>
        <w:rPr>
          <w:i/>
          <w:iCs/>
        </w:rPr>
        <w:t xml:space="preserve">Does not mean:</w:t>
      </w:r>
      <w:r>
        <w:t xml:space="preserve"> </w:t>
      </w:r>
      <w:r>
        <w:t xml:space="preserve">It does not show that tesamorelin causes cancer, and it is no target to aim for. It shows why sustained, unmonitored use of any IGF-1-raising product is an open safety question.</w:t>
      </w:r>
    </w:p>
    <w:p>
      <w:pPr>
        <w:pStyle w:val="BodyText"/>
      </w:pPr>
      <w:r>
        <w:t xml:space="preserve">Sources: Theratechnologies Inc. (FDA-approved labeling) 2026 · Falutz J 2010 · Dominikowski A 2026</w:t>
      </w:r>
    </w:p>
    <w:bookmarkEnd w:id="152"/>
    <w:bookmarkStart w:id="153" w:name="tight-rings-eight-months-into-cjcipa."/>
    <w:p>
      <w:pPr>
        <w:pStyle w:val="Heading3"/>
      </w:pPr>
      <w:r>
        <w:t xml:space="preserve">17 / 19 · Tight rings, eight months into 'CJC/ipa'.</w:t>
      </w:r>
    </w:p>
    <w:p>
      <w:pPr>
        <w:pStyle w:val="FirstParagraph"/>
      </w:pPr>
      <w:r>
        <w:rPr>
          <w:i/>
          <w:iCs/>
        </w:rPr>
        <w:t xml:space="preserve">Fictional case · audio</w:t>
      </w:r>
    </w:p>
    <w:p>
      <w:pPr>
        <w:pStyle w:val="BodyText"/>
      </w:pPr>
      <w:r>
        <w:t xml:space="preserve">A 52-year-old patient has injected a clinic-supplied 'CJC-1295/ipamorelin' product for eight months for skin and recovery. Her rings no longer fit, her face and hands look puffy, her fingers tingle at night, she sweats more, and new skin tags have appeared on her neck. She asks for a stronger version. This case is fictional, built from the lesson's evidence; there is one best first step.</w:t>
      </w:r>
    </w:p>
    <w:p>
      <w:pPr>
        <w:pStyle w:val="Compact"/>
        <w:numPr>
          <w:ilvl w:val="0"/>
          <w:numId w:val="1054"/>
        </w:numPr>
      </w:pPr>
      <w:r>
        <w:t xml:space="preserve">Tight rings, puffy hands and face</w:t>
      </w:r>
    </w:p>
    <w:p>
      <w:pPr>
        <w:pStyle w:val="Compact"/>
        <w:numPr>
          <w:ilvl w:val="0"/>
          <w:numId w:val="1054"/>
        </w:numPr>
      </w:pPr>
      <w:r>
        <w:t xml:space="preserve">Night-time tingling, sweating, new skin tags</w:t>
      </w:r>
    </w:p>
    <w:p>
      <w:pPr>
        <w:pStyle w:val="Compact"/>
        <w:numPr>
          <w:ilvl w:val="0"/>
          <w:numId w:val="1054"/>
        </w:numPr>
      </w:pPr>
      <w:r>
        <w:t xml:space="preserve">An unapproved product with no skin trials</w:t>
      </w:r>
    </w:p>
    <w:p>
      <w:pPr>
        <w:pStyle w:val="FirstParagraph"/>
      </w:pPr>
      <w:r>
        <w:rPr>
          <w:b/>
          <w:bCs/>
        </w:rPr>
        <w:t xml:space="preserve">Exercise (scenario) · What do you do first?</w:t>
      </w:r>
      <w:r>
        <w:t xml:space="preserve"> </w:t>
      </w:r>
      <w:r>
        <w:t xml:space="preserve">—</w:t>
      </w:r>
    </w:p>
    <w:p>
      <w:pPr>
        <w:pStyle w:val="BodyText"/>
      </w:pPr>
      <w:r>
        <w:t xml:space="preserve">A 52-year-old patient has injected a clinic-supplied 'CJC-1295/ipamorelin' product for eight months for skin and recovery. Her rings no longer fit, her face and hands look puffy, her fingers tingle at night, she sweats more, and new skin tags have appeared on her neck. She asks for a stronger version.</w:t>
      </w:r>
    </w:p>
    <w:p>
      <w:pPr>
        <w:pStyle w:val="Compact"/>
        <w:numPr>
          <w:ilvl w:val="0"/>
          <w:numId w:val="1055"/>
        </w:numPr>
      </w:pPr>
      <w:r>
        <w:t xml:space="preserve">✗ Reassure her that mild water retention is expected on growth-hormone peptides and review in three months. —</w:t>
      </w:r>
      <w:r>
        <w:t xml:space="preserve"> </w:t>
      </w:r>
      <w:r>
        <w:rPr>
          <w:i/>
          <w:iCs/>
        </w:rPr>
        <w:t xml:space="preserve">Fluid retention is a known effect, but this cluster is the pattern the Endocrine Society says should prompt IGF-1 testing. Three more months on an unmonitored product leaves it unassessed.</w:t>
      </w:r>
    </w:p>
    <w:p>
      <w:pPr>
        <w:pStyle w:val="Compact"/>
        <w:numPr>
          <w:ilvl w:val="0"/>
          <w:numId w:val="1055"/>
        </w:numPr>
      </w:pPr>
      <w:r>
        <w:t xml:space="preserve">✔ Advise stopping the product, record exactly what she used, from where and for how long, and route her promptly to a prescriber for assessment of GH excess, including IGF-1. —</w:t>
      </w:r>
      <w:r>
        <w:t xml:space="preserve"> </w:t>
      </w:r>
      <w:r>
        <w:rPr>
          <w:i/>
          <w:iCs/>
        </w:rPr>
        <w:t xml:space="preserve">Right. Stop the exposure, capture the product details, and get the signs assessed. Fluid retention on these agents usually settles when treatment stops; signs that persist need an endocrine work-up.</w:t>
      </w:r>
    </w:p>
    <w:p>
      <w:pPr>
        <w:pStyle w:val="Compact"/>
        <w:numPr>
          <w:ilvl w:val="0"/>
          <w:numId w:val="1055"/>
        </w:numPr>
      </w:pPr>
      <w:r>
        <w:t xml:space="preserve">✗ Switch her to tesamorelin, since it is FDA-approved. —</w:t>
      </w:r>
      <w:r>
        <w:t xml:space="preserve"> </w:t>
      </w:r>
      <w:r>
        <w:rPr>
          <w:i/>
          <w:iCs/>
        </w:rPr>
        <w:t xml:space="preserve">Tesamorelin's approval covers HIV-associated abdominal fat, and it pushes IGF-1 above the normal range in about half of treated patients. It would add to the problem.</w:t>
      </w:r>
    </w:p>
    <w:p>
      <w:pPr>
        <w:pStyle w:val="FirstParagraph"/>
      </w:pPr>
      <w:r>
        <w:t xml:space="preserve">Follow-up: Then document the conversation: the product and its source, the signs you saw, what you advised, and who assesses her next.</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 examine for acral and facial change, measure IGF-1 or refer to endocrinology, check glucose and blood pressure, and document the unapproved product and your advice.</w:t>
      </w:r>
      <w:r>
        <w:t xml:space="preserve"> </w:t>
      </w:r>
      <w:r>
        <w:t xml:space="preserve">-</w:t>
      </w:r>
      <w:r>
        <w:t xml:space="preserve"> </w:t>
      </w:r>
      <w:r>
        <w:rPr>
          <w:i/>
          <w:iCs/>
        </w:rPr>
        <w:t xml:space="preserve">Clinical staff:</w:t>
      </w:r>
      <w:r>
        <w:t xml:space="preserve"> </w:t>
      </w:r>
      <w:r>
        <w:t xml:space="preserve">You record the product name, supplier and duration, note the swelling and tingling, and escalate to the prescriber the same day.</w:t>
      </w:r>
      <w:r>
        <w:t xml:space="preserve"> </w:t>
      </w:r>
      <w:r>
        <w:t xml:space="preserve">-</w:t>
      </w:r>
      <w:r>
        <w:t xml:space="preserve"> </w:t>
      </w:r>
      <w:r>
        <w:rPr>
          <w:i/>
          <w:iCs/>
        </w:rPr>
        <w:t xml:space="preserve">Advisor:</w:t>
      </w:r>
      <w:r>
        <w:t xml:space="preserve"> </w:t>
      </w:r>
      <w:r>
        <w:t xml:space="preserve">You advise her to stop, keep the vial and packaging, and see a prescriber promptly; you do not suggest a stronger product or another supplier.</w:t>
      </w:r>
    </w:p>
    <w:p>
      <w:pPr>
        <w:pStyle w:val="BodyText"/>
      </w:pPr>
      <w:r>
        <w:t xml:space="preserve">Narration script</w:t>
      </w:r>
    </w:p>
    <w:p>
      <w:pPr>
        <w:pStyle w:val="BodyText"/>
      </w:pPr>
      <w:r>
        <w:t xml:space="preserve">This patient is fictional, built from the lesson's evidence. She is fifty-two and has injected a clinic-supplied product labelled CJC-1295 and ipamorelin for eight months, for skin and recovery. Her rings no longer fit. Her face and hands look puffy, her fingers tingle at night, she sweats more than she used to, and small skin tags have appeared on her neck. She likes her skin and asks for a stronger version. Read the cluster before the request. Swollen hands and face, tingling, sweating and new skin tags together make up the soft-tissue pattern of growth-hormone excess, and carpal tunnel symptoms and heavy sweating are among the conditions that prompt an IGF-1 test. Neither peptide has a skin trial behind it. Choose the move you would make first.</w:t>
      </w:r>
    </w:p>
    <w:p>
      <w:pPr>
        <w:pStyle w:val="BodyText"/>
      </w:pPr>
      <w:r>
        <w:t xml:space="preserve">Sources: Katznelson L 2014 · Ben-Shlomo A 2006 · Giustina A 2024 · Theratechnologies Inc. (FDA-approved labeling) 2026 · US Food and Drug Administration 2026 · Dominikowski A 2026 · The Peptide Pocket Guide — 2026 Edition · Clinical Reference (seventy-two entries) 2026</w:t>
      </w:r>
    </w:p>
    <w:bookmarkEnd w:id="153"/>
    <w:bookmarkStart w:id="154" w:name="will-it-give-me-cancer"/>
    <w:p>
      <w:pPr>
        <w:pStyle w:val="Heading3"/>
      </w:pPr>
      <w:r>
        <w:t xml:space="preserve">18 / 19 · 'Will it give me cancer?'</w:t>
      </w:r>
    </w:p>
    <w:p>
      <w:pPr>
        <w:pStyle w:val="FirstParagraph"/>
      </w:pPr>
      <w:r>
        <w:rPr>
          <w:i/>
          <w:iCs/>
        </w:rPr>
        <w:t xml:space="preserve">Your turn · quiz</w:t>
      </w:r>
    </w:p>
    <w:p>
      <w:pPr>
        <w:pStyle w:val="BodyText"/>
      </w:pPr>
      <w:r>
        <w:t xml:space="preserve">One question to close lesson 6.3.</w:t>
      </w:r>
    </w:p>
    <w:p>
      <w:pPr>
        <w:pStyle w:val="BodyText"/>
      </w:pPr>
      <w:r>
        <w:rPr>
          <w:b/>
          <w:bCs/>
        </w:rPr>
        <w:t xml:space="preserve">Q.</w:t>
      </w:r>
      <w:r>
        <w:t xml:space="preserve"> </w:t>
      </w:r>
      <w:r>
        <w:t xml:space="preserve">Fictional chart note: a 44-year-old using an IGF-1 LR3 product bought online asks you directly whether it causes cancer. Which answer keeps the registers apart?</w:t>
      </w:r>
      <w:r>
        <w:t xml:space="preserve"> </w:t>
      </w:r>
      <w:r>
        <w:t xml:space="preserve">- ✗ Yes. IGF-1 drives cell growth, so it causes cancer. —</w:t>
      </w:r>
      <w:r>
        <w:t xml:space="preserve"> </w:t>
      </w:r>
      <w:r>
        <w:rPr>
          <w:i/>
          <w:iCs/>
        </w:rPr>
        <w:t xml:space="preserve">That turns a mechanism into a measured risk. The mechanism is plausible; the effect of this product on cancer has never been studied.</w:t>
      </w:r>
      <w:r>
        <w:t xml:space="preserve"> </w:t>
      </w:r>
      <w:r>
        <w:t xml:space="preserve">- ✔ The mechanism makes it a concern; people with higher natural IGF-1 have slightly higher rates of some cancers; IGF-1 LR3 itself has no human studies, so the risk is plausible and unmeasured. —</w:t>
      </w:r>
      <w:r>
        <w:t xml:space="preserve"> </w:t>
      </w:r>
      <w:r>
        <w:rPr>
          <w:i/>
          <w:iCs/>
        </w:rPr>
        <w:t xml:space="preserve">Correct. Mechanism, observation and the open question, each stated for what it is.</w:t>
      </w:r>
      <w:r>
        <w:t xml:space="preserve"> </w:t>
      </w:r>
      <w:r>
        <w:t xml:space="preserve">- ✗ No. Large studies of growth-hormone treatment found no cancer signal. —</w:t>
      </w:r>
      <w:r>
        <w:t xml:space="preserve"> </w:t>
      </w:r>
      <w:r>
        <w:rPr>
          <w:i/>
          <w:iCs/>
        </w:rPr>
        <w:t xml:space="preserve">Those cohorts studied replacement in children with growth failure, and even they flagged a few signals. They say nothing about an unstudied IGF-1 analogue used for skin.</w:t>
      </w:r>
    </w:p>
    <w:bookmarkEnd w:id="154"/>
    <w:bookmarkStart w:id="155" w:name="X0c99b433cfe667ba336fb94f00f589d98f5be31"/>
    <w:p>
      <w:pPr>
        <w:pStyle w:val="Heading3"/>
      </w:pPr>
      <w:r>
        <w:t xml:space="preserve">19 / 19 · Before my next growth-hormone conversation.</w:t>
      </w:r>
    </w:p>
    <w:p>
      <w:pPr>
        <w:pStyle w:val="FirstParagraph"/>
      </w:pPr>
      <w:r>
        <w:rPr>
          <w:i/>
          <w:iCs/>
        </w:rPr>
        <w:t xml:space="preserve">Closing and commitment · action</w:t>
      </w:r>
    </w:p>
    <w:p>
      <w:pPr>
        <w:pStyle w:val="BodyText"/>
      </w:pPr>
      <w:r>
        <w:t xml:space="preserve">Build the checklist you will actually use. It is saved to your path and your tutor will bring it back.</w:t>
      </w:r>
    </w:p>
    <w:p>
      <w:pPr>
        <w:pStyle w:val="BodyText"/>
      </w:pPr>
      <w:r>
        <w:rPr>
          <w:b/>
          <w:bCs/>
        </w:rPr>
        <w:t xml:space="preserve">Exercise (chips) · Your growth-hormone checklist</w:t>
      </w:r>
      <w:r>
        <w:t xml:space="preserve"> </w:t>
      </w:r>
      <w:r>
        <w:t xml:space="preserve">— Tap everything you will do. Choose as many as you like.</w:t>
      </w:r>
      <w:r>
        <w:t xml:space="preserve"> </w:t>
      </w:r>
      <w:r>
        <w:rPr>
          <w:i/>
          <w:iCs/>
        </w:rPr>
        <w:t xml:space="preserve">Before my next growth-hormone conversation I will …</w:t>
      </w:r>
      <w:r>
        <w:t xml:space="preserve"> </w:t>
      </w:r>
      <w:r>
        <w:t xml:space="preserve">ask exactly which molecule and product · name the approved indication before the grade · check its current US status on the live FDA lists · look for swelling, tingling, sweating and new skin tags · document what I advised and why · send suspected GH excess to a prescriber or endocrinology</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checklist ends with assessment: examine for acral and facial change, test or refer, and document the unapproved product and your advice.</w:t>
      </w:r>
      <w:r>
        <w:t xml:space="preserve"> </w:t>
      </w:r>
      <w:r>
        <w:t xml:space="preserve">-</w:t>
      </w:r>
      <w:r>
        <w:t xml:space="preserve"> </w:t>
      </w:r>
      <w:r>
        <w:rPr>
          <w:i/>
          <w:iCs/>
        </w:rPr>
        <w:t xml:space="preserve">Clinical staff:</w:t>
      </w:r>
      <w:r>
        <w:t xml:space="preserve"> </w:t>
      </w:r>
      <w:r>
        <w:t xml:space="preserve">Your checklist ends with escalation: swelling, tingling or new skin changes on a growth-hormone peptide go to the prescriber the same day.</w:t>
      </w:r>
      <w:r>
        <w:t xml:space="preserve"> </w:t>
      </w:r>
      <w:r>
        <w:t xml:space="preserve">-</w:t>
      </w:r>
      <w:r>
        <w:t xml:space="preserve"> </w:t>
      </w:r>
      <w:r>
        <w:rPr>
          <w:i/>
          <w:iCs/>
        </w:rPr>
        <w:t xml:space="preserve">Advisor:</w:t>
      </w:r>
      <w:r>
        <w:t xml:space="preserve"> </w:t>
      </w:r>
      <w:r>
        <w:t xml:space="preserve">Your checklist ends with referral: you can describe the evidence and the US status; anyone injecting these products needs a prescriber.</w:t>
      </w:r>
    </w:p>
    <w:p>
      <w:pPr>
        <w:pStyle w:val="BodyText"/>
      </w:pPr>
      <w:r>
        <w:t xml:space="preserve">Sources: Aesthetic &amp; Regenerative Endocrinology — A Clinician's Pocket Guide 2026 · Katznelson L 2014 · US Food and Drug Administration 2026</w:t>
      </w:r>
    </w:p>
    <w:bookmarkEnd w:id="155"/>
    <w:bookmarkEnd w:id="156"/>
    <w:bookmarkStart w:id="157" w:name="module-check-5"/>
    <w:p>
      <w:pPr>
        <w:pStyle w:val="Heading2"/>
      </w:pPr>
      <w:r>
        <w:t xml:space="preserve">Module check</w:t>
      </w:r>
    </w:p>
    <w:p>
      <w:pPr>
        <w:pStyle w:val="FirstParagraph"/>
      </w:pPr>
      <w:r>
        <w:rPr>
          <w:b/>
          <w:bCs/>
        </w:rPr>
        <w:t xml:space="preserve">Q.</w:t>
      </w:r>
      <w:r>
        <w:t xml:space="preserve"> </w:t>
      </w:r>
      <w:r>
        <w:t xml:space="preserve">Closing Module 6: which statement about tesamorelin keeps the four registers apart?</w:t>
      </w:r>
      <w:r>
        <w:t xml:space="preserve"> </w:t>
      </w:r>
      <w:r>
        <w:t xml:space="preserve">- ✗ Tesamorelin raises growth hormone through the pituitary, so its GRADE A covers skin ageing. —</w:t>
      </w:r>
      <w:r>
        <w:t xml:space="preserve"> </w:t>
      </w:r>
      <w:r>
        <w:rPr>
          <w:i/>
          <w:iCs/>
        </w:rPr>
        <w:t xml:space="preserve">That stretches a mechanism and an indication-specific grade to a use no trial has tested.</w:t>
      </w:r>
      <w:r>
        <w:t xml:space="preserve"> </w:t>
      </w:r>
      <w:r>
        <w:t xml:space="preserve">- ✔ GHRH-receptor agonist (mechanism); GRADE A for HIV-associated abdominal fat (human evidence); FDA-approved in the US for that use since 2010 (regulatory status); whether sustained IGF-1 elevation carries long-term risk is unknown (open question). —</w:t>
      </w:r>
      <w:r>
        <w:t xml:space="preserve"> </w:t>
      </w:r>
      <w:r>
        <w:rPr>
          <w:i/>
          <w:iCs/>
        </w:rPr>
        <w:t xml:space="preserve">Correct. Four separate answers, each with its own source.</w:t>
      </w:r>
      <w:r>
        <w:t xml:space="preserve"> </w:t>
      </w:r>
      <w:r>
        <w:t xml:space="preserve">- ✗ Because it is FDA-approved, tesamorelin is safe to use for skin. —</w:t>
      </w:r>
      <w:r>
        <w:t xml:space="preserve"> </w:t>
      </w:r>
      <w:r>
        <w:rPr>
          <w:i/>
          <w:iCs/>
        </w:rPr>
        <w:t xml:space="preserve">Approval covers one indication, and its own label lists raised IGF-1, fluid retention and glucose intolerance.</w:t>
      </w:r>
    </w:p>
    <w:p>
      <w:r>
        <w:pict>
          <v:rect style="width:0;height:1.5pt" o:hralign="center" o:hrstd="t" o:hr="t"/>
        </w:pict>
      </w:r>
    </w:p>
    <w:bookmarkEnd w:id="157"/>
    <w:bookmarkEnd w:id="158"/>
    <w:bookmarkStart w:id="185" w:name="Xe8c7545b6b7f980972282acde12209c0dba2287"/>
    <w:p>
      <w:pPr>
        <w:pStyle w:val="Heading1"/>
      </w:pPr>
      <w:r>
        <w:t xml:space="preserve">Hormones and Peptides for Skin · Module 07 — review draft</w:t>
      </w:r>
    </w:p>
    <w:p>
      <w:pPr>
        <w:pStyle w:val="FirstParagraph"/>
      </w:pPr>
      <w:r>
        <w:rPr>
          <w:i/>
          <w:iCs/>
        </w:rPr>
        <w:t xml:space="preserve">approved · authored 2026-09-24 · 20 moments, ~27 min + module check · 37 sources · 20 claims</w:t>
      </w:r>
    </w:p>
    <w:p>
      <w:pPr>
        <w:pStyle w:val="BodyText"/>
      </w:pPr>
      <w:r>
        <w:t xml:space="preserve">Every factual sentence traces to the graded registry (</w:t>
      </w:r>
      <w:r>
        <w:rPr>
          <w:rStyle w:val="VerbatimChar"/>
        </w:rPr>
        <w:t xml:space="preserve">citations/m07.md</w:t>
      </w:r>
      <w:r>
        <w:t xml:space="preserve">). Moments marked</w:t>
      </w:r>
      <w:r>
        <w:t xml:space="preserve"> </w:t>
      </w:r>
      <w:r>
        <w:rPr>
          <w:b/>
          <w:bCs/>
        </w:rPr>
        <w:t xml:space="preserve">By role</w:t>
      </w:r>
      <w:r>
        <w:t xml:space="preserve"> </w:t>
      </w:r>
      <w:r>
        <w:t xml:space="preserve">carry the prescriber · clinical staff · advisor versions of the practice guidance; grades and regulatory facts never change by role.</w:t>
      </w:r>
    </w:p>
    <w:bookmarkStart w:id="165" w:name="Xedd1554cfa136123dd227fcf3bc2d148ccb01ac"/>
    <w:p>
      <w:pPr>
        <w:pStyle w:val="Heading2"/>
      </w:pPr>
      <w:r>
        <w:t xml:space="preserve">Lesson 7.1 · Grading the evidence behind an aesthetic claim</w:t>
      </w:r>
    </w:p>
    <w:bookmarkStart w:id="159" w:name="grade-it-check-it-write-it-down."/>
    <w:p>
      <w:pPr>
        <w:pStyle w:val="Heading3"/>
      </w:pPr>
      <w:r>
        <w:t xml:space="preserve">01 / 20 · Grade it, check it, write it down.</w:t>
      </w:r>
    </w:p>
    <w:p>
      <w:pPr>
        <w:pStyle w:val="FirstParagraph"/>
      </w:pPr>
      <w:r>
        <w:rPr>
          <w:i/>
          <w:iCs/>
        </w:rPr>
        <w:t xml:space="preserve">Module 07 · Evidence, regulation and compliance · title</w:t>
      </w:r>
    </w:p>
    <w:p>
      <w:pPr>
        <w:pStyle w:val="BodyText"/>
      </w:pPr>
      <w:r>
        <w:t xml:space="preserve">This last module turns the course into three habits. You will rate the certainty behind a claim with GRADE, read a compounding status and a certificate of analysis for what they do and do not prove, and write the consent and chart note that an unapproved product needs. The regulatory detail is US; UK and EU mapping for this course is still in progress.</w:t>
      </w:r>
    </w:p>
    <w:p>
      <w:pPr>
        <w:pStyle w:val="Compact"/>
        <w:numPr>
          <w:ilvl w:val="0"/>
          <w:numId w:val="1056"/>
        </w:numPr>
      </w:pPr>
      <w:r>
        <w:t xml:space="preserve">7.1 Grading the evidence behind an aesthetic claim</w:t>
      </w:r>
    </w:p>
    <w:p>
      <w:pPr>
        <w:pStyle w:val="Compact"/>
        <w:numPr>
          <w:ilvl w:val="0"/>
          <w:numId w:val="1056"/>
        </w:numPr>
      </w:pPr>
      <w:r>
        <w:t xml:space="preserve">7.2 Compounding law, the 40-amino-acid line and certificates of analysis</w:t>
      </w:r>
    </w:p>
    <w:p>
      <w:pPr>
        <w:pStyle w:val="Compact"/>
        <w:numPr>
          <w:ilvl w:val="0"/>
          <w:numId w:val="1056"/>
        </w:numPr>
      </w:pPr>
      <w:r>
        <w:t xml:space="preserve">7.3 Cosmetic, compounded or investigational: consent and the chart</w:t>
      </w:r>
    </w:p>
    <w:bookmarkEnd w:id="159"/>
    <w:bookmarkStart w:id="160" w:name="Xf1f737f3136c767c1f12b443976753840513c48"/>
    <w:p>
      <w:pPr>
        <w:pStyle w:val="Heading3"/>
      </w:pPr>
      <w:r>
        <w:t xml:space="preserve">02 / 20 · GRADE rates certainty in an effect, one outcome at a time.</w:t>
      </w:r>
    </w:p>
    <w:p>
      <w:pPr>
        <w:pStyle w:val="FirstParagraph"/>
      </w:pPr>
      <w:r>
        <w:rPr>
          <w:i/>
          <w:iCs/>
        </w:rPr>
        <w:t xml:space="preserve">Lesson 7.1 · Concept · audio</w:t>
      </w:r>
    </w:p>
    <w:p>
      <w:pPr>
        <w:pStyle w:val="BodyText"/>
      </w:pPr>
      <w:r>
        <w:t xml:space="preserve">GRADE sorts the evidence on a specific question into four levels of certainty: high, moderate, low and very low. The rating applies to a body of evidence for one outcome, never to a single study or to a molecule. Randomized trials start high and observational studies start low; certainty then falls for risk of bias, inconsistency, indirectness, imprecision or suspected publication bias, and occasionally rises for a very large effect. Both Hormonaly guides print the letters A to D for the same idea, adapted, and attach each letter to a specific use.</w:t>
      </w:r>
    </w:p>
    <w:p>
      <w:pPr>
        <w:pStyle w:val="Compact"/>
        <w:numPr>
          <w:ilvl w:val="0"/>
          <w:numId w:val="1057"/>
        </w:numPr>
      </w:pPr>
      <w:r>
        <w:t xml:space="preserve">Four levels, applied to a body of evidence</w:t>
      </w:r>
    </w:p>
    <w:p>
      <w:pPr>
        <w:pStyle w:val="Compact"/>
        <w:numPr>
          <w:ilvl w:val="0"/>
          <w:numId w:val="1057"/>
        </w:numPr>
      </w:pPr>
      <w:r>
        <w:t xml:space="preserve">Five named reasons to rate down</w:t>
      </w:r>
    </w:p>
    <w:p>
      <w:pPr>
        <w:pStyle w:val="Compact"/>
        <w:numPr>
          <w:ilvl w:val="0"/>
          <w:numId w:val="1057"/>
        </w:numPr>
      </w:pPr>
      <w:r>
        <w:t xml:space="preserve">The letter belongs to a use, never to a molecule</w:t>
      </w:r>
    </w:p>
    <w:p>
      <w:pPr>
        <w:pStyle w:val="FirstParagraph"/>
      </w:pPr>
      <w:r>
        <w:t xml:space="preserve">Narration script</w:t>
      </w:r>
    </w:p>
    <w:p>
      <w:pPr>
        <w:pStyle w:val="BodyText"/>
      </w:pPr>
      <w:r>
        <w:t xml:space="preserve">Every claim you hear about a skin peptide carries a hidden question. How sure can we be? GRADE answers it with four levels of certainty, from high to very low. The rating belongs to a body of evidence for one outcome, such as wrinkle depth at twelve weeks, and never to a single study or to the molecule itself. Randomized trials start high and observational studies start low. From there, certainty drops for five reasons you can name, which are risk of bias, inconsistency between trials, indirectness, imprecision, and suspected publication bias. It can occasionally rise, for example when an effect is very large. Both Hormonaly guides print a letter from A to D beside each use. Read those letters as the same four levels, adapted. They rate the evidence for that use, and they say nothing about whether a product is legal.</w:t>
      </w:r>
    </w:p>
    <w:p>
      <w:pPr>
        <w:pStyle w:val="BodyText"/>
      </w:pPr>
      <w:r>
        <w:t xml:space="preserve">Sources: Balshem H 2011 · Guyatt GH 2008 · Guyatt G 2025 · The Peptide Pocket Guide — 2026 Edition · Clinical Reference (seventy-two entries) 2026 · Aesthetic &amp; Regenerative Endocrinology — A Clinician's Pocket Guide 2026</w:t>
      </w:r>
    </w:p>
    <w:bookmarkEnd w:id="160"/>
    <w:bookmarkStart w:id="161" w:name="sponsored-studies-come-out-better."/>
    <w:p>
      <w:pPr>
        <w:pStyle w:val="Heading3"/>
      </w:pPr>
      <w:r>
        <w:t xml:space="preserve">03 / 20 · Sponsored studies come out better.</w:t>
      </w:r>
    </w:p>
    <w:p>
      <w:pPr>
        <w:pStyle w:val="FirstParagraph"/>
      </w:pPr>
      <w:r>
        <w:rPr>
          <w:i/>
          <w:iCs/>
        </w:rPr>
        <w:t xml:space="preserve">Who paid · stat</w:t>
      </w:r>
    </w:p>
    <w:p>
      <w:pPr>
        <w:pStyle w:val="BodyText"/>
      </w:pPr>
      <w:r>
        <w:t xml:space="preserve">A Cochrane methodology review brought together 75 papers, each comparing studies sponsored by the manufacturer with studies funded in other ways. Industry-sponsored drug and device studies more often reported favourable efficacy results and favourable conclusions, and the difference was not explained by the usual risk-of-bias checks. It is the pattern you met with oral collagen in module 04.</w:t>
      </w:r>
    </w:p>
    <w:p>
      <w:pPr>
        <w:pStyle w:val="BodyText"/>
      </w:pPr>
      <w:r>
        <w:rPr>
          <w:b/>
          <w:bCs/>
        </w:rPr>
        <w:t xml:space="preserve">1.27</w:t>
      </w:r>
      <w:r>
        <w:t xml:space="preserve"> </w:t>
      </w:r>
      <w:r>
        <w:t xml:space="preserve">— risk ratio for a favourable efficacy result, industry-sponsored versus other studies (Lundh et al., Cochrane 2017 · 95% CI 1.17–1.37 · moderate-certainty evidence)</w:t>
      </w:r>
      <w:r>
        <w:br/>
      </w:r>
      <w:r>
        <w:rPr>
          <w:i/>
          <w:iCs/>
        </w:rPr>
        <w:t xml:space="preserve">Means:</w:t>
      </w:r>
      <w:r>
        <w:t xml:space="preserve"> </w:t>
      </w:r>
      <w:r>
        <w:t xml:space="preserve">When a manufacturer pays for the trial, a favourable result is more likely. Funding is a reason to read a trial harder and to look for independent replication.</w:t>
      </w:r>
      <w:r>
        <w:br/>
      </w:r>
      <w:r>
        <w:rPr>
          <w:i/>
          <w:iCs/>
        </w:rPr>
        <w:t xml:space="preserve">Does not mean:</w:t>
      </w:r>
      <w:r>
        <w:t xml:space="preserve"> </w:t>
      </w:r>
      <w:r>
        <w:t xml:space="preserve">It does not make a sponsored trial wrong or an independent one right. It describes an average tilt across many studies and says nothing about any single product.</w:t>
      </w:r>
    </w:p>
    <w:p>
      <w:pPr>
        <w:pStyle w:val="BodyText"/>
      </w:pPr>
      <w:r>
        <w:t xml:space="preserve">Sources: Lundh A 2017 · Myung SK 2025 · Guyatt G 2025</w:t>
      </w:r>
    </w:p>
    <w:bookmarkEnd w:id="161"/>
    <w:bookmarkStart w:id="162" w:name="name-what-lowers-certainty."/>
    <w:p>
      <w:pPr>
        <w:pStyle w:val="Heading3"/>
      </w:pPr>
      <w:r>
        <w:t xml:space="preserve">04 / 20 · Name what lowers certainty.</w:t>
      </w:r>
    </w:p>
    <w:p>
      <w:pPr>
        <w:pStyle w:val="FirstParagraph"/>
      </w:pPr>
      <w:r>
        <w:rPr>
          <w:i/>
          <w:iCs/>
        </w:rPr>
        <w:t xml:space="preserve">Worked example · tool</w:t>
      </w:r>
    </w:p>
    <w:p>
      <w:pPr>
        <w:pStyle w:val="BodyText"/>
      </w:pPr>
      <w:r>
        <w:t xml:space="preserve">GRADE names the ways a body of evidence can mislead. Read the four you will use most. Then sort four cases from this course by the reason that most lowers certainty. The fifth, publication bias, is suspected when the evidence is a handful of small, mostly commercially funded studies.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Risk of bias</w:t>
            </w:r>
          </w:p>
        </w:tc>
        <w:tc>
          <w:tcPr/>
          <w:p>
            <w:pPr>
              <w:pStyle w:val="Compact"/>
            </w:pPr>
            <w:r>
              <w:t xml:space="preserve">How the trials were run</w:t>
            </w:r>
          </w:p>
        </w:tc>
        <w:tc>
          <w:tcPr/>
          <w:p>
            <w:pPr>
              <w:pStyle w:val="Compact"/>
            </w:pPr>
            <w:r>
              <w:t xml:space="preserve">Flaws in design or conduct that can exaggerate an effect; check whether low- and high-quality trials disagree</w:t>
            </w:r>
          </w:p>
        </w:tc>
      </w:tr>
      <w:tr>
        <w:tc>
          <w:tcPr/>
          <w:p>
            <w:pPr>
              <w:pStyle w:val="Compact"/>
            </w:pPr>
            <w:r>
              <w:t xml:space="preserve">Inconsistency</w:t>
            </w:r>
          </w:p>
        </w:tc>
        <w:tc>
          <w:tcPr/>
          <w:p>
            <w:pPr>
              <w:pStyle w:val="Compact"/>
            </w:pPr>
            <w:r>
              <w:t xml:space="preserve">The trials disagree</w:t>
            </w:r>
          </w:p>
        </w:tc>
        <w:tc>
          <w:tcPr/>
          <w:p>
            <w:pPr>
              <w:pStyle w:val="Compact"/>
            </w:pPr>
            <w:r>
              <w:t xml:space="preserve">Unexplained differences in results between studies of the same question</w:t>
            </w:r>
          </w:p>
        </w:tc>
      </w:tr>
      <w:tr>
        <w:tc>
          <w:tcPr/>
          <w:p>
            <w:pPr>
              <w:pStyle w:val="Compact"/>
            </w:pPr>
            <w:r>
              <w:t xml:space="preserve">Indirectness</w:t>
            </w:r>
          </w:p>
        </w:tc>
        <w:tc>
          <w:tcPr/>
          <w:p>
            <w:pPr>
              <w:pStyle w:val="Compact"/>
            </w:pPr>
            <w:r>
              <w:t xml:space="preserve">A different question answered</w:t>
            </w:r>
          </w:p>
        </w:tc>
        <w:tc>
          <w:tcPr/>
          <w:p>
            <w:pPr>
              <w:pStyle w:val="Compact"/>
            </w:pPr>
            <w:r>
              <w:t xml:space="preserve">The studies differ from your question in population, intervention, comparison or outcome</w:t>
            </w:r>
          </w:p>
        </w:tc>
      </w:tr>
      <w:tr>
        <w:tc>
          <w:tcPr/>
          <w:p>
            <w:pPr>
              <w:pStyle w:val="Compact"/>
            </w:pPr>
            <w:r>
              <w:t xml:space="preserve">Imprecision</w:t>
            </w:r>
          </w:p>
        </w:tc>
        <w:tc>
          <w:tcPr/>
          <w:p>
            <w:pPr>
              <w:pStyle w:val="Compact"/>
            </w:pPr>
            <w:r>
              <w:t xml:space="preserve">Too little data</w:t>
            </w:r>
          </w:p>
        </w:tc>
        <w:tc>
          <w:tcPr/>
          <w:p>
            <w:pPr>
              <w:pStyle w:val="Compact"/>
            </w:pPr>
            <w:r>
              <w:t xml:space="preserve">Too few people or events; the confidence interval spans an important effect and little or none</w:t>
            </w:r>
          </w:p>
        </w:tc>
      </w:tr>
    </w:tbl>
    <w:p>
      <w:pPr>
        <w:pStyle w:val="BodyText"/>
      </w:pPr>
      <w:r>
        <w:rPr>
          <w:b/>
          <w:bCs/>
        </w:rPr>
        <w:t xml:space="preserve">Callout:</w:t>
      </w:r>
      <w:r>
        <w:t xml:space="preserve"> </w:t>
      </w:r>
      <w:r>
        <w:t xml:space="preserve">Name the reason and you can explain a grade to a patient in one sentence.</w:t>
      </w:r>
    </w:p>
    <w:p>
      <w:pPr>
        <w:pStyle w:val="BodyText"/>
      </w:pPr>
      <w:r>
        <w:rPr>
          <w:b/>
          <w:bCs/>
        </w:rPr>
        <w:t xml:space="preserve">Exercise (quickfire) · Name the problem</w:t>
      </w:r>
      <w:r>
        <w:t xml:space="preserve"> </w:t>
      </w:r>
      <w:r>
        <w:t xml:space="preserve">— One case at a time: which reason most lowers certainty here?</w:t>
      </w:r>
      <w:r>
        <w:t xml:space="preserve"> </w:t>
      </w:r>
      <w:r>
        <w:t xml:space="preserve">- Topical GHK-Cu: the only indexed trial measured healing after laser resurfacing. Your patient asks about photoageing. →</w:t>
      </w:r>
      <w:r>
        <w:t xml:space="preserve"> </w:t>
      </w:r>
      <w:r>
        <w:rPr>
          <w:b/>
          <w:bCs/>
        </w:rPr>
        <w:t xml:space="preserve">Indirectness</w:t>
      </w:r>
      <w:r>
        <w:t xml:space="preserve"> </w:t>
      </w:r>
      <w:r>
        <w:t xml:space="preserve">—</w:t>
      </w:r>
      <w:r>
        <w:t xml:space="preserve"> </w:t>
      </w:r>
      <w:r>
        <w:rPr>
          <w:i/>
          <w:iCs/>
        </w:rPr>
        <w:t xml:space="preserve">Indirectness. The trial's outcome, healing after resurfacing, is a neighbour of your patient's question, photoageing, so it answers a different question.</w:t>
      </w:r>
      <w:r>
        <w:t xml:space="preserve"> </w:t>
      </w:r>
      <w:r>
        <w:t xml:space="preserve">- LL-37 in venous leg ulcers: a 34-person trial was positive; a 148-person multicentre trial was negative in its full cohort. →</w:t>
      </w:r>
      <w:r>
        <w:t xml:space="preserve"> </w:t>
      </w:r>
      <w:r>
        <w:rPr>
          <w:b/>
          <w:bCs/>
        </w:rPr>
        <w:t xml:space="preserve">Inconsistency</w:t>
      </w:r>
      <w:r>
        <w:t xml:space="preserve"> </w:t>
      </w:r>
      <w:r>
        <w:t xml:space="preserve">—</w:t>
      </w:r>
      <w:r>
        <w:t xml:space="preserve"> </w:t>
      </w:r>
      <w:r>
        <w:rPr>
          <w:i/>
          <w:iCs/>
        </w:rPr>
        <w:t xml:space="preserve">Inconsistency. Two randomized trials of the same question point in different directions, and the larger one found no effect overall.</w:t>
      </w:r>
      <w:r>
        <w:t xml:space="preserve"> </w:t>
      </w:r>
      <w:r>
        <w:t xml:space="preserve">- Oral collagen: the pooled benefit disappears when only high-quality trials are kept. →</w:t>
      </w:r>
      <w:r>
        <w:t xml:space="preserve"> </w:t>
      </w:r>
      <w:r>
        <w:rPr>
          <w:b/>
          <w:bCs/>
        </w:rPr>
        <w:t xml:space="preserve">Risk of bias</w:t>
      </w:r>
      <w:r>
        <w:t xml:space="preserve"> </w:t>
      </w:r>
      <w:r>
        <w:t xml:space="preserve">—</w:t>
      </w:r>
      <w:r>
        <w:t xml:space="preserve"> </w:t>
      </w:r>
      <w:r>
        <w:rPr>
          <w:i/>
          <w:iCs/>
        </w:rPr>
        <w:t xml:space="preserve">Risk of bias. When low- and high-quality trials disagree, GRADE gives the high-quality ones the weight, and here they show no effect.</w:t>
      </w:r>
      <w:r>
        <w:t xml:space="preserve"> </w:t>
      </w:r>
      <w:r>
        <w:t xml:space="preserve">- BPC-157 for skin healing: the wound data come from animal models, mostly rodents. →</w:t>
      </w:r>
      <w:r>
        <w:t xml:space="preserve"> </w:t>
      </w:r>
      <w:r>
        <w:rPr>
          <w:b/>
          <w:bCs/>
        </w:rPr>
        <w:t xml:space="preserve">Indirectness</w:t>
      </w:r>
      <w:r>
        <w:t xml:space="preserve"> </w:t>
      </w:r>
      <w:r>
        <w:t xml:space="preserve">—</w:t>
      </w:r>
      <w:r>
        <w:t xml:space="preserve"> </w:t>
      </w:r>
      <w:r>
        <w:rPr>
          <w:i/>
          <w:iCs/>
        </w:rPr>
        <w:t xml:space="preserve">Indirectness. The population is animals and your question is about people, as indirect as evidence gets.</w:t>
      </w:r>
    </w:p>
    <w:p>
      <w:pPr>
        <w:pStyle w:val="BodyText"/>
      </w:pPr>
      <w:r>
        <w:t xml:space="preserve">Sources: Guyatt G 2025 · Guyatt G 2025 · Guyatt G 2025 · Guyatt G 2025 · Miller TR 2006 · Grönberg A 2014 · Mahlapuu M 2021 · Myung SK 2025 · Seiwerth S 2021</w:t>
      </w:r>
    </w:p>
    <w:bookmarkEnd w:id="162"/>
    <w:bookmarkStart w:id="163" w:name="two-checks-never-one."/>
    <w:p>
      <w:pPr>
        <w:pStyle w:val="Heading3"/>
      </w:pPr>
      <w:r>
        <w:t xml:space="preserve">05 / 20 · Two checks, never one.</w:t>
      </w:r>
    </w:p>
    <w:p>
      <w:pPr>
        <w:pStyle w:val="FirstParagraph"/>
      </w:pPr>
      <w:r>
        <w:rPr>
          <w:i/>
          <w:iCs/>
        </w:rPr>
        <w:t xml:space="preserve">What changes in practice · audio</w:t>
      </w:r>
    </w:p>
    <w:p>
      <w:pPr>
        <w:pStyle w:val="BodyText"/>
      </w:pPr>
      <w:r>
        <w:t xml:space="preserve">Evidence grade and regulatory status are separate axes, and both Hormonaly guides ask you to clear both. An approved drug can carry a low grade for the use a patient wants, and a compound with stronger human data can still have no lawful route. A plausible mechanism never raises a grade. Say the outcome, the grade and who ran the trials, then check the status as its own step.</w:t>
      </w:r>
    </w:p>
    <w:p>
      <w:pPr>
        <w:pStyle w:val="Compact"/>
        <w:numPr>
          <w:ilvl w:val="0"/>
          <w:numId w:val="1058"/>
        </w:numPr>
      </w:pPr>
      <w:r>
        <w:t xml:space="preserve">Grade: certainty for this outcome</w:t>
      </w:r>
    </w:p>
    <w:p>
      <w:pPr>
        <w:pStyle w:val="Compact"/>
        <w:numPr>
          <w:ilvl w:val="0"/>
          <w:numId w:val="1058"/>
        </w:numPr>
      </w:pPr>
      <w:r>
        <w:t xml:space="preserve">Status: what the law allows, checked separately</w:t>
      </w:r>
    </w:p>
    <w:p>
      <w:pPr>
        <w:pStyle w:val="Compact"/>
        <w:numPr>
          <w:ilvl w:val="0"/>
          <w:numId w:val="1058"/>
        </w:numPr>
      </w:pPr>
      <w:r>
        <w:t xml:space="preserve">Mechanism never raises a grade</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Before you recommend or prescribe, write the outcome and its grade in the note, and record the product's regulatory status on a separate line. If no trial addresses the outcome the patient wants, say so and record it.</w:t>
      </w:r>
      <w:r>
        <w:t xml:space="preserve"> </w:t>
      </w:r>
      <w:r>
        <w:t xml:space="preserve">-</w:t>
      </w:r>
      <w:r>
        <w:t xml:space="preserve"> </w:t>
      </w:r>
      <w:r>
        <w:rPr>
          <w:i/>
          <w:iCs/>
        </w:rPr>
        <w:t xml:space="preserve">Clinical staff:</w:t>
      </w:r>
      <w:r>
        <w:t xml:space="preserve"> </w:t>
      </w:r>
      <w:r>
        <w:t xml:space="preserve">When a patient quotes a result, note which outcome it was and where it came from, and pass questions about grades and status to the prescriber rather than rating the product yourself.</w:t>
      </w:r>
      <w:r>
        <w:t xml:space="preserve"> </w:t>
      </w:r>
      <w:r>
        <w:t xml:space="preserve">-</w:t>
      </w:r>
      <w:r>
        <w:t xml:space="preserve"> </w:t>
      </w:r>
      <w:r>
        <w:rPr>
          <w:i/>
          <w:iCs/>
        </w:rPr>
        <w:t xml:space="preserve">Advisor:</w:t>
      </w:r>
      <w:r>
        <w:t xml:space="preserve"> </w:t>
      </w:r>
      <w:r>
        <w:t xml:space="preserve">Describe what a product has been shown to do, for which outcome, and who funded the trials. Leave the question of whether it can lawfully be prescribed to a prescriber.</w:t>
      </w:r>
    </w:p>
    <w:p>
      <w:pPr>
        <w:pStyle w:val="BodyText"/>
      </w:pPr>
      <w:r>
        <w:t xml:space="preserve">Narration script</w:t>
      </w:r>
    </w:p>
    <w:p>
      <w:pPr>
        <w:pStyle w:val="BodyText"/>
      </w:pPr>
      <w:r>
        <w:t xml:space="preserve">Suppose a patient asks whether a peptide works. Start with the outcome they care about, say fewer lines around the eyes, and give the certainty for that outcome, along with who paid for the trials behind it. Then, as a separate step, check what the product legally is. The Hormonaly guides keep these two checks apart for a reason. An approved drug can carry a low grade for the particular use a patient has in mind, and a compound with stronger human data may still have no lawful route in the United States. A persuasive mechanism leaves the grade exactly where it is. Whatever your role, say the outcome and the grade in one breath, and treat the regulatory answer as a question of its own.</w:t>
      </w:r>
    </w:p>
    <w:p>
      <w:pPr>
        <w:pStyle w:val="BodyText"/>
      </w:pPr>
      <w:r>
        <w:t xml:space="preserve">Sources: The Peptide Pocket Guide — 2026 Edition · Clinical Reference (seventy-two entries) 2026 · Aesthetic &amp; Regenerative Endocrinology — A Clinician's Pocket Guide 2026 · Balshem H 2011 · Lundh A 2017</w:t>
      </w:r>
    </w:p>
    <w:bookmarkEnd w:id="163"/>
    <w:bookmarkStart w:id="164" w:name="three-trials-grade-a"/>
    <w:p>
      <w:pPr>
        <w:pStyle w:val="Heading3"/>
      </w:pPr>
      <w:r>
        <w:t xml:space="preserve">06 / 20 · Three trials, grade A?</w:t>
      </w:r>
    </w:p>
    <w:p>
      <w:pPr>
        <w:pStyle w:val="FirstParagraph"/>
      </w:pPr>
      <w:r>
        <w:rPr>
          <w:i/>
          <w:iCs/>
        </w:rPr>
        <w:t xml:space="preserve">Your turn · quiz</w:t>
      </w:r>
    </w:p>
    <w:p>
      <w:pPr>
        <w:pStyle w:val="BodyText"/>
      </w:pPr>
      <w:r>
        <w:t xml:space="preserve">One question to close lesson 7.1.</w:t>
      </w:r>
    </w:p>
    <w:p>
      <w:pPr>
        <w:pStyle w:val="BodyText"/>
      </w:pPr>
      <w:r>
        <w:rPr>
          <w:b/>
          <w:bCs/>
        </w:rPr>
        <w:t xml:space="preserve">Q.</w:t>
      </w:r>
      <w:r>
        <w:t xml:space="preserve"> </w:t>
      </w:r>
      <w:r>
        <w:t xml:space="preserve">A fictional serum's brochure says 'GRADE A: three randomized trials'. All three were run by the maker, enrolled 20 to 30 people each, lasted four weeks and measured skin hydration. Your patient wants fewer wrinkles. What is the most defensible certainty for that outcome?</w:t>
      </w:r>
      <w:r>
        <w:t xml:space="preserve"> </w:t>
      </w:r>
      <w:r>
        <w:t xml:space="preserve">- ✗ High, because three randomized trials agree. —</w:t>
      </w:r>
      <w:r>
        <w:t xml:space="preserve"> </w:t>
      </w:r>
      <w:r>
        <w:rPr>
          <w:i/>
          <w:iCs/>
        </w:rPr>
        <w:t xml:space="preserve">Randomized trials start high, but these are small, sponsor-run and measured a different outcome, and each of those lowers certainty.</w:t>
      </w:r>
      <w:r>
        <w:t xml:space="preserve"> </w:t>
      </w:r>
      <w:r>
        <w:t xml:space="preserve">- ✔ Low or very low: small sponsor-run trials that measured hydration, not wrinkles. —</w:t>
      </w:r>
      <w:r>
        <w:t xml:space="preserve"> </w:t>
      </w:r>
      <w:r>
        <w:rPr>
          <w:i/>
          <w:iCs/>
        </w:rPr>
        <w:t xml:space="preserve">Correct. Indirectness (the wrong outcome), imprecision (few people) and suspected publication bias (small industry-funded studies) all rate it down.</w:t>
      </w:r>
      <w:r>
        <w:t xml:space="preserve"> </w:t>
      </w:r>
      <w:r>
        <w:t xml:space="preserve">- ✗ It cannot be graded, because industry-funded trials are invalid. —</w:t>
      </w:r>
      <w:r>
        <w:t xml:space="preserve"> </w:t>
      </w:r>
      <w:r>
        <w:rPr>
          <w:i/>
          <w:iCs/>
        </w:rPr>
        <w:t xml:space="preserve">Sponsored trials are still evidence. Funding is a reason to rate cautiously and to look for replication; it never deletes a trial.</w:t>
      </w:r>
    </w:p>
    <w:bookmarkEnd w:id="164"/>
    <w:bookmarkEnd w:id="165"/>
    <w:bookmarkStart w:id="174" w:name="Xf5176edd93e4a5c8395d3707e9b4f71345197e8"/>
    <w:p>
      <w:pPr>
        <w:pStyle w:val="Heading2"/>
      </w:pPr>
      <w:r>
        <w:t xml:space="preserve">Lesson 7.2 · Compounding law, the 40-amino-acid line and certificates of analysis</w:t>
      </w:r>
    </w:p>
    <w:bookmarkStart w:id="166" w:name="two-compounding-routes-one-strict-order."/>
    <w:p>
      <w:pPr>
        <w:pStyle w:val="Heading3"/>
      </w:pPr>
      <w:r>
        <w:t xml:space="preserve">07 / 20 · Two compounding routes, one strict order.</w:t>
      </w:r>
    </w:p>
    <w:p>
      <w:pPr>
        <w:pStyle w:val="FirstParagraph"/>
      </w:pPr>
      <w:r>
        <w:rPr>
          <w:i/>
          <w:iCs/>
        </w:rPr>
        <w:t xml:space="preserve">Lesson 7.2 · Concept · audio</w:t>
      </w:r>
    </w:p>
    <w:p>
      <w:pPr>
        <w:pStyle w:val="BodyText"/>
      </w:pPr>
      <w:r>
        <w:t xml:space="preserve">In the US, section 503A lets a licensed pharmacist or physician compound for an identified patient on a prescription, exempt from new-drug approval, adequate directions for use and good manufacturing practice. The bulk substance must meet a USP or NF monograph; failing that, be a component of an approved drug; failing that, appear on FDA's 503A bulks list. It must also come from an FDA-registered establishment with a valid certificate of analysis. Section 503B outsourcing facilities register with FDA, work to good manufacturing practice under inspection, and may compound without patient-specific prescriptions.</w:t>
      </w:r>
    </w:p>
    <w:p>
      <w:pPr>
        <w:pStyle w:val="Compact"/>
        <w:numPr>
          <w:ilvl w:val="0"/>
          <w:numId w:val="1059"/>
        </w:numPr>
      </w:pPr>
      <w:r>
        <w:t xml:space="preserve">503A: patient-specific, three exemptions</w:t>
      </w:r>
    </w:p>
    <w:p>
      <w:pPr>
        <w:pStyle w:val="Compact"/>
        <w:numPr>
          <w:ilvl w:val="0"/>
          <w:numId w:val="1059"/>
        </w:numPr>
      </w:pPr>
      <w:r>
        <w:t xml:space="preserve">Monograph, then approved component, then the bulks list</w:t>
      </w:r>
    </w:p>
    <w:p>
      <w:pPr>
        <w:pStyle w:val="Compact"/>
        <w:numPr>
          <w:ilvl w:val="0"/>
          <w:numId w:val="1059"/>
        </w:numPr>
      </w:pPr>
      <w:r>
        <w:t xml:space="preserve">503B: registered, inspected, held to good manufacturing practice</w:t>
      </w:r>
    </w:p>
    <w:p>
      <w:pPr>
        <w:pStyle w:val="FirstParagraph"/>
      </w:pPr>
      <w:r>
        <w:t xml:space="preserve">Narration script</w:t>
      </w:r>
    </w:p>
    <w:p>
      <w:pPr>
        <w:pStyle w:val="BodyText"/>
      </w:pPr>
      <w:r>
        <w:t xml:space="preserve">Two routes exist for compounding in the United States, and the difference between them shapes the rest of this lesson. Under section 503A, a licensed pharmacist or physician prepares a drug for an identified patient on a prescription. If the conditions are met, the product escapes three requirements, namely approval as a new drug, labelling with adequate directions, and good manufacturing practice. The conditions start with the substance itself, taken in strict order. A USP or National Formulary monograph comes first. Only when there is none can it be a component of an approved drug, and only when neither applies can it sit on FDA's 503A bulks list. The substance must also come from a registered manufacturer with a valid certificate of analysis. Section 503B outsourcing facilities work differently. They register with FDA, work to good manufacturing practice, face risk-based inspection, and can compound without a prescription for each patient. Their products remain unapproved.</w:t>
      </w:r>
    </w:p>
    <w:p>
      <w:pPr>
        <w:pStyle w:val="BodyText"/>
      </w:pPr>
      <w:r>
        <w:t xml:space="preserve">Sources: United States Code (as codified) 2026 · US Food and Drug Administration 2026 · United States Code (as codified) 2026 · US Food and Drug Administration 2022</w:t>
      </w:r>
    </w:p>
    <w:bookmarkEnd w:id="166"/>
    <w:bookmarkStart w:id="167" w:name="X6a4a02fbc04f985bae7952ea7d80ae1bf8acfec"/>
    <w:p>
      <w:pPr>
        <w:pStyle w:val="Heading3"/>
      </w:pPr>
      <w:r>
        <w:t xml:space="preserve">08 / 20 · A short list, three categories and a withdrawn table.</w:t>
      </w:r>
    </w:p>
    <w:p>
      <w:pPr>
        <w:pStyle w:val="FirstParagraph"/>
      </w:pPr>
      <w:r>
        <w:rPr>
          <w:i/>
          <w:iCs/>
        </w:rPr>
        <w:t xml:space="preserve">Regulatory status (US) · tool</w:t>
      </w:r>
    </w:p>
    <w:p>
      <w:pPr>
        <w:pStyle w:val="BodyText"/>
      </w:pPr>
      <w:r>
        <w:t xml:space="preserve">Dated to FDA's records as checked in September 2026. The bulks list is law, changed only by rulemaking; the categories are FDA's interim enforcement posture while nominations are evaluated. Neither is an approval.</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503A bulks list (21 CFR 216.23)</w:t>
            </w:r>
          </w:p>
        </w:tc>
        <w:tc>
          <w:tcPr/>
          <w:p>
            <w:pPr>
              <w:pStyle w:val="Compact"/>
            </w:pPr>
            <w:r>
              <w:t xml:space="preserve">Six substances, none a peptide</w:t>
            </w:r>
          </w:p>
        </w:tc>
        <w:tc>
          <w:tcPr/>
          <w:p>
            <w:pPr>
              <w:pStyle w:val="Compact"/>
            </w:pPr>
            <w:r>
              <w:t xml:space="preserve">Unchanged since 2019. Listing carries no FDA endorsement of safety or efficacy.</w:t>
            </w:r>
          </w:p>
        </w:tc>
      </w:tr>
      <w:tr>
        <w:tc>
          <w:tcPr/>
          <w:p>
            <w:pPr>
              <w:pStyle w:val="Compact"/>
            </w:pPr>
            <w:r>
              <w:t xml:space="preserve">Category 1</w:t>
            </w:r>
          </w:p>
        </w:tc>
        <w:tc>
          <w:tcPr/>
          <w:p>
            <w:pPr>
              <w:pStyle w:val="Compact"/>
            </w:pPr>
            <w:r>
              <w:t xml:space="preserve">Under evaluation</w:t>
            </w:r>
          </w:p>
        </w:tc>
        <w:tc>
          <w:tcPr/>
          <w:p>
            <w:pPr>
              <w:pStyle w:val="Compact"/>
            </w:pPr>
            <w:r>
              <w:t xml:space="preserve">FDA does not intend to act against compounders who meet its conditions. GHK-Cu for non-injectable routes is here (list of 14 May 2026).</w:t>
            </w:r>
          </w:p>
        </w:tc>
      </w:tr>
      <w:tr>
        <w:tc>
          <w:tcPr/>
          <w:p>
            <w:pPr>
              <w:pStyle w:val="Compact"/>
            </w:pPr>
            <w:r>
              <w:t xml:space="preserve">Category 2</w:t>
            </w:r>
          </w:p>
        </w:tc>
        <w:tc>
          <w:tcPr/>
          <w:p>
            <w:pPr>
              <w:pStyle w:val="Compact"/>
            </w:pPr>
            <w:r>
              <w:t xml:space="preserve">Significant safety risks</w:t>
            </w:r>
          </w:p>
        </w:tc>
        <w:tc>
          <w:tcPr/>
          <w:p>
            <w:pPr>
              <w:pStyle w:val="Compact"/>
            </w:pPr>
            <w:r>
              <w:t xml:space="preserve">Six substances under 503A as of 14 May 2026, kisspeptin-10 among them.</w:t>
            </w:r>
          </w:p>
        </w:tc>
      </w:tr>
      <w:tr>
        <w:tc>
          <w:tcPr/>
          <w:p>
            <w:pPr>
              <w:pStyle w:val="Compact"/>
            </w:pPr>
            <w:r>
              <w:t xml:space="preserve">Withdrawn nominations</w:t>
            </w:r>
          </w:p>
        </w:tc>
        <w:tc>
          <w:tcPr/>
          <w:p>
            <w:pPr>
              <w:pStyle w:val="Compact"/>
            </w:pPr>
            <w:r>
              <w:t xml:space="preserve">In no category</w:t>
            </w:r>
          </w:p>
        </w:tc>
        <w:tc>
          <w:tcPr/>
          <w:p>
            <w:pPr>
              <w:pStyle w:val="Compact"/>
            </w:pPr>
            <w:r>
              <w:t xml:space="preserve">BPC-157, TB-500, KPV, injectable GHK-Cu, LL-37 and melanotan II among them. FDA's safety concerns stay posted; withdrawal is not clearance.</w:t>
            </w:r>
          </w:p>
        </w:tc>
      </w:tr>
      <w:tr>
        <w:tc>
          <w:tcPr/>
          <w:p>
            <w:pPr>
              <w:pStyle w:val="Compact"/>
            </w:pPr>
            <w:r>
              <w:t xml:space="preserve">July 2026 advisory committee</w:t>
            </w:r>
          </w:p>
        </w:tc>
        <w:tc>
          <w:tcPr/>
          <w:p>
            <w:pPr>
              <w:pStyle w:val="Compact"/>
            </w:pPr>
            <w:r>
              <w:t xml:space="preserve">Advice only</w:t>
            </w:r>
          </w:p>
        </w:tc>
        <w:tc>
          <w:tcPr/>
          <w:p>
            <w:pPr>
              <w:pStyle w:val="Compact"/>
            </w:pPr>
            <w:r>
              <w:t xml:space="preserve">FDA staff concluded the criteria weigh against listing BPC-157. Only rulemaking changes the list.</w:t>
            </w:r>
          </w:p>
        </w:tc>
      </w:tr>
    </w:tbl>
    <w:p>
      <w:pPr>
        <w:pStyle w:val="BodyText"/>
      </w:pPr>
      <w:r>
        <w:rPr>
          <w:b/>
          <w:bCs/>
        </w:rPr>
        <w:t xml:space="preserve">Callout:</w:t>
      </w:r>
      <w:r>
        <w:t xml:space="preserve"> </w:t>
      </w:r>
      <w:r>
        <w:t xml:space="preserve">Check the live list on the day you prescribe. GHK-Cu alone moved twice in April and May 2026.</w:t>
      </w:r>
    </w:p>
    <w:p>
      <w:pPr>
        <w:pStyle w:val="BodyText"/>
      </w:pPr>
      <w:r>
        <w:t xml:space="preserve">Sources: US Food and Drug Administration (Code of Federal Regulations) 2019 · US Food and Drug Administration 2026 · US Food and Drug Administration 2026 · US Food and Drug Administration 2026 · US Food and Drug Administration 2026 · US Food and Drug Administration 2026</w:t>
      </w:r>
    </w:p>
    <w:bookmarkEnd w:id="167"/>
    <w:bookmarkStart w:id="168" w:name="forty-amino-acids."/>
    <w:p>
      <w:pPr>
        <w:pStyle w:val="Heading3"/>
      </w:pPr>
      <w:r>
        <w:t xml:space="preserve">09 / 20 · Forty amino acids.</w:t>
      </w:r>
    </w:p>
    <w:p>
      <w:pPr>
        <w:pStyle w:val="FirstParagraph"/>
      </w:pPr>
      <w:r>
        <w:rPr>
          <w:i/>
          <w:iCs/>
        </w:rPr>
        <w:t xml:space="preserve">Peptide or biologic · stat</w:t>
      </w:r>
    </w:p>
    <w:p>
      <w:pPr>
        <w:pStyle w:val="BodyText"/>
      </w:pPr>
      <w:r>
        <w:t xml:space="preserve">Since 23 March 2020 FDA defines a protein as an alpha amino acid polymer of more than 40 amino acids, whether or not it is chemically synthesized, so anything above the line is a biological product. On that date tesamorelin, a 44-residue GHRH analogue, and the enzyme hyaluronidase moved to biologics licences, and FDA told compounders that transitioned biologics cannot use the 503A or 503B exemptions.</w:t>
      </w:r>
    </w:p>
    <w:p>
      <w:pPr>
        <w:pStyle w:val="BodyText"/>
      </w:pPr>
      <w:r>
        <w:rPr>
          <w:b/>
          <w:bCs/>
        </w:rPr>
        <w:t xml:space="preserve">40</w:t>
      </w:r>
      <w:r>
        <w:t xml:space="preserve"> </w:t>
      </w:r>
      <w:r>
        <w:t xml:space="preserve">— amino acids: above this, FDA treats the molecule as a protein, and so as a biological product (85 FR 10057, effective 23 March 2020 · tesamorelin (44 residues) and hyaluronidase moved to biologics licences)</w:t>
      </w:r>
      <w:r>
        <w:br/>
      </w:r>
      <w:r>
        <w:rPr>
          <w:i/>
          <w:iCs/>
        </w:rPr>
        <w:t xml:space="preserve">Means:</w:t>
      </w:r>
      <w:r>
        <w:t xml:space="preserve"> </w:t>
      </w:r>
      <w:r>
        <w:t xml:space="preserve">Size decides the rulebook. Peptides of 40 or fewer alpha amino acids stay drugs, so the 503A questions apply; above 40 the product is a biologic, and the compounding exemptions are closed to it.</w:t>
      </w:r>
      <w:r>
        <w:br/>
      </w:r>
      <w:r>
        <w:rPr>
          <w:i/>
          <w:iCs/>
        </w:rPr>
        <w:t xml:space="preserve">Does not mean:</w:t>
      </w:r>
      <w:r>
        <w:t xml:space="preserve"> </w:t>
      </w:r>
      <w:r>
        <w:t xml:space="preserve">It does not make a short peptide lawful to compound; BPC-157 (15 residues) and GHK (3) still need a 503A route. How residues are counted can be contested: a court upheld FDA's count of 39 for retatrutide in 2025, and the appeal was still open at the latest filings (June 2026).</w:t>
      </w:r>
    </w:p>
    <w:p>
      <w:pPr>
        <w:pStyle w:val="BodyText"/>
      </w:pPr>
      <w:r>
        <w:t xml:space="preserve">Sources: egrifta-wr-label-2026 · US Food and Drug Administration 2020 · US Food and Drug Administration 2020 · US Food and Drug Administration 2020 · The Peptide Pocket Guide — 2026 Edition · Clinical Reference (seventy-two entries) 2026 · US District Court 2025 · US Court of Appeals for the Seventh Circuit 2026</w:t>
      </w:r>
    </w:p>
    <w:bookmarkEnd w:id="168"/>
    <w:bookmarkStart w:id="169" w:name="what-a-certificate-can-and-cannot-prove."/>
    <w:p>
      <w:pPr>
        <w:pStyle w:val="Heading3"/>
      </w:pPr>
      <w:r>
        <w:t xml:space="preserve">10 / 20 · What a certificate can and cannot prove.</w:t>
      </w:r>
    </w:p>
    <w:p>
      <w:pPr>
        <w:pStyle w:val="FirstParagraph"/>
      </w:pPr>
      <w:r>
        <w:rPr>
          <w:i/>
          <w:iCs/>
        </w:rPr>
        <w:t xml:space="preserve">Concept · audio</w:t>
      </w:r>
    </w:p>
    <w:p>
      <w:pPr>
        <w:pStyle w:val="BodyText"/>
      </w:pPr>
      <w:r>
        <w:t xml:space="preserve">A certificate of analysis is the supplier's own report on a named lot. Mass spectrometry checks identity, and a careful certificate prints the expected mass beside the observed one. HPLC gives purity as a percentage, which says nothing about what the impurities are. Endotoxin, microbial, water, counter-ion, metal and solvent results complete it. A certificate cannot prove that the vial in your hand came from that lot, how it was stored since, or that it is sterile and suitable to inject.</w:t>
      </w:r>
    </w:p>
    <w:p>
      <w:pPr>
        <w:pStyle w:val="Compact"/>
        <w:numPr>
          <w:ilvl w:val="0"/>
          <w:numId w:val="1060"/>
        </w:numPr>
      </w:pPr>
      <w:r>
        <w:t xml:space="preserve">Identity: mass spectrometry, observed against expected</w:t>
      </w:r>
    </w:p>
    <w:p>
      <w:pPr>
        <w:pStyle w:val="Compact"/>
        <w:numPr>
          <w:ilvl w:val="0"/>
          <w:numId w:val="1060"/>
        </w:numPr>
      </w:pPr>
      <w:r>
        <w:t xml:space="preserve">Purity: an HPLC percentage, impurities unnamed</w:t>
      </w:r>
    </w:p>
    <w:p>
      <w:pPr>
        <w:pStyle w:val="Compact"/>
        <w:numPr>
          <w:ilvl w:val="0"/>
          <w:numId w:val="1060"/>
        </w:numPr>
      </w:pPr>
      <w:r>
        <w:t xml:space="preserve">Suitability to inject needs sterility, endotoxin and the right lot</w:t>
      </w:r>
    </w:p>
    <w:p>
      <w:pPr>
        <w:pStyle w:val="FirstParagraph"/>
      </w:pPr>
      <w:r>
        <w:t xml:space="preserve">Narration script</w:t>
      </w:r>
    </w:p>
    <w:p>
      <w:pPr>
        <w:pStyle w:val="BodyText"/>
      </w:pPr>
      <w:r>
        <w:t xml:space="preserve">Picture the certificate a patient hands you, and read it line by line, asking what each line actually tests. Mass spectrometry checks identity, and a careful certificate shows the expected mass next to the one measured. HPLC reports purity as a percentage of the main peak, which tells you how much else is present and nothing about what that something else is. Endotoxin matters for anything injected, and FDA's guidance says the acceptable limit is calculated from the dose and the route, so a bare figure settles little. When FDA reviewed BPC-157 for its advisory committee, most public certificates listed purity alone, and the one a nominator supplied mentioned no endotoxin test. Then remember what paper cannot do. A certificate describes a lot. It cannot show that your vial came from that lot, how the vial was stored, or that it is sterile.</w:t>
      </w:r>
    </w:p>
    <w:p>
      <w:pPr>
        <w:pStyle w:val="BodyText"/>
      </w:pPr>
      <w:r>
        <w:t xml:space="preserve">Sources: The Peptide Pocket Guide — 2026 Edition · Clinical Reference (seventy-two entries) 2026 · US Food and Drug Administration 2026 · US Food and Drug Administration 2026 · Popławska M 2019 · United States Code (as codified) 2026</w:t>
      </w:r>
    </w:p>
    <w:bookmarkEnd w:id="169"/>
    <w:bookmarkStart w:id="170" w:name="audit-this-certificate."/>
    <w:p>
      <w:pPr>
        <w:pStyle w:val="Heading3"/>
      </w:pPr>
      <w:r>
        <w:t xml:space="preserve">11 / 20 · Audit this certificate.</w:t>
      </w:r>
    </w:p>
    <w:p>
      <w:pPr>
        <w:pStyle w:val="FirstParagraph"/>
      </w:pPr>
      <w:r>
        <w:rPr>
          <w:i/>
          <w:iCs/>
        </w:rPr>
        <w:t xml:space="preserve">Fictional certificate · tool</w:t>
      </w:r>
    </w:p>
    <w:p>
      <w:pPr>
        <w:pStyle w:val="BodyText"/>
      </w:pPr>
      <w:r>
        <w:t xml:space="preserve">A fictional certificate for a vial of a research-use-only peptide, sold online with injection instructions. Read each line, then decide which would count as useful evidence if it matched the vial, and which are red flags.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Lot number</w:t>
            </w:r>
          </w:p>
        </w:tc>
        <w:tc>
          <w:tcPr/>
          <w:p>
            <w:pPr>
              <w:pStyle w:val="Compact"/>
            </w:pPr>
            <w:r>
              <w:t xml:space="preserve">Printed</w:t>
            </w:r>
          </w:p>
        </w:tc>
        <w:tc>
          <w:tcPr/>
          <w:p>
            <w:pPr>
              <w:pStyle w:val="Compact"/>
            </w:pPr>
            <w:r>
              <w:t xml:space="preserve">Same number as on the vial label</w:t>
            </w:r>
          </w:p>
        </w:tc>
      </w:tr>
      <w:tr>
        <w:tc>
          <w:tcPr/>
          <w:p>
            <w:pPr>
              <w:pStyle w:val="Compact"/>
            </w:pPr>
            <w:r>
              <w:t xml:space="preserve">Purity (HPLC)</w:t>
            </w:r>
          </w:p>
        </w:tc>
        <w:tc>
          <w:tcPr/>
          <w:p>
            <w:pPr>
              <w:pStyle w:val="Compact"/>
            </w:pPr>
            <w:r>
              <w:t xml:space="preserve">99.2%</w:t>
            </w:r>
          </w:p>
        </w:tc>
        <w:tc>
          <w:tcPr/>
          <w:p>
            <w:pPr>
              <w:pStyle w:val="Compact"/>
            </w:pPr>
            <w:r>
              <w:t xml:space="preserve">No chromatogram attached</w:t>
            </w:r>
          </w:p>
        </w:tc>
      </w:tr>
      <w:tr>
        <w:tc>
          <w:tcPr/>
          <w:p>
            <w:pPr>
              <w:pStyle w:val="Compact"/>
            </w:pPr>
            <w:r>
              <w:t xml:space="preserve">Identity (mass spectrometry)</w:t>
            </w:r>
          </w:p>
        </w:tc>
        <w:tc>
          <w:tcPr/>
          <w:p>
            <w:pPr>
              <w:pStyle w:val="Compact"/>
            </w:pPr>
            <w:r>
              <w:t xml:space="preserve">Conforms</w:t>
            </w:r>
          </w:p>
        </w:tc>
        <w:tc>
          <w:tcPr/>
          <w:p>
            <w:pPr>
              <w:pStyle w:val="Compact"/>
            </w:pPr>
            <w:r>
              <w:t xml:space="preserve">Expected and observed mass both printed; spectrum attached</w:t>
            </w:r>
          </w:p>
        </w:tc>
      </w:tr>
      <w:tr>
        <w:tc>
          <w:tcPr/>
          <w:p>
            <w:pPr>
              <w:pStyle w:val="Compact"/>
            </w:pPr>
            <w:r>
              <w:t xml:space="preserve">Impurities</w:t>
            </w:r>
          </w:p>
        </w:tc>
        <w:tc>
          <w:tcPr/>
          <w:p>
            <w:pPr>
              <w:pStyle w:val="Compact"/>
            </w:pPr>
            <w:r>
              <w:t xml:space="preserve">Not listed</w:t>
            </w:r>
          </w:p>
        </w:tc>
        <w:tc>
          <w:tcPr/>
          <w:p>
            <w:pPr>
              <w:pStyle w:val="Compact"/>
            </w:pPr>
            <w:r>
              <w:t xml:space="preserve">No impurity limits or results</w:t>
            </w:r>
          </w:p>
        </w:tc>
      </w:tr>
      <w:tr>
        <w:tc>
          <w:tcPr/>
          <w:p>
            <w:pPr>
              <w:pStyle w:val="Compact"/>
            </w:pPr>
            <w:r>
              <w:t xml:space="preserve">Endotoxin</w:t>
            </w:r>
          </w:p>
        </w:tc>
        <w:tc>
          <w:tcPr/>
          <w:p>
            <w:pPr>
              <w:pStyle w:val="Compact"/>
            </w:pPr>
            <w:r>
              <w:t xml:space="preserve">Not tested</w:t>
            </w:r>
          </w:p>
        </w:tc>
        <w:tc>
          <w:tcPr/>
          <w:p>
            <w:pPr>
              <w:pStyle w:val="Compact"/>
            </w:pPr>
            <w:r>
              <w:t xml:space="preserve">Product page describes injection</w:t>
            </w:r>
          </w:p>
        </w:tc>
      </w:tr>
      <w:tr>
        <w:tc>
          <w:tcPr/>
          <w:p>
            <w:pPr>
              <w:pStyle w:val="Compact"/>
            </w:pPr>
            <w:r>
              <w:t xml:space="preserve">Test date</w:t>
            </w:r>
          </w:p>
        </w:tc>
        <w:tc>
          <w:tcPr/>
          <w:p>
            <w:pPr>
              <w:pStyle w:val="Compact"/>
            </w:pPr>
            <w:r>
              <w:t xml:space="preserve">20 months before purchase</w:t>
            </w:r>
          </w:p>
        </w:tc>
        <w:tc>
          <w:tcPr/>
          <w:p>
            <w:pPr>
              <w:pStyle w:val="Compact"/>
            </w:pPr>
            <w:r>
              <w:t xml:space="preserve">No retest shown</w:t>
            </w:r>
          </w:p>
        </w:tc>
      </w:tr>
    </w:tbl>
    <w:p>
      <w:pPr>
        <w:pStyle w:val="BodyText"/>
      </w:pPr>
      <w:r>
        <w:rPr>
          <w:b/>
          <w:bCs/>
        </w:rPr>
        <w:t xml:space="preserve">Callout:</w:t>
      </w:r>
      <w:r>
        <w:t xml:space="preserve"> </w:t>
      </w:r>
      <w:r>
        <w:t xml:space="preserve">A clean certificate is necessary and never sufficient. It cannot make a research-use-only vial sterile, lawful or the lot you think it is.</w:t>
      </w:r>
    </w:p>
    <w:p>
      <w:pPr>
        <w:pStyle w:val="BodyText"/>
      </w:pPr>
      <w:r>
        <w:rPr>
          <w:b/>
          <w:bCs/>
        </w:rPr>
        <w:t xml:space="preserve">Exercise (classify) · Useful or red flag?</w:t>
      </w:r>
      <w:r>
        <w:t xml:space="preserve"> </w:t>
      </w:r>
      <w:r>
        <w:t xml:space="preserve">— Tap what each line is worth.</w:t>
      </w:r>
      <w:r>
        <w:t xml:space="preserve"> </w:t>
      </w:r>
      <w:r>
        <w:t xml:space="preserve">- Lot number printed, matching the vial label →</w:t>
      </w:r>
      <w:r>
        <w:t xml:space="preserve"> </w:t>
      </w:r>
      <w:r>
        <w:rPr>
          <w:b/>
          <w:bCs/>
        </w:rPr>
        <w:t xml:space="preserve">Useful, if it matches the vial</w:t>
      </w:r>
      <w:r>
        <w:t xml:space="preserve"> </w:t>
      </w:r>
      <w:r>
        <w:t xml:space="preserve">—</w:t>
      </w:r>
      <w:r>
        <w:t xml:space="preserve"> </w:t>
      </w:r>
      <w:r>
        <w:rPr>
          <w:i/>
          <w:iCs/>
        </w:rPr>
        <w:t xml:space="preserve">A matching lot number links the paper to the product in hand. It is still the supplier's own claim.</w:t>
      </w:r>
      <w:r>
        <w:t xml:space="preserve"> </w:t>
      </w:r>
      <w:r>
        <w:t xml:space="preserve">- Purity 99.2% by HPLC, no chromatogram →</w:t>
      </w:r>
      <w:r>
        <w:t xml:space="preserve"> </w:t>
      </w:r>
      <w:r>
        <w:rPr>
          <w:b/>
          <w:bCs/>
        </w:rPr>
        <w:t xml:space="preserve">Red flag</w:t>
      </w:r>
      <w:r>
        <w:t xml:space="preserve"> </w:t>
      </w:r>
      <w:r>
        <w:t xml:space="preserve">—</w:t>
      </w:r>
      <w:r>
        <w:t xml:space="preserve"> </w:t>
      </w:r>
      <w:r>
        <w:rPr>
          <w:i/>
          <w:iCs/>
        </w:rPr>
        <w:t xml:space="preserve">A bare percentage cannot be checked, and it says nothing about which impurities make up the rest.</w:t>
      </w:r>
      <w:r>
        <w:t xml:space="preserve"> </w:t>
      </w:r>
      <w:r>
        <w:t xml:space="preserve">- Identity: expected and observed mass printed, spectrum attached →</w:t>
      </w:r>
      <w:r>
        <w:t xml:space="preserve"> </w:t>
      </w:r>
      <w:r>
        <w:rPr>
          <w:b/>
          <w:bCs/>
        </w:rPr>
        <w:t xml:space="preserve">Useful, if it matches the vial</w:t>
      </w:r>
      <w:r>
        <w:t xml:space="preserve"> </w:t>
      </w:r>
      <w:r>
        <w:t xml:space="preserve">—</w:t>
      </w:r>
      <w:r>
        <w:t xml:space="preserve"> </w:t>
      </w:r>
      <w:r>
        <w:rPr>
          <w:i/>
          <w:iCs/>
        </w:rPr>
        <w:t xml:space="preserve">That is how identity is shown. It confirms the molecule and tells you nothing about sterility.</w:t>
      </w:r>
      <w:r>
        <w:t xml:space="preserve"> </w:t>
      </w:r>
      <w:r>
        <w:t xml:space="preserve">- Impurities: not listed →</w:t>
      </w:r>
      <w:r>
        <w:t xml:space="preserve"> </w:t>
      </w:r>
      <w:r>
        <w:rPr>
          <w:b/>
          <w:bCs/>
        </w:rPr>
        <w:t xml:space="preserve">Red flag</w:t>
      </w:r>
      <w:r>
        <w:t xml:space="preserve"> </w:t>
      </w:r>
      <w:r>
        <w:t xml:space="preserve">—</w:t>
      </w:r>
      <w:r>
        <w:t xml:space="preserve"> </w:t>
      </w:r>
      <w:r>
        <w:rPr>
          <w:i/>
          <w:iCs/>
        </w:rPr>
        <w:t xml:space="preserve">FDA's reviewers flagged exactly this for BPC-157: purity reported, impurity profile missing, so immunogenic impurities cannot be ruled out.</w:t>
      </w:r>
      <w:r>
        <w:t xml:space="preserve"> </w:t>
      </w:r>
      <w:r>
        <w:t xml:space="preserve">- Endotoxin: not tested, on a product sold for injection →</w:t>
      </w:r>
      <w:r>
        <w:t xml:space="preserve"> </w:t>
      </w:r>
      <w:r>
        <w:rPr>
          <w:b/>
          <w:bCs/>
        </w:rPr>
        <w:t xml:space="preserve">Red flag</w:t>
      </w:r>
      <w:r>
        <w:t xml:space="preserve"> </w:t>
      </w:r>
      <w:r>
        <w:t xml:space="preserve">—</w:t>
      </w:r>
      <w:r>
        <w:t xml:space="preserve"> </w:t>
      </w:r>
      <w:r>
        <w:rPr>
          <w:i/>
          <w:iCs/>
        </w:rPr>
        <w:t xml:space="preserve">Endotoxin is a critical attribute for anything injected, and its limit depends on dose and route. 'Not tested' on an injectable is a hard stop.</w:t>
      </w:r>
      <w:r>
        <w:t xml:space="preserve"> </w:t>
      </w:r>
      <w:r>
        <w:t xml:space="preserve">- Tested 20 months before purchase →</w:t>
      </w:r>
      <w:r>
        <w:t xml:space="preserve"> </w:t>
      </w:r>
      <w:r>
        <w:rPr>
          <w:b/>
          <w:bCs/>
        </w:rPr>
        <w:t xml:space="preserve">Red flag</w:t>
      </w:r>
      <w:r>
        <w:t xml:space="preserve"> </w:t>
      </w:r>
      <w:r>
        <w:t xml:space="preserve">—</w:t>
      </w:r>
      <w:r>
        <w:t xml:space="preserve"> </w:t>
      </w:r>
      <w:r>
        <w:rPr>
          <w:i/>
          <w:iCs/>
        </w:rPr>
        <w:t xml:space="preserve">Peptides degrade in storage; the Peptide Pocket Guide treats a certificate more than 12 months older than the purchase as a warning sign.</w:t>
      </w:r>
    </w:p>
    <w:p>
      <w:pPr>
        <w:pStyle w:val="BodyText"/>
      </w:pPr>
      <w:r>
        <w:t xml:space="preserve">Sources: The Peptide Pocket Guide — 2026 Edition · Clinical Reference (seventy-two entries) 2026 · US Food and Drug Administration 2026 · US Food and Drug Administration 2026 · US Food and Drug Administration (Code of Federal Regulations) 2002</w:t>
      </w:r>
    </w:p>
    <w:bookmarkEnd w:id="170"/>
    <w:bookmarkStart w:id="171" w:name="on-the-label."/>
    <w:p>
      <w:pPr>
        <w:pStyle w:val="Heading3"/>
      </w:pPr>
      <w:r>
        <w:t xml:space="preserve">12 / 20 · 99% on the label.</w:t>
      </w:r>
    </w:p>
    <w:p>
      <w:pPr>
        <w:pStyle w:val="FirstParagraph"/>
      </w:pPr>
      <w:r>
        <w:rPr>
          <w:i/>
          <w:iCs/>
        </w:rPr>
        <w:t xml:space="preserve">Label against laboratory · stat</w:t>
      </w:r>
    </w:p>
    <w:p>
      <w:pPr>
        <w:pStyle w:val="BodyText"/>
      </w:pPr>
      <w:r>
        <w:t xml:space="preserve">Researchers made test purchases of semaglutide from illegal online pharmacies and analysed what arrived. The three vials that were delivered were all judged probably substandard or falsified: purity measured 7.7–14.4% against the 99% printed on the label, peptide content ran 29–39% above the labelled amount, and endotoxin was found in every vial, although none grew microorganisms.</w:t>
      </w:r>
    </w:p>
    <w:p>
      <w:pPr>
        <w:pStyle w:val="BodyText"/>
      </w:pPr>
      <w:r>
        <w:rPr>
          <w:b/>
          <w:bCs/>
        </w:rPr>
        <w:t xml:space="preserve">7.7–14.4%</w:t>
      </w:r>
      <w:r>
        <w:t xml:space="preserve"> </w:t>
      </w:r>
      <w:r>
        <w:t xml:space="preserve">— measured purity of online semaglutide vials labelled 99% (Ashraf et al., J Med Internet Res 2024 · three delivered vials · endotoxin detected in all three)</w:t>
      </w:r>
      <w:r>
        <w:br/>
      </w:r>
      <w:r>
        <w:rPr>
          <w:i/>
          <w:iCs/>
        </w:rPr>
        <w:t xml:space="preserve">Means:</w:t>
      </w:r>
      <w:r>
        <w:t xml:space="preserve"> </w:t>
      </w:r>
      <w:r>
        <w:t xml:space="preserve">Purity printed on a label can be wildly wrong, and a vial that grows nothing can still carry endotoxin. Independent testing found what the paperwork hid.</w:t>
      </w:r>
      <w:r>
        <w:br/>
      </w:r>
      <w:r>
        <w:rPr>
          <w:i/>
          <w:iCs/>
        </w:rPr>
        <w:t xml:space="preserve">Does not mean:</w:t>
      </w:r>
      <w:r>
        <w:t xml:space="preserve"> </w:t>
      </w:r>
      <w:r>
        <w:t xml:space="preserve">Three vials of one drug give no market-wide failure rate, and semaglutide is outside the skin-peptide shelf. It documents the gap between claim and content for one product; it does not measure research peptides as a class.</w:t>
      </w:r>
    </w:p>
    <w:p>
      <w:pPr>
        <w:pStyle w:val="BodyText"/>
      </w:pPr>
      <w:r>
        <w:t xml:space="preserve">Sources: Ashraf AR 2024 · The Peptide Pocket Guide — 2026 Edition · Clinical Reference (seventy-two entries) 2026</w:t>
      </w:r>
    </w:p>
    <w:bookmarkEnd w:id="171"/>
    <w:bookmarkStart w:id="172" w:name="X52eb1ed9dbfe644f4256706c167e3f1011c17bf"/>
    <w:p>
      <w:pPr>
        <w:pStyle w:val="Heading3"/>
      </w:pPr>
      <w:r>
        <w:t xml:space="preserve">13 / 20 · Research use only is a label, and never a route.</w:t>
      </w:r>
    </w:p>
    <w:p>
      <w:pPr>
        <w:pStyle w:val="FirstParagraph"/>
      </w:pPr>
      <w:r>
        <w:rPr>
          <w:i/>
          <w:iCs/>
        </w:rPr>
        <w:t xml:space="preserve">What changes in practice · audio</w:t>
      </w:r>
    </w:p>
    <w:p>
      <w:pPr>
        <w:pStyle w:val="BodyText"/>
      </w:pPr>
      <w:r>
        <w:t xml:space="preserve">In the US, 'not for use in humans' labelling lets a supplier ship an investigational drug for laboratory or in-vitro research, and obliges the shipper to check that is how it will be used. FDA reads intended use from claims, marketing and the circumstances of sale, so the disclaimer changes nothing about a vial sold with injection instructions. A certificate cannot turn such a product into a pharmaceutical.</w:t>
      </w:r>
    </w:p>
    <w:p>
      <w:pPr>
        <w:pStyle w:val="Compact"/>
        <w:numPr>
          <w:ilvl w:val="0"/>
          <w:numId w:val="1061"/>
        </w:numPr>
      </w:pPr>
      <w:r>
        <w:t xml:space="preserve">The label permits laboratory research only</w:t>
      </w:r>
    </w:p>
    <w:p>
      <w:pPr>
        <w:pStyle w:val="Compact"/>
        <w:numPr>
          <w:ilvl w:val="0"/>
          <w:numId w:val="1061"/>
        </w:numPr>
      </w:pPr>
      <w:r>
        <w:t xml:space="preserve">Intended use is read from how a product is sold</w:t>
      </w:r>
    </w:p>
    <w:p>
      <w:pPr>
        <w:pStyle w:val="Compact"/>
        <w:numPr>
          <w:ilvl w:val="0"/>
          <w:numId w:val="1061"/>
        </w:numPr>
      </w:pPr>
      <w:r>
        <w:t xml:space="preserve">A certificate cannot convert a research product</w:t>
      </w:r>
    </w:p>
    <w:p>
      <w:pPr>
        <w:pStyle w:val="FirstParagraph"/>
      </w:pPr>
      <w:r>
        <w:rPr>
          <w:b/>
          <w:bCs/>
        </w:rPr>
        <w:t xml:space="preserve">By role</w:t>
      </w:r>
      <w:r>
        <w:t xml:space="preserve"> </w:t>
      </w:r>
      <w:r>
        <w:t xml:space="preserve">-</w:t>
      </w:r>
      <w:r>
        <w:t xml:space="preserve"> </w:t>
      </w:r>
      <w:r>
        <w:rPr>
          <w:i/>
          <w:iCs/>
        </w:rPr>
        <w:t xml:space="preserve">Prescriber:</w:t>
      </w:r>
      <w:r>
        <w:t xml:space="preserve"> </w:t>
      </w:r>
      <w:r>
        <w:t xml:space="preserve">Do not prescribe, supply, supervise or recommend a research-use-only product, and do not read its certificate as permission. Record the product, lot and supplier the patient names, and your advice to stop.</w:t>
      </w:r>
      <w:r>
        <w:t xml:space="preserve"> </w:t>
      </w:r>
      <w:r>
        <w:t xml:space="preserve">-</w:t>
      </w:r>
      <w:r>
        <w:t xml:space="preserve"> </w:t>
      </w:r>
      <w:r>
        <w:rPr>
          <w:i/>
          <w:iCs/>
        </w:rPr>
        <w:t xml:space="preserve">Clinical staff:</w:t>
      </w:r>
      <w:r>
        <w:t xml:space="preserve"> </w:t>
      </w:r>
      <w:r>
        <w:t xml:space="preserve">If a patient brings a research-use-only vial or its certificate, record the product name, lot and supplier exactly as printed, do not handle or administer it, and tell the prescriber the same day.</w:t>
      </w:r>
      <w:r>
        <w:t xml:space="preserve"> </w:t>
      </w:r>
      <w:r>
        <w:t xml:space="preserve">-</w:t>
      </w:r>
      <w:r>
        <w:t xml:space="preserve"> </w:t>
      </w:r>
      <w:r>
        <w:rPr>
          <w:i/>
          <w:iCs/>
        </w:rPr>
        <w:t xml:space="preserve">Advisor:</w:t>
      </w:r>
      <w:r>
        <w:t xml:space="preserve"> </w:t>
      </w:r>
      <w:r>
        <w:t xml:space="preserve">You can explain what a certificate does and does not show. You cannot vouch for a research product, and anyone injecting one should see a prescriber.</w:t>
      </w:r>
    </w:p>
    <w:p>
      <w:pPr>
        <w:pStyle w:val="BodyText"/>
      </w:pPr>
      <w:r>
        <w:t xml:space="preserve">Narration script</w:t>
      </w:r>
    </w:p>
    <w:p>
      <w:pPr>
        <w:pStyle w:val="BodyText"/>
      </w:pPr>
      <w:r>
        <w:t xml:space="preserve">Research use only sounds like a category. In law it works as a shipping permission. The US rule lets a supplier send an investigational drug for laboratory or test-tube work if the label says it must stay out of people, and the shipper is meant to confirm that is how it will be used. FDA judges what a product is for by how it is marketed and sold, so a disclaimer on a vial offered with injection instructions carries no weight. The Hormonaly guides say it plainly. Research use only is not a clinical pathway. A certificate of analysis, however clean, cannot convert that vial into a pharmaceutical, because sterility, manufacturing standards and a lawful route are all still missing. Whatever your role, treat these products as outside clinical care, and write down exactly what you were told.</w:t>
      </w:r>
    </w:p>
    <w:p>
      <w:pPr>
        <w:pStyle w:val="BodyText"/>
      </w:pPr>
      <w:r>
        <w:t xml:space="preserve">Sources: US Food and Drug Administration (Code of Federal Regulations) 2002 · US Food and Drug Administration (Code of Federal Regulations) 2021 · Aesthetic &amp; Regenerative Endocrinology — A Clinician's Pocket Guide 2026 · The Peptide Pocket Guide — 2026 Edition · Clinical Reference (seventy-two entries) 2026</w:t>
      </w:r>
    </w:p>
    <w:bookmarkEnd w:id="172"/>
    <w:bookmarkStart w:id="173" w:name="a-clean-certificate."/>
    <w:p>
      <w:pPr>
        <w:pStyle w:val="Heading3"/>
      </w:pPr>
      <w:r>
        <w:t xml:space="preserve">14 / 20 · A clean certificate.</w:t>
      </w:r>
    </w:p>
    <w:p>
      <w:pPr>
        <w:pStyle w:val="FirstParagraph"/>
      </w:pPr>
      <w:r>
        <w:rPr>
          <w:i/>
          <w:iCs/>
        </w:rPr>
        <w:t xml:space="preserve">Your turn · quiz</w:t>
      </w:r>
    </w:p>
    <w:p>
      <w:pPr>
        <w:pStyle w:val="BodyText"/>
      </w:pPr>
      <w:r>
        <w:t xml:space="preserve">One question to close lesson 7.2.</w:t>
      </w:r>
    </w:p>
    <w:p>
      <w:pPr>
        <w:pStyle w:val="BodyText"/>
      </w:pPr>
      <w:r>
        <w:rPr>
          <w:b/>
          <w:bCs/>
        </w:rPr>
        <w:t xml:space="preserve">Q.</w:t>
      </w:r>
      <w:r>
        <w:t xml:space="preserve"> </w:t>
      </w:r>
      <w:r>
        <w:t xml:space="preserve">A patient shows you the certificate for a research-use-only peptide she injects: 99.1% purity by HPLC with a chromatogram, the correct mass by mass spectrometry, and a lot number that matches her vial. What does it establish?</w:t>
      </w:r>
      <w:r>
        <w:t xml:space="preserve"> </w:t>
      </w:r>
      <w:r>
        <w:t xml:space="preserve">- ✗ That the vial is safe to inject. —</w:t>
      </w:r>
      <w:r>
        <w:t xml:space="preserve"> </w:t>
      </w:r>
      <w:r>
        <w:rPr>
          <w:i/>
          <w:iCs/>
        </w:rPr>
        <w:t xml:space="preserve">Identity and purity say nothing about sterility, endotoxin or storage, and research-use-only products are labelled not for use in humans.</w:t>
      </w:r>
      <w:r>
        <w:t xml:space="preserve"> </w:t>
      </w:r>
      <w:r>
        <w:t xml:space="preserve">- ✔ That the supplier reports the right molecule at high purity for that lot, and nothing about sterility, storage since testing or a lawful route. —</w:t>
      </w:r>
      <w:r>
        <w:t xml:space="preserve"> </w:t>
      </w:r>
      <w:r>
        <w:rPr>
          <w:i/>
          <w:iCs/>
        </w:rPr>
        <w:t xml:space="preserve">Correct. A certificate describes a lot; it cannot make the product sterile, pharmaceutical or lawful.</w:t>
      </w:r>
      <w:r>
        <w:t xml:space="preserve"> </w:t>
      </w:r>
      <w:r>
        <w:t xml:space="preserve">- ✗ Nothing at all, because certificates are always forged. —</w:t>
      </w:r>
      <w:r>
        <w:t xml:space="preserve"> </w:t>
      </w:r>
      <w:r>
        <w:rPr>
          <w:i/>
          <w:iCs/>
        </w:rPr>
        <w:t xml:space="preserve">Some are unreliable, but a lot-specific certificate with spectra is real information. The problem is what it cannot cover.</w:t>
      </w:r>
    </w:p>
    <w:bookmarkEnd w:id="173"/>
    <w:bookmarkEnd w:id="174"/>
    <w:bookmarkStart w:id="181" w:name="X5c774faa2e2c278faf095a9228e12a20daf7930"/>
    <w:p>
      <w:pPr>
        <w:pStyle w:val="Heading2"/>
      </w:pPr>
      <w:r>
        <w:t xml:space="preserve">Lesson 7.3 · Cosmetic, compounded or investigational: consent and the chart</w:t>
      </w:r>
    </w:p>
    <w:bookmarkStart w:id="175" w:name="off-label-needs-a-label."/>
    <w:p>
      <w:pPr>
        <w:pStyle w:val="Heading3"/>
      </w:pPr>
      <w:r>
        <w:t xml:space="preserve">15 / 20 · Off-label needs a label.</w:t>
      </w:r>
    </w:p>
    <w:p>
      <w:pPr>
        <w:pStyle w:val="FirstParagraph"/>
      </w:pPr>
      <w:r>
        <w:rPr>
          <w:i/>
          <w:iCs/>
        </w:rPr>
        <w:t xml:space="preserve">Lesson 7.3 · Concept · audio</w:t>
      </w:r>
    </w:p>
    <w:p>
      <w:pPr>
        <w:pStyle w:val="BodyText"/>
      </w:pPr>
      <w:r>
        <w:t xml:space="preserve">Off-label prescribing means using an approved drug for a use its labelling does not cover, and FDA accepts it as clinical judgment. A never-approved peptide has no label to depart from, so prescribing it is use of an unapproved drug. Introducing an unapproved new drug into interstate commerce is a prohibited act under the FD&amp;C Act, and FDA's 2020 warning letter to a compounding pharmacy named BPC-157 and GHK-Cu on exactly this basis.</w:t>
      </w:r>
    </w:p>
    <w:p>
      <w:pPr>
        <w:pStyle w:val="Compact"/>
        <w:numPr>
          <w:ilvl w:val="0"/>
          <w:numId w:val="1062"/>
        </w:numPr>
      </w:pPr>
      <w:r>
        <w:t xml:space="preserve">Off-label applies only to approved drugs</w:t>
      </w:r>
    </w:p>
    <w:p>
      <w:pPr>
        <w:pStyle w:val="Compact"/>
        <w:numPr>
          <w:ilvl w:val="0"/>
          <w:numId w:val="1062"/>
        </w:numPr>
      </w:pPr>
      <w:r>
        <w:t xml:space="preserve">A never-approved peptide has no label</w:t>
      </w:r>
    </w:p>
    <w:p>
      <w:pPr>
        <w:pStyle w:val="Compact"/>
        <w:numPr>
          <w:ilvl w:val="0"/>
          <w:numId w:val="1062"/>
        </w:numPr>
      </w:pPr>
      <w:r>
        <w:t xml:space="preserve">Compounded is still unapproved</w:t>
      </w:r>
    </w:p>
    <w:p>
      <w:pPr>
        <w:pStyle w:val="FirstParagraph"/>
      </w:pPr>
      <w:r>
        <w:t xml:space="preserve">Narration script</w:t>
      </w:r>
    </w:p>
    <w:p>
      <w:pPr>
        <w:pStyle w:val="BodyText"/>
      </w:pPr>
      <w:r>
        <w:t xml:space="preserve">Off-label is the phrase to get right first. FDA uses it for an approved drug prescribed outside its labelling, which prescribers generally may do when they judge it medically appropriate. The idea assumes a label exists. A peptide that was never approved has none, so prescribing it counts as using an unapproved drug, and the Peptide Pocket Guide says exactly that. Compounding leaves that answer unchanged. A compounded product is unapproved by definition, and it is lawful only when the substance and the pharmacy meet the statute's conditions. Under federal law, putting an unapproved new drug into interstate commerce is a prohibited act, and in 2020 FDA warned a compounding pharmacy about its BPC-157 and GHK-Cu products on that basis. So write the real category in the chart, every time.</w:t>
      </w:r>
    </w:p>
    <w:p>
      <w:pPr>
        <w:pStyle w:val="BodyText"/>
      </w:pPr>
      <w:r>
        <w:t xml:space="preserve">Sources: US Food and Drug Administration 2018 · United States Code (as codified) 2026 · US Food and Drug Administration 2020 · The Peptide Pocket Guide — 2026 Edition · Clinical Reference (seventy-two entries) 2026</w:t>
      </w:r>
    </w:p>
    <w:bookmarkEnd w:id="175"/>
    <w:bookmarkStart w:id="176" w:name="same-molecule-different-rulebooks."/>
    <w:p>
      <w:pPr>
        <w:pStyle w:val="Heading3"/>
      </w:pPr>
      <w:r>
        <w:t xml:space="preserve">16 / 20 · Same molecule, different rulebooks.</w:t>
      </w:r>
    </w:p>
    <w:p>
      <w:pPr>
        <w:pStyle w:val="FirstParagraph"/>
      </w:pPr>
      <w:r>
        <w:rPr>
          <w:i/>
          <w:iCs/>
        </w:rPr>
        <w:t xml:space="preserve">Classification (US) · tool</w:t>
      </w:r>
    </w:p>
    <w:p>
      <w:pPr>
        <w:pStyle w:val="BodyText"/>
      </w:pPr>
      <w:r>
        <w:t xml:space="preserve">Route and claim decide the regime, whatever the molecule. Here is how each one treats a skin peptide in the US, as checked in September 2026.</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Cosmetic</w:t>
            </w:r>
          </w:p>
        </w:tc>
        <w:tc>
          <w:tcPr/>
          <w:p>
            <w:pPr>
              <w:pStyle w:val="Compact"/>
            </w:pPr>
            <w:r>
              <w:t xml:space="preserve">Appearance claims only</w:t>
            </w:r>
          </w:p>
        </w:tc>
        <w:tc>
          <w:tcPr/>
          <w:p>
            <w:pPr>
              <w:pStyle w:val="Compact"/>
            </w:pPr>
            <w:r>
              <w:t xml:space="preserve">No premarket approval. A claim to affect structure or function, such as 'regenerates cells', makes it a drug; 'cosmeceutical' has no legal meaning.</w:t>
            </w:r>
          </w:p>
        </w:tc>
      </w:tr>
      <w:tr>
        <w:tc>
          <w:tcPr/>
          <w:p>
            <w:pPr>
              <w:pStyle w:val="Compact"/>
            </w:pPr>
            <w:r>
              <w:t xml:space="preserve">Dietary supplement</w:t>
            </w:r>
          </w:p>
        </w:tc>
        <w:tc>
          <w:tcPr/>
          <w:p>
            <w:pPr>
              <w:pStyle w:val="Compact"/>
            </w:pPr>
            <w:r>
              <w:t xml:space="preserve">Oral, no disease claims</w:t>
            </w:r>
          </w:p>
        </w:tc>
        <w:tc>
          <w:tcPr/>
          <w:p>
            <w:pPr>
              <w:pStyle w:val="Compact"/>
            </w:pPr>
            <w:r>
              <w:t xml:space="preserve">The maker is responsible for safety and labelling before sale; FDA acts after products reach the market.</w:t>
            </w:r>
          </w:p>
        </w:tc>
      </w:tr>
      <w:tr>
        <w:tc>
          <w:tcPr/>
          <w:p>
            <w:pPr>
              <w:pStyle w:val="Compact"/>
            </w:pPr>
            <w:r>
              <w:t xml:space="preserve">Approved drug</w:t>
            </w:r>
          </w:p>
        </w:tc>
        <w:tc>
          <w:tcPr/>
          <w:p>
            <w:pPr>
              <w:pStyle w:val="Compact"/>
            </w:pPr>
            <w:r>
              <w:t xml:space="preserve">Labelled indications</w:t>
            </w:r>
          </w:p>
        </w:tc>
        <w:tc>
          <w:tcPr/>
          <w:p>
            <w:pPr>
              <w:pStyle w:val="Compact"/>
            </w:pPr>
            <w:r>
              <w:t xml:space="preserve">Off-label use of an approved drug is lawful clinical judgment; document the reasoning.</w:t>
            </w:r>
          </w:p>
        </w:tc>
      </w:tr>
      <w:tr>
        <w:tc>
          <w:tcPr/>
          <w:p>
            <w:pPr>
              <w:pStyle w:val="Compact"/>
            </w:pPr>
            <w:r>
              <w:t xml:space="preserve">Compounded (503A or 503B)</w:t>
            </w:r>
          </w:p>
        </w:tc>
        <w:tc>
          <w:tcPr/>
          <w:p>
            <w:pPr>
              <w:pStyle w:val="Compact"/>
            </w:pPr>
            <w:r>
              <w:t xml:space="preserve">Unapproved, conditionally lawful</w:t>
            </w:r>
          </w:p>
        </w:tc>
        <w:tc>
          <w:tcPr/>
          <w:p>
            <w:pPr>
              <w:pStyle w:val="Compact"/>
            </w:pPr>
            <w:r>
              <w:t xml:space="preserve">Only when the substance qualifies and the pharmacy meets the statute. Non-injectable GHK-Cu is in Category 1; BPC-157 and TB-500 have no route.</w:t>
            </w:r>
          </w:p>
        </w:tc>
      </w:tr>
      <w:tr>
        <w:tc>
          <w:tcPr/>
          <w:p>
            <w:pPr>
              <w:pStyle w:val="Compact"/>
            </w:pPr>
            <w:r>
              <w:t xml:space="preserve">Investigational or research use only</w:t>
            </w:r>
          </w:p>
        </w:tc>
        <w:tc>
          <w:tcPr/>
          <w:p>
            <w:pPr>
              <w:pStyle w:val="Compact"/>
            </w:pPr>
            <w:r>
              <w:t xml:space="preserve">Trials, or nothing</w:t>
            </w:r>
          </w:p>
        </w:tc>
        <w:tc>
          <w:tcPr/>
          <w:p>
            <w:pPr>
              <w:pStyle w:val="Compact"/>
            </w:pPr>
            <w:r>
              <w:t xml:space="preserve">Human use belongs in a clinical trial. A 'research use only' vial is outside any clinical route.</w:t>
            </w:r>
          </w:p>
        </w:tc>
      </w:tr>
    </w:tbl>
    <w:p>
      <w:pPr>
        <w:pStyle w:val="BodyText"/>
      </w:pPr>
      <w:r>
        <w:rPr>
          <w:b/>
          <w:bCs/>
        </w:rPr>
        <w:t xml:space="preserve">Callout:</w:t>
      </w:r>
      <w:r>
        <w:t xml:space="preserve"> </w:t>
      </w:r>
      <w:r>
        <w:t xml:space="preserve">Write the regime in the chart in these words, before anything else.</w:t>
      </w:r>
    </w:p>
    <w:p>
      <w:pPr>
        <w:pStyle w:val="BodyText"/>
      </w:pPr>
      <w:r>
        <w:t xml:space="preserve">Sources: US Food and Drug Administration 2024 · US Food and Drug Administration 2024 · US Food and Drug Administration 2018 · US Food and Drug Administration 2026 · United States Code (as codified) 2026 · US Food and Drug Administration (Code of Federal Regulations) 2002 · The Peptide Pocket Guide — 2026 Edition · Clinical Reference (seventy-two entries) 2026 · Aesthetic &amp; Regenerative Endocrinology — A Clinician's Pocket Guide 2026</w:t>
      </w:r>
    </w:p>
    <w:bookmarkEnd w:id="176"/>
    <w:bookmarkStart w:id="177" w:name="just-prescribe-it-off-label."/>
    <w:p>
      <w:pPr>
        <w:pStyle w:val="Heading3"/>
      </w:pPr>
      <w:r>
        <w:t xml:space="preserve">17 / 20 · 'Just prescribe it off-label.'</w:t>
      </w:r>
    </w:p>
    <w:p>
      <w:pPr>
        <w:pStyle w:val="FirstParagraph"/>
      </w:pPr>
      <w:r>
        <w:rPr>
          <w:i/>
          <w:iCs/>
        </w:rPr>
        <w:t xml:space="preserve">Fictional case · audio</w:t>
      </w:r>
    </w:p>
    <w:p>
      <w:pPr>
        <w:pStyle w:val="BodyText"/>
      </w:pPr>
      <w:r>
        <w:t xml:space="preserve">A 52-year-old patient, three weeks after a fractional laser treatment, asks you to prescribe compounded BPC-157 injections 'off-label' to speed healing. She has found a pharmacy willing to make it and shows you its certificate of analysis. This is a fictional case built from the module's sources, and one response is clearly best.</w:t>
      </w:r>
    </w:p>
    <w:p>
      <w:pPr>
        <w:pStyle w:val="Compact"/>
        <w:numPr>
          <w:ilvl w:val="0"/>
          <w:numId w:val="1063"/>
        </w:numPr>
      </w:pPr>
      <w:r>
        <w:t xml:space="preserve">BPC-157 has no approval, so there is no label to go off</w:t>
      </w:r>
    </w:p>
    <w:p>
      <w:pPr>
        <w:pStyle w:val="Compact"/>
        <w:numPr>
          <w:ilvl w:val="0"/>
          <w:numId w:val="1063"/>
        </w:numPr>
      </w:pPr>
      <w:r>
        <w:t xml:space="preserve">It has no 503A route; FDA staff advised against listing it</w:t>
      </w:r>
    </w:p>
    <w:p>
      <w:pPr>
        <w:pStyle w:val="Compact"/>
        <w:numPr>
          <w:ilvl w:val="0"/>
          <w:numId w:val="1063"/>
        </w:numPr>
      </w:pPr>
      <w:r>
        <w:t xml:space="preserve">A certificate describes a lot and creates no route</w:t>
      </w:r>
    </w:p>
    <w:p>
      <w:pPr>
        <w:pStyle w:val="FirstParagraph"/>
      </w:pPr>
      <w:r>
        <w:rPr>
          <w:b/>
          <w:bCs/>
        </w:rPr>
        <w:t xml:space="preserve">Exercise (scenario) · What do you do?</w:t>
      </w:r>
      <w:r>
        <w:t xml:space="preserve"> </w:t>
      </w:r>
      <w:r>
        <w:t xml:space="preserve">—</w:t>
      </w:r>
    </w:p>
    <w:p>
      <w:pPr>
        <w:pStyle w:val="BodyText"/>
      </w:pPr>
      <w:r>
        <w:t xml:space="preserve">A 52-year-old patient, three weeks after a fractional laser treatment, asks you to prescribe compounded BPC-157 injections 'off-label' to speed healing. She has found a pharmacy willing to make it and shows you its certificate of analysis.</w:t>
      </w:r>
    </w:p>
    <w:p>
      <w:pPr>
        <w:pStyle w:val="Compact"/>
        <w:numPr>
          <w:ilvl w:val="0"/>
          <w:numId w:val="1064"/>
        </w:numPr>
      </w:pPr>
      <w:r>
        <w:t xml:space="preserve">✗ Prescribe it as off-label use and file the certificate in her chart. —</w:t>
      </w:r>
      <w:r>
        <w:t xml:space="preserve"> </w:t>
      </w:r>
      <w:r>
        <w:rPr>
          <w:i/>
          <w:iCs/>
        </w:rPr>
        <w:t xml:space="preserve">Off-label presupposes an approved drug. BPC-157 has no approval and no 503A route, FDA has warned a compounder about it, and a certificate changes neither fact.</w:t>
      </w:r>
    </w:p>
    <w:p>
      <w:pPr>
        <w:pStyle w:val="Compact"/>
        <w:numPr>
          <w:ilvl w:val="0"/>
          <w:numId w:val="1064"/>
        </w:numPr>
      </w:pPr>
      <w:r>
        <w:t xml:space="preserve">✔ Decline to prescribe it. Explain the evidence and the US status in plain terms, return to the aftercare plan her treating clinician set, and record her request, what you explained and her decision. —</w:t>
      </w:r>
      <w:r>
        <w:t xml:space="preserve"> </w:t>
      </w:r>
      <w:r>
        <w:rPr>
          <w:i/>
          <w:iCs/>
        </w:rPr>
        <w:t xml:space="preserve">Right. You keep the conversation, give her the real category and the grade, and leave a chart note a reviewer can follow.</w:t>
      </w:r>
    </w:p>
    <w:p>
      <w:pPr>
        <w:pStyle w:val="Compact"/>
        <w:numPr>
          <w:ilvl w:val="0"/>
          <w:numId w:val="1064"/>
        </w:numPr>
      </w:pPr>
      <w:r>
        <w:t xml:space="preserve">✗ Suggest she buy research-grade BPC-157 with a good certificate and come back for monitoring. —</w:t>
      </w:r>
      <w:r>
        <w:t xml:space="preserve"> </w:t>
      </w:r>
      <w:r>
        <w:rPr>
          <w:i/>
          <w:iCs/>
        </w:rPr>
        <w:t xml:space="preserve">Research-use-only products are labelled not for use in humans, and the Peptide Pocket Guide treats steering a patient to them as practising medicine, with the liability that follows.</w:t>
      </w:r>
    </w:p>
    <w:p>
      <w:pPr>
        <w:pStyle w:val="FirstParagraph"/>
      </w:pPr>
      <w:r>
        <w:t xml:space="preserve">Follow-up: Chart it in these terms: the product, its regulatory status, the evidence you quoted, the alternatives you discussed and her decision.</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 decline, explain, and document the request, the product's status in those words, the evidence you quoted and the alternatives you offered.</w:t>
      </w:r>
      <w:r>
        <w:t xml:space="preserve"> </w:t>
      </w:r>
      <w:r>
        <w:t xml:space="preserve">-</w:t>
      </w:r>
      <w:r>
        <w:t xml:space="preserve"> </w:t>
      </w:r>
      <w:r>
        <w:rPr>
          <w:i/>
          <w:iCs/>
        </w:rPr>
        <w:t xml:space="preserve">Clinical staff:</w:t>
      </w:r>
      <w:r>
        <w:t xml:space="preserve"> </w:t>
      </w:r>
      <w:r>
        <w:t xml:space="preserve">If a patient asks you to arrange or give a compounded or research peptide, record the request and the product details and pass it to the prescriber; do not agree to administer it.</w:t>
      </w:r>
      <w:r>
        <w:t xml:space="preserve"> </w:t>
      </w:r>
      <w:r>
        <w:t xml:space="preserve">-</w:t>
      </w:r>
      <w:r>
        <w:t xml:space="preserve"> </w:t>
      </w:r>
      <w:r>
        <w:rPr>
          <w:i/>
          <w:iCs/>
        </w:rPr>
        <w:t xml:space="preserve">Advisor:</w:t>
      </w:r>
      <w:r>
        <w:t xml:space="preserve"> </w:t>
      </w:r>
      <w:r>
        <w:t xml:space="preserve">You explain that BPC-157 has no approval and no lawful compounding route in the US, and that decisions about her healing belong with her treating clinician.</w:t>
      </w:r>
    </w:p>
    <w:p>
      <w:pPr>
        <w:pStyle w:val="BodyText"/>
      </w:pPr>
      <w:r>
        <w:t xml:space="preserve">Narration script</w:t>
      </w:r>
    </w:p>
    <w:p>
      <w:pPr>
        <w:pStyle w:val="BodyText"/>
      </w:pPr>
      <w:r>
        <w:t xml:space="preserve">A fictional patient, built from this module's sources, is fifty-two and three weeks past a fractional laser treatment. She asks you to prescribe compounded BPC-157 injections off-label to speed her healing. A pharmacy is willing to make it, and she shows you its certificate of analysis. Three facts shape your answer. BPC-157 has never been approved, so there is no label to prescribe around. It has no 503A route, its nominations were withdrawn, and FDA's own reviewers advised against listing it in July 2026, noting a lack of evidence that it works even for the condition they studied. And a certificate describes a batch, which leaves sterility and legality exactly where they were. Decide how you will answer her.</w:t>
      </w:r>
    </w:p>
    <w:p>
      <w:pPr>
        <w:pStyle w:val="BodyText"/>
      </w:pPr>
      <w:r>
        <w:t xml:space="preserve">Sources: US Food and Drug Administration 2018 · US Food and Drug Administration 2026 · US Food and Drug Administration 2020 · US Food and Drug Administration 2026 · The Peptide Pocket Guide — 2026 Edition · Clinical Reference (seventy-two entries) 2026 · Aesthetic &amp; Regenerative Endocrinology — A Clinician's Pocket Guide 2026</w:t>
      </w:r>
    </w:p>
    <w:bookmarkEnd w:id="177"/>
    <w:bookmarkStart w:id="178" w:name="a-chart-note-a-reviewer-can-follow."/>
    <w:p>
      <w:pPr>
        <w:pStyle w:val="Heading3"/>
      </w:pPr>
      <w:r>
        <w:t xml:space="preserve">18 / 20 · A chart note a reviewer can follow.</w:t>
      </w:r>
    </w:p>
    <w:p>
      <w:pPr>
        <w:pStyle w:val="FirstParagraph"/>
      </w:pPr>
      <w:r>
        <w:rPr>
          <w:i/>
          <w:iCs/>
        </w:rPr>
        <w:t xml:space="preserve">Documentation · tool</w:t>
      </w:r>
    </w:p>
    <w:p>
      <w:pPr>
        <w:pStyle w:val="BodyText"/>
      </w:pPr>
      <w:r>
        <w:t xml:space="preserve">The Peptide Pocket Guide's prescriber checklist, with consent built from the elements FDA's research-consent rule lists. Use it for any conversation about an unapproved or compounded peptide, whether or not you prescribe.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What it is</w:t>
            </w:r>
          </w:p>
        </w:tc>
        <w:tc>
          <w:tcPr/>
          <w:p>
            <w:pPr>
              <w:pStyle w:val="Compact"/>
            </w:pPr>
            <w:r>
              <w:t xml:space="preserve">Article and status, in those words</w:t>
            </w:r>
          </w:p>
        </w:tc>
        <w:tc>
          <w:tcPr/>
          <w:p>
            <w:pPr>
              <w:pStyle w:val="Compact"/>
            </w:pPr>
            <w:r>
              <w:t xml:space="preserve">For example 'not FDA-approved; no 503A route', never 'off-label'</w:t>
            </w:r>
          </w:p>
        </w:tc>
      </w:tr>
      <w:tr>
        <w:tc>
          <w:tcPr/>
          <w:p>
            <w:pPr>
              <w:pStyle w:val="Compact"/>
            </w:pPr>
            <w:r>
              <w:t xml:space="preserve">If compounded</w:t>
            </w:r>
          </w:p>
        </w:tc>
        <w:tc>
          <w:tcPr/>
          <w:p>
            <w:pPr>
              <w:pStyle w:val="Compact"/>
            </w:pPr>
            <w:r>
              <w:t xml:space="preserve">Pathway, facility, certificate</w:t>
            </w:r>
          </w:p>
        </w:tc>
        <w:tc>
          <w:tcPr/>
          <w:p>
            <w:pPr>
              <w:pStyle w:val="Compact"/>
            </w:pPr>
            <w:r>
              <w:t xml:space="preserve">503A or 503B, the pharmacy, and the certificate of analysis relied on</w:t>
            </w:r>
          </w:p>
        </w:tc>
      </w:tr>
      <w:tr>
        <w:tc>
          <w:tcPr/>
          <w:p>
            <w:pPr>
              <w:pStyle w:val="Compact"/>
            </w:pPr>
            <w:r>
              <w:t xml:space="preserve">Consent</w:t>
            </w:r>
          </w:p>
        </w:tc>
        <w:tc>
          <w:tcPr/>
          <w:p>
            <w:pPr>
              <w:pStyle w:val="Compact"/>
            </w:pPr>
            <w:r>
              <w:t xml:space="preserve">Four elements, in writing</w:t>
            </w:r>
          </w:p>
        </w:tc>
        <w:tc>
          <w:tcPr/>
          <w:p>
            <w:pPr>
              <w:pStyle w:val="Compact"/>
            </w:pPr>
            <w:r>
              <w:t xml:space="preserve">Not approved for this use; foreseeable risks; approved alternatives, including doing nothing; what happens if harm occurs</w:t>
            </w:r>
          </w:p>
        </w:tc>
      </w:tr>
      <w:tr>
        <w:tc>
          <w:tcPr/>
          <w:p>
            <w:pPr>
              <w:pStyle w:val="Compact"/>
            </w:pPr>
            <w:r>
              <w:t xml:space="preserve">Evidence</w:t>
            </w:r>
          </w:p>
        </w:tc>
        <w:tc>
          <w:tcPr/>
          <w:p>
            <w:pPr>
              <w:pStyle w:val="Compact"/>
            </w:pPr>
            <w:r>
              <w:t xml:space="preserve">Outcome and grade</w:t>
            </w:r>
          </w:p>
        </w:tc>
        <w:tc>
          <w:tcPr/>
          <w:p>
            <w:pPr>
              <w:pStyle w:val="Compact"/>
            </w:pPr>
            <w:r>
              <w:t xml:space="preserve">The certainty you quoted, for the outcome you discussed</w:t>
            </w:r>
          </w:p>
        </w:tc>
      </w:tr>
      <w:tr>
        <w:tc>
          <w:tcPr/>
          <w:p>
            <w:pPr>
              <w:pStyle w:val="Compact"/>
            </w:pPr>
            <w:r>
              <w:t xml:space="preserve">Plan</w:t>
            </w:r>
          </w:p>
        </w:tc>
        <w:tc>
          <w:tcPr/>
          <w:p>
            <w:pPr>
              <w:pStyle w:val="Compact"/>
            </w:pPr>
            <w:r>
              <w:t xml:space="preserve">Monitoring and a stopping rule</w:t>
            </w:r>
          </w:p>
        </w:tc>
        <w:tc>
          <w:tcPr/>
          <w:p>
            <w:pPr>
              <w:pStyle w:val="Compact"/>
            </w:pPr>
            <w:r>
              <w:t xml:space="preserve">What you will watch, and when you will stop</w:t>
            </w:r>
          </w:p>
        </w:tc>
      </w:tr>
      <w:tr>
        <w:tc>
          <w:tcPr/>
          <w:p>
            <w:pPr>
              <w:pStyle w:val="Compact"/>
            </w:pPr>
            <w:r>
              <w:t xml:space="preserve">Status check</w:t>
            </w:r>
          </w:p>
        </w:tc>
        <w:tc>
          <w:tcPr/>
          <w:p>
            <w:pPr>
              <w:pStyle w:val="Compact"/>
            </w:pPr>
            <w:r>
              <w:t xml:space="preserve">Dated</w:t>
            </w:r>
          </w:p>
        </w:tc>
        <w:tc>
          <w:tcPr/>
          <w:p>
            <w:pPr>
              <w:pStyle w:val="Compact"/>
            </w:pPr>
            <w:r>
              <w:t xml:space="preserve">The day you checked the FDA lists; they changed in April and May 2026</w:t>
            </w:r>
          </w:p>
        </w:tc>
      </w:tr>
    </w:tbl>
    <w:p>
      <w:pPr>
        <w:pStyle w:val="BodyText"/>
      </w:pPr>
      <w:r>
        <w:rPr>
          <w:b/>
          <w:bCs/>
        </w:rPr>
        <w:t xml:space="preserve">Callout:</w:t>
      </w:r>
      <w:r>
        <w:t xml:space="preserve"> </w:t>
      </w:r>
      <w:r>
        <w:t xml:space="preserve">A board reviews reasoning. Make yours visible in the note.</w:t>
      </w:r>
    </w:p>
    <w:p>
      <w:pPr>
        <w:pStyle w:val="BodyText"/>
      </w:pPr>
      <w:r>
        <w:t xml:space="preserve">Sources: The Peptide Pocket Guide — 2026 Edition · Clinical Reference (seventy-two entries) 2026 · Aesthetic &amp; Regenerative Endocrinology — A Clinician's Pocket Guide 2026 · US Food and Drug Administration (Code of Federal Regulations) 2026 · US Food and Drug Administration 2026</w:t>
      </w:r>
    </w:p>
    <w:bookmarkEnd w:id="178"/>
    <w:bookmarkStart w:id="179" w:name="one-molecule-three-products."/>
    <w:p>
      <w:pPr>
        <w:pStyle w:val="Heading3"/>
      </w:pPr>
      <w:r>
        <w:t xml:space="preserve">19 / 20 · One molecule, three products.</w:t>
      </w:r>
    </w:p>
    <w:p>
      <w:pPr>
        <w:pStyle w:val="FirstParagraph"/>
      </w:pPr>
      <w:r>
        <w:rPr>
          <w:i/>
          <w:iCs/>
        </w:rPr>
        <w:t xml:space="preserve">Your turn · quiz</w:t>
      </w:r>
    </w:p>
    <w:p>
      <w:pPr>
        <w:pStyle w:val="BodyText"/>
      </w:pPr>
      <w:r>
        <w:t xml:space="preserve">One question to close lesson 7.3.</w:t>
      </w:r>
    </w:p>
    <w:p>
      <w:pPr>
        <w:pStyle w:val="BodyText"/>
      </w:pPr>
      <w:r>
        <w:rPr>
          <w:b/>
          <w:bCs/>
        </w:rPr>
        <w:t xml:space="preserve">Q.</w:t>
      </w:r>
      <w:r>
        <w:t xml:space="preserve"> </w:t>
      </w:r>
      <w:r>
        <w:t xml:space="preserve">GHK-Cu appears in three products: a cream sold 'for the look of fine lines', the same cream sold 'to regenerate skin cells', and an injectable vial labelled research use only. In the US, which statement is right?</w:t>
      </w:r>
      <w:r>
        <w:t xml:space="preserve"> </w:t>
      </w:r>
      <w:r>
        <w:t xml:space="preserve">- ✗ All three are cosmetics, because the molecule is the same. —</w:t>
      </w:r>
      <w:r>
        <w:t xml:space="preserve"> </w:t>
      </w:r>
      <w:r>
        <w:rPr>
          <w:i/>
          <w:iCs/>
        </w:rPr>
        <w:t xml:space="preserve">The regime follows the claim and the route. A structure-or-function claim makes the second cream a drug, and the vial is no cosmetic at all.</w:t>
      </w:r>
      <w:r>
        <w:t xml:space="preserve"> </w:t>
      </w:r>
      <w:r>
        <w:t xml:space="preserve">- ✔ The first is a cosmetic; the second makes a drug claim, so it is an unapproved drug; the vial is outside any clinical route. —</w:t>
      </w:r>
      <w:r>
        <w:t xml:space="preserve"> </w:t>
      </w:r>
      <w:r>
        <w:rPr>
          <w:i/>
          <w:iCs/>
        </w:rPr>
        <w:t xml:space="preserve">Correct. Claim and route decide the rulebook, whatever the molecule.</w:t>
      </w:r>
      <w:r>
        <w:t xml:space="preserve"> </w:t>
      </w:r>
      <w:r>
        <w:t xml:space="preserve">- ✗ All three are lawful, because GHK-Cu is in Category 1. —</w:t>
      </w:r>
      <w:r>
        <w:t xml:space="preserve"> </w:t>
      </w:r>
      <w:r>
        <w:rPr>
          <w:i/>
          <w:iCs/>
        </w:rPr>
        <w:t xml:space="preserve">Category 1 covers 503A compounding of non-injectable GHK-Cu under FDA's interim policy. It approves nothing, and it covers neither research products nor injection.</w:t>
      </w:r>
    </w:p>
    <w:bookmarkEnd w:id="179"/>
    <w:bookmarkStart w:id="180" w:name="my-practice-from-the-next-conversation."/>
    <w:p>
      <w:pPr>
        <w:pStyle w:val="Heading3"/>
      </w:pPr>
      <w:r>
        <w:t xml:space="preserve">20 / 20 · My practice, from the next conversation.</w:t>
      </w:r>
    </w:p>
    <w:p>
      <w:pPr>
        <w:pStyle w:val="FirstParagraph"/>
      </w:pPr>
      <w:r>
        <w:rPr>
          <w:i/>
          <w:iCs/>
        </w:rPr>
        <w:t xml:space="preserve">Closing and commitment · action</w:t>
      </w:r>
    </w:p>
    <w:p>
      <w:pPr>
        <w:pStyle w:val="BodyText"/>
      </w:pPr>
      <w:r>
        <w:t xml:space="preserve">This is the last moment of the course. Build the commitment you will actually keep; it is saved to your path, and your tutor will bring it back. The course is designed toward future CME accreditation and does not award credit at this time.</w:t>
      </w:r>
    </w:p>
    <w:p>
      <w:pPr>
        <w:pStyle w:val="BodyText"/>
      </w:pPr>
      <w:r>
        <w:rPr>
          <w:b/>
          <w:bCs/>
        </w:rPr>
        <w:t xml:space="preserve">Exercise (chips) · My practice commitment</w:t>
      </w:r>
      <w:r>
        <w:t xml:space="preserve"> </w:t>
      </w:r>
      <w:r>
        <w:t xml:space="preserve">— Tap everything you will do. Choose as many as you like.</w:t>
      </w:r>
      <w:r>
        <w:t xml:space="preserve"> </w:t>
      </w:r>
      <w:r>
        <w:rPr>
          <w:i/>
          <w:iCs/>
        </w:rPr>
        <w:t xml:space="preserve">In every peptide conversation from now on I will …</w:t>
      </w:r>
      <w:r>
        <w:t xml:space="preserve"> </w:t>
      </w:r>
      <w:r>
        <w:t xml:space="preserve">grade the outcome the patient wants, and name what lowers it · ask who ran and paid for the trials · check the live FDA lists on the day, and date the check · read a certificate for what it cannot prove · keep research-use-only products out of care · chart the regime, the grade and the consent in plain words</w:t>
      </w:r>
    </w:p>
    <w:p>
      <w:pPr>
        <w:pStyle w:val="BodyText"/>
      </w:pPr>
      <w:r>
        <w:rPr>
          <w:b/>
          <w:bCs/>
        </w:rPr>
        <w:t xml:space="preserve">By role</w:t>
      </w:r>
      <w:r>
        <w:t xml:space="preserve"> </w:t>
      </w:r>
      <w:r>
        <w:t xml:space="preserve">-</w:t>
      </w:r>
      <w:r>
        <w:t xml:space="preserve"> </w:t>
      </w:r>
      <w:r>
        <w:rPr>
          <w:i/>
          <w:iCs/>
        </w:rPr>
        <w:t xml:space="preserve">Prescriber:</w:t>
      </w:r>
      <w:r>
        <w:t xml:space="preserve"> </w:t>
      </w:r>
      <w:r>
        <w:t xml:space="preserve">Your commitment ends with the chart: the regime, the grade, the consent and a dated status check.</w:t>
      </w:r>
      <w:r>
        <w:t xml:space="preserve"> </w:t>
      </w:r>
      <w:r>
        <w:t xml:space="preserve">-</w:t>
      </w:r>
      <w:r>
        <w:t xml:space="preserve"> </w:t>
      </w:r>
      <w:r>
        <w:rPr>
          <w:i/>
          <w:iCs/>
        </w:rPr>
        <w:t xml:space="preserve">Clinical staff:</w:t>
      </w:r>
      <w:r>
        <w:t xml:space="preserve"> </w:t>
      </w:r>
      <w:r>
        <w:t xml:space="preserve">Your commitment ends with escalation: anything unapproved, compounded or research-use-only goes to the prescriber the same day, with the product details recorded.</w:t>
      </w:r>
      <w:r>
        <w:t xml:space="preserve"> </w:t>
      </w:r>
      <w:r>
        <w:t xml:space="preserve">-</w:t>
      </w:r>
      <w:r>
        <w:t xml:space="preserve"> </w:t>
      </w:r>
      <w:r>
        <w:rPr>
          <w:i/>
          <w:iCs/>
        </w:rPr>
        <w:t xml:space="preserve">Advisor:</w:t>
      </w:r>
      <w:r>
        <w:t xml:space="preserve"> </w:t>
      </w:r>
      <w:r>
        <w:t xml:space="preserve">Your commitment ends with referral: you explain grades and categories, and treatment decisions go to a prescriber.</w:t>
      </w:r>
    </w:p>
    <w:p>
      <w:pPr>
        <w:pStyle w:val="BodyText"/>
      </w:pPr>
      <w:r>
        <w:t xml:space="preserve">Sources: The Peptide Pocket Guide — 2026 Edition · Clinical Reference (seventy-two entries) 2026 · Aesthetic &amp; Regenerative Endocrinology — A Clinician's Pocket Guide 2026</w:t>
      </w:r>
    </w:p>
    <w:bookmarkEnd w:id="180"/>
    <w:bookmarkEnd w:id="181"/>
    <w:bookmarkStart w:id="182" w:name="module-check-6"/>
    <w:p>
      <w:pPr>
        <w:pStyle w:val="Heading2"/>
      </w:pPr>
      <w:r>
        <w:t xml:space="preserve">Module check</w:t>
      </w:r>
    </w:p>
    <w:p>
      <w:pPr>
        <w:pStyle w:val="FirstParagraph"/>
      </w:pPr>
      <w:r>
        <w:rPr>
          <w:b/>
          <w:bCs/>
        </w:rPr>
        <w:t xml:space="preserve">Q.</w:t>
      </w:r>
      <w:r>
        <w:t xml:space="preserve"> </w:t>
      </w:r>
      <w:r>
        <w:t xml:space="preserve">Closing Module 7: which statement keeps evidence, regulatory status and product quality apart?</w:t>
      </w:r>
      <w:r>
        <w:t xml:space="preserve"> </w:t>
      </w:r>
      <w:r>
        <w:t xml:space="preserve">- ✗ The certificate shows 99% purity, so the peptide is evidence-based and fine to compound. —</w:t>
      </w:r>
      <w:r>
        <w:t xml:space="preserve"> </w:t>
      </w:r>
      <w:r>
        <w:rPr>
          <w:i/>
          <w:iCs/>
        </w:rPr>
        <w:t xml:space="preserve">That blends product quality into evidence and legality. Purity says nothing about whether it works or whether any route is lawful.</w:t>
      </w:r>
      <w:r>
        <w:t xml:space="preserve"> </w:t>
      </w:r>
      <w:r>
        <w:t xml:space="preserve">- ✔ Topical GHK-Cu: small-trial evidence (C); in the US, non-injectable use sits in 503A Category 1, under evaluation; its certificate can show identity and purity, never sterility or legality. —</w:t>
      </w:r>
      <w:r>
        <w:t xml:space="preserve"> </w:t>
      </w:r>
      <w:r>
        <w:rPr>
          <w:i/>
          <w:iCs/>
        </w:rPr>
        <w:t xml:space="preserve">Correct. Three separate answers, each with its own source.</w:t>
      </w:r>
      <w:r>
        <w:t xml:space="preserve"> </w:t>
      </w:r>
      <w:r>
        <w:t xml:space="preserve">- ✗ GHK-Cu is in Category 1, so it is approved for skin and the evidence question is settled. —</w:t>
      </w:r>
      <w:r>
        <w:t xml:space="preserve"> </w:t>
      </w:r>
      <w:r>
        <w:rPr>
          <w:i/>
          <w:iCs/>
        </w:rPr>
        <w:t xml:space="preserve">Category 1 is an enforcement posture while FDA evaluates. It approves nothing and says nothing about evidence.</w:t>
      </w:r>
    </w:p>
    <w:p>
      <w:r>
        <w:pict>
          <v:rect style="width:0;height:1.5pt" o:hralign="center" o:hrstd="t" o:hr="t"/>
        </w:pict>
      </w:r>
    </w:p>
    <w:bookmarkEnd w:id="182"/>
    <w:bookmarkStart w:id="183" w:name="final-quiz-14-questions-pass-mark-80"/>
    <w:p>
      <w:pPr>
        <w:pStyle w:val="Heading2"/>
      </w:pPr>
      <w:r>
        <w:t xml:space="preserve">Final quiz (14 questions, pass mark 80%)</w:t>
      </w:r>
    </w:p>
    <w:p>
      <w:pPr>
        <w:pStyle w:val="FirstParagraph"/>
      </w:pPr>
      <w:r>
        <w:rPr>
          <w:b/>
          <w:bCs/>
        </w:rPr>
        <w:t xml:space="preserve">Q1</w:t>
      </w:r>
      <w:r>
        <w:t xml:space="preserve"> </w:t>
      </w:r>
      <w:r>
        <w:t xml:space="preserve">(m01,</w:t>
      </w:r>
      <w:r>
        <w:t xml:space="preserve"> </w:t>
      </w:r>
      <w:r>
        <w:rPr>
          <w:rStyle w:val="VerbatimChar"/>
        </w:rPr>
        <w:t xml:space="preserve">cq-m01-1</w:t>
      </w:r>
      <w:r>
        <w:t xml:space="preserve">) A single-cell RNA atlas predicts that a skin cell type can make a hormone. What would move that finding toward proof of secretion?</w:t>
      </w:r>
    </w:p>
    <w:p>
      <w:pPr>
        <w:pStyle w:val="Compact"/>
        <w:numPr>
          <w:ilvl w:val="0"/>
          <w:numId w:val="1065"/>
        </w:numPr>
      </w:pPr>
      <w:r>
        <w:rPr>
          <w:b/>
          <w:bCs/>
        </w:rPr>
        <w:t xml:space="preserve">✓</w:t>
      </w:r>
      <w:r>
        <w:t xml:space="preserve"> </w:t>
      </w:r>
      <w:r>
        <w:t xml:space="preserve">Showing the hormone protein and its release by those cells, then its effect in tissue or in people. —</w:t>
      </w:r>
      <w:r>
        <w:t xml:space="preserve"> </w:t>
      </w:r>
      <w:r>
        <w:rPr>
          <w:i/>
          <w:iCs/>
        </w:rPr>
        <w:t xml:space="preserve">Correct. RNA is the first rung; protein, release and function are the next.</w:t>
      </w:r>
    </w:p>
    <w:p>
      <w:pPr>
        <w:pStyle w:val="Compact"/>
        <w:numPr>
          <w:ilvl w:val="0"/>
          <w:numId w:val="1065"/>
        </w:numPr>
      </w:pPr>
      <w:r>
        <w:t xml:space="preserve">· Finding the same RNA in a second atlas. —</w:t>
      </w:r>
      <w:r>
        <w:t xml:space="preserve"> </w:t>
      </w:r>
      <w:r>
        <w:rPr>
          <w:i/>
          <w:iCs/>
        </w:rPr>
        <w:t xml:space="preserve">Replicating the RNA confirms the transcript, which is still a prediction about secretion.</w:t>
      </w:r>
    </w:p>
    <w:p>
      <w:pPr>
        <w:pStyle w:val="Compact"/>
        <w:numPr>
          <w:ilvl w:val="0"/>
          <w:numId w:val="1065"/>
        </w:numPr>
      </w:pPr>
      <w:r>
        <w:t xml:space="preserve">· Finding the hormone's receptor RNA in neighbouring cells. —</w:t>
      </w:r>
      <w:r>
        <w:t xml:space="preserve"> </w:t>
      </w:r>
      <w:r>
        <w:rPr>
          <w:i/>
          <w:iCs/>
        </w:rPr>
        <w:t xml:space="preserve">That predicts a possible receiver; it does not show the hormone is made or released.</w:t>
      </w:r>
    </w:p>
    <w:p>
      <w:pPr>
        <w:pStyle w:val="FirstParagraph"/>
      </w:pPr>
      <w:r>
        <w:t xml:space="preserve">Sources: fei-2026-hormone-cell-atlas, hormone-cell-atlas-portal, liu-2016-mrna-protein</w:t>
      </w:r>
    </w:p>
    <w:p>
      <w:pPr>
        <w:pStyle w:val="BodyText"/>
      </w:pPr>
      <w:r>
        <w:rPr>
          <w:b/>
          <w:bCs/>
        </w:rPr>
        <w:t xml:space="preserve">Q2</w:t>
      </w:r>
      <w:r>
        <w:t xml:space="preserve"> </w:t>
      </w:r>
      <w:r>
        <w:t xml:space="preserve">(m01,</w:t>
      </w:r>
      <w:r>
        <w:t xml:space="preserve"> </w:t>
      </w:r>
      <w:r>
        <w:rPr>
          <w:rStyle w:val="VerbatimChar"/>
        </w:rPr>
        <w:t xml:space="preserve">cq-m01-2</w:t>
      </w:r>
      <w:r>
        <w:t xml:space="preserve">) Which finding is a local cutaneous feedback loop rather than systemic endocrine signalling?</w:t>
      </w:r>
    </w:p>
    <w:p>
      <w:pPr>
        <w:pStyle w:val="Compact"/>
        <w:numPr>
          <w:ilvl w:val="0"/>
          <w:numId w:val="1066"/>
        </w:numPr>
      </w:pPr>
      <w:r>
        <w:t xml:space="preserve">· Skin-made vitamin D3 carried by the blood to the liver. —</w:t>
      </w:r>
      <w:r>
        <w:t xml:space="preserve"> </w:t>
      </w:r>
      <w:r>
        <w:rPr>
          <w:i/>
          <w:iCs/>
        </w:rPr>
        <w:t xml:space="preserve">That is the skin supplying a whole-body hormone system: skin to body.</w:t>
      </w:r>
    </w:p>
    <w:p>
      <w:pPr>
        <w:pStyle w:val="Compact"/>
        <w:numPr>
          <w:ilvl w:val="0"/>
          <w:numId w:val="1066"/>
        </w:numPr>
      </w:pPr>
      <w:r>
        <w:rPr>
          <w:b/>
          <w:bCs/>
        </w:rPr>
        <w:t xml:space="preserve">✓</w:t>
      </w:r>
      <w:r>
        <w:t xml:space="preserve"> </w:t>
      </w:r>
      <w:r>
        <w:t xml:space="preserve">Human scalp follicles in culture secrete cortisol and then reduce their own CRH. —</w:t>
      </w:r>
      <w:r>
        <w:t xml:space="preserve"> </w:t>
      </w:r>
      <w:r>
        <w:rPr>
          <w:i/>
          <w:iCs/>
        </w:rPr>
        <w:t xml:space="preserve">Correct. Made, sensed and fed back within the follicle, with no systemic connection.</w:t>
      </w:r>
    </w:p>
    <w:p>
      <w:pPr>
        <w:pStyle w:val="Compact"/>
        <w:numPr>
          <w:ilvl w:val="0"/>
          <w:numId w:val="1066"/>
        </w:numPr>
      </w:pPr>
      <w:r>
        <w:t xml:space="preserve">· Thin skin and striae in Cushing syndrome. —</w:t>
      </w:r>
      <w:r>
        <w:t xml:space="preserve"> </w:t>
      </w:r>
      <w:r>
        <w:rPr>
          <w:i/>
          <w:iCs/>
        </w:rPr>
        <w:t xml:space="preserve">Circulating cortisol excess acting on the skin: body to skin.</w:t>
      </w:r>
    </w:p>
    <w:p>
      <w:pPr>
        <w:pStyle w:val="FirstParagraph"/>
      </w:pPr>
      <w:r>
        <w:t xml:space="preserve">Sources: ito-2005-hair-follicle-hpa, holick-1980-previtamin-d3, hannah-shmouni-2026-are</w:t>
      </w:r>
    </w:p>
    <w:p>
      <w:pPr>
        <w:pStyle w:val="BodyText"/>
      </w:pPr>
      <w:r>
        <w:rPr>
          <w:b/>
          <w:bCs/>
        </w:rPr>
        <w:t xml:space="preserve">Q3</w:t>
      </w:r>
      <w:r>
        <w:t xml:space="preserve"> </w:t>
      </w:r>
      <w:r>
        <w:t xml:space="preserve">(m02,</w:t>
      </w:r>
      <w:r>
        <w:t xml:space="preserve"> </w:t>
      </w:r>
      <w:r>
        <w:rPr>
          <w:rStyle w:val="VerbatimChar"/>
        </w:rPr>
        <w:t xml:space="preserve">cq-m02-1</w:t>
      </w:r>
      <w:r>
        <w:t xml:space="preserve">) Why can a blood or saliva cortisol level not tell you how much cortisol a patient's skin is generating?</w:t>
      </w:r>
    </w:p>
    <w:p>
      <w:pPr>
        <w:pStyle w:val="Compact"/>
        <w:numPr>
          <w:ilvl w:val="0"/>
          <w:numId w:val="1067"/>
        </w:numPr>
      </w:pPr>
      <w:r>
        <w:rPr>
          <w:b/>
          <w:bCs/>
        </w:rPr>
        <w:t xml:space="preserve">✓</w:t>
      </w:r>
      <w:r>
        <w:t xml:space="preserve"> </w:t>
      </w:r>
      <w:r>
        <w:t xml:space="preserve">Because 11β-HSD1 regenerates cortisol inside skin cells, and local availability is regulated independently of circulating levels. —</w:t>
      </w:r>
      <w:r>
        <w:t xml:space="preserve"> </w:t>
      </w:r>
      <w:r>
        <w:rPr>
          <w:i/>
          <w:iCs/>
        </w:rPr>
        <w:t xml:space="preserve">Correct: a mechanism shown in human skin samples and mice.</w:t>
      </w:r>
    </w:p>
    <w:p>
      <w:pPr>
        <w:pStyle w:val="Compact"/>
        <w:numPr>
          <w:ilvl w:val="0"/>
          <w:numId w:val="1067"/>
        </w:numPr>
      </w:pPr>
      <w:r>
        <w:t xml:space="preserve">· Because skin cells cannot make or activate cortisol. —</w:t>
      </w:r>
      <w:r>
        <w:t xml:space="preserve"> </w:t>
      </w:r>
      <w:r>
        <w:rPr>
          <w:i/>
          <w:iCs/>
        </w:rPr>
        <w:t xml:space="preserve">They can: skin expresses an HPA-like axis, and 11β-HSD1 regenerates cortisol locally.</w:t>
      </w:r>
    </w:p>
    <w:p>
      <w:pPr>
        <w:pStyle w:val="Compact"/>
        <w:numPr>
          <w:ilvl w:val="0"/>
          <w:numId w:val="1067"/>
        </w:numPr>
      </w:pPr>
      <w:r>
        <w:t xml:space="preserve">· Because saliva and blood cortisol tests are unreliable for everything. —</w:t>
      </w:r>
      <w:r>
        <w:t xml:space="preserve"> </w:t>
      </w:r>
      <w:r>
        <w:rPr>
          <w:i/>
          <w:iCs/>
        </w:rPr>
        <w:t xml:space="preserve">Late-night salivary cortisol is a first-line test for Cushing's syndrome; it measures systemic cortisol, which is a different question.</w:t>
      </w:r>
    </w:p>
    <w:p>
      <w:pPr>
        <w:pStyle w:val="FirstParagraph"/>
      </w:pPr>
      <w:r>
        <w:t xml:space="preserve">Sources: tiganescu-2011-11bhsd1-skin, nieman-2008-cushings-diagnosis-guideline</w:t>
      </w:r>
    </w:p>
    <w:p>
      <w:pPr>
        <w:pStyle w:val="BodyText"/>
      </w:pPr>
      <w:r>
        <w:rPr>
          <w:b/>
          <w:bCs/>
        </w:rPr>
        <w:t xml:space="preserve">Q4</w:t>
      </w:r>
      <w:r>
        <w:t xml:space="preserve"> </w:t>
      </w:r>
      <w:r>
        <w:t xml:space="preserve">(m02,</w:t>
      </w:r>
      <w:r>
        <w:t xml:space="preserve"> </w:t>
      </w:r>
      <w:r>
        <w:rPr>
          <w:rStyle w:val="VerbatimChar"/>
        </w:rPr>
        <w:t xml:space="preserve">cq-m02-2</w:t>
      </w:r>
      <w:r>
        <w:t xml:space="preserve">) A patient asks whether starting hormone therapy at menopause will stop her wrinkles. Which answer fits the evidence?</w:t>
      </w:r>
    </w:p>
    <w:p>
      <w:pPr>
        <w:pStyle w:val="Compact"/>
        <w:numPr>
          <w:ilvl w:val="0"/>
          <w:numId w:val="1068"/>
        </w:numPr>
      </w:pPr>
      <w:r>
        <w:t xml:space="preserve">· Yes: estrogen rebuilds collagen, so her wrinkles will improve. —</w:t>
      </w:r>
      <w:r>
        <w:t xml:space="preserve"> </w:t>
      </w:r>
      <w:r>
        <w:rPr>
          <w:i/>
          <w:iCs/>
        </w:rPr>
        <w:t xml:space="preserve">Small trials show thicker skin, but the largest trials found no difference in wrinkles.</w:t>
      </w:r>
    </w:p>
    <w:p>
      <w:pPr>
        <w:pStyle w:val="Compact"/>
        <w:numPr>
          <w:ilvl w:val="0"/>
          <w:numId w:val="1068"/>
        </w:numPr>
      </w:pPr>
      <w:r>
        <w:rPr>
          <w:b/>
          <w:bCs/>
        </w:rPr>
        <w:t xml:space="preserve">✓</w:t>
      </w:r>
      <w:r>
        <w:t xml:space="preserve"> </w:t>
      </w:r>
      <w:r>
        <w:t xml:space="preserve">It may thicken the skin a little, the largest trials found no difference in wrinkles, and skin is not a reason to start; hot flashes or vaginal symptoms are worth discussing with a prescriber. —</w:t>
      </w:r>
      <w:r>
        <w:t xml:space="preserve"> </w:t>
      </w:r>
      <w:r>
        <w:rPr>
          <w:i/>
          <w:iCs/>
        </w:rPr>
        <w:t xml:space="preserve">Correct: a secondary effect, and an indication-led decision.</w:t>
      </w:r>
    </w:p>
    <w:p>
      <w:pPr>
        <w:pStyle w:val="Compact"/>
        <w:numPr>
          <w:ilvl w:val="0"/>
          <w:numId w:val="1068"/>
        </w:numPr>
      </w:pPr>
      <w:r>
        <w:t xml:space="preserve">· It has no effect on skin at all. —</w:t>
      </w:r>
      <w:r>
        <w:t xml:space="preserve"> </w:t>
      </w:r>
      <w:r>
        <w:rPr>
          <w:i/>
          <w:iCs/>
        </w:rPr>
        <w:t xml:space="preserve">Small RCTs do show gains in thickness and collagen; what is unproven is a visible wrinkle benefit.</w:t>
      </w:r>
    </w:p>
    <w:p>
      <w:pPr>
        <w:pStyle w:val="FirstParagraph"/>
      </w:pPr>
      <w:r>
        <w:t xml:space="preserve">Sources: phillips-2008-ht-facial-skin-rct, maheux-1994-cee-skin-thickness-rct, fda-mht-labeling-approval-2026-02-12, nams-2022-hormone-therapy-position-statement</w:t>
      </w:r>
    </w:p>
    <w:p>
      <w:pPr>
        <w:pStyle w:val="BodyText"/>
      </w:pPr>
      <w:r>
        <w:rPr>
          <w:b/>
          <w:bCs/>
        </w:rPr>
        <w:t xml:space="preserve">Q5</w:t>
      </w:r>
      <w:r>
        <w:t xml:space="preserve"> </w:t>
      </w:r>
      <w:r>
        <w:t xml:space="preserve">(m03,</w:t>
      </w:r>
      <w:r>
        <w:t xml:space="preserve"> </w:t>
      </w:r>
      <w:r>
        <w:rPr>
          <w:rStyle w:val="VerbatimChar"/>
        </w:rPr>
        <w:t xml:space="preserve">m03-cq1</w:t>
      </w:r>
      <w:r>
        <w:t xml:space="preserve">) A colleague says tirzepatide is 'GRADE A', so its effect on the face must be well established. What is wrong with that reasoning?</w:t>
      </w:r>
    </w:p>
    <w:p>
      <w:pPr>
        <w:pStyle w:val="Compact"/>
        <w:numPr>
          <w:ilvl w:val="0"/>
          <w:numId w:val="1069"/>
        </w:numPr>
      </w:pPr>
      <w:r>
        <w:t xml:space="preserve">· Nothing: a drug's grade applies to all of its effects. —</w:t>
      </w:r>
      <w:r>
        <w:t xml:space="preserve"> </w:t>
      </w:r>
      <w:r>
        <w:rPr>
          <w:i/>
          <w:iCs/>
        </w:rPr>
        <w:t xml:space="preserve">Grades attach to a specific outcome in a specific population. The pivotal trials measured weight and never the face.</w:t>
      </w:r>
    </w:p>
    <w:p>
      <w:pPr>
        <w:pStyle w:val="Compact"/>
        <w:numPr>
          <w:ilvl w:val="0"/>
          <w:numId w:val="1069"/>
        </w:numPr>
      </w:pPr>
      <w:r>
        <w:rPr>
          <w:b/>
          <w:bCs/>
        </w:rPr>
        <w:t xml:space="preserve">✓</w:t>
      </w:r>
      <w:r>
        <w:t xml:space="preserve"> </w:t>
      </w:r>
      <w:r>
        <w:t xml:space="preserve">Grades attach to outcomes: weight loss is A from large randomized trials, while facial change rests on small observational studies. —</w:t>
      </w:r>
      <w:r>
        <w:t xml:space="preserve"> </w:t>
      </w:r>
      <w:r>
        <w:rPr>
          <w:i/>
          <w:iCs/>
        </w:rPr>
        <w:t xml:space="preserve">Correct. One grade per outcome.</w:t>
      </w:r>
    </w:p>
    <w:p>
      <w:pPr>
        <w:pStyle w:val="Compact"/>
        <w:numPr>
          <w:ilvl w:val="0"/>
          <w:numId w:val="1069"/>
        </w:numPr>
      </w:pPr>
      <w:r>
        <w:t xml:space="preserve">· Tirzepatide has no GRADE A evidence for anything. —</w:t>
      </w:r>
      <w:r>
        <w:t xml:space="preserve"> </w:t>
      </w:r>
      <w:r>
        <w:rPr>
          <w:i/>
          <w:iCs/>
        </w:rPr>
        <w:t xml:space="preserve">It does, for weight management and type 2 diabetes, from large randomized trials such as SURMOUNT-1.</w:t>
      </w:r>
    </w:p>
    <w:p>
      <w:pPr>
        <w:pStyle w:val="FirstParagraph"/>
      </w:pPr>
      <w:r>
        <w:t xml:space="preserve">Sources: jastreboff-2022-surmount1, sharma-2025-midface-volume-glp1, rao-2026-glp1-skin-pro-survey, hannah-shmouni-2026-are</w:t>
      </w:r>
    </w:p>
    <w:p>
      <w:pPr>
        <w:pStyle w:val="BodyText"/>
      </w:pPr>
      <w:r>
        <w:rPr>
          <w:b/>
          <w:bCs/>
        </w:rPr>
        <w:t xml:space="preserve">Q6</w:t>
      </w:r>
      <w:r>
        <w:t xml:space="preserve"> </w:t>
      </w:r>
      <w:r>
        <w:t xml:space="preserve">(m03,</w:t>
      </w:r>
      <w:r>
        <w:t xml:space="preserve"> </w:t>
      </w:r>
      <w:r>
        <w:rPr>
          <w:rStyle w:val="VerbatimChar"/>
        </w:rPr>
        <w:t xml:space="preserve">m03-cq2</w:t>
      </w:r>
      <w:r>
        <w:t xml:space="preserve">) Which statement about the gut–skin link is best supported by the evidence?</w:t>
      </w:r>
    </w:p>
    <w:p>
      <w:pPr>
        <w:pStyle w:val="Compact"/>
        <w:numPr>
          <w:ilvl w:val="0"/>
          <w:numId w:val="1070"/>
        </w:numPr>
      </w:pPr>
      <w:r>
        <w:t xml:space="preserve">· Probiotic capsules reliably clear eczema by repairing the gut barrier. —</w:t>
      </w:r>
      <w:r>
        <w:t xml:space="preserve"> </w:t>
      </w:r>
      <w:r>
        <w:rPr>
          <w:i/>
          <w:iCs/>
        </w:rPr>
        <w:t xml:space="preserve">Pooled trials show little or no difference in patient-rated eczema symptoms.</w:t>
      </w:r>
    </w:p>
    <w:p>
      <w:pPr>
        <w:pStyle w:val="Compact"/>
        <w:numPr>
          <w:ilvl w:val="0"/>
          <w:numId w:val="1070"/>
        </w:numPr>
      </w:pPr>
      <w:r>
        <w:rPr>
          <w:b/>
          <w:bCs/>
        </w:rPr>
        <w:t xml:space="preserve">✓</w:t>
      </w:r>
      <w:r>
        <w:t xml:space="preserve"> </w:t>
      </w:r>
      <w:r>
        <w:t xml:space="preserve">Metabolic endotoxaemia is shown in mice and small human studies, but restoring the gut barrier has not been shown to improve disease outside the gut. —</w:t>
      </w:r>
      <w:r>
        <w:t xml:space="preserve"> </w:t>
      </w:r>
      <w:r>
        <w:rPr>
          <w:i/>
          <w:iCs/>
        </w:rPr>
        <w:t xml:space="preserve">Correct. Mechanism in mice and short-term human physiology; no proof that barrier repair helps the skin.</w:t>
      </w:r>
    </w:p>
    <w:p>
      <w:pPr>
        <w:pStyle w:val="Compact"/>
        <w:numPr>
          <w:ilvl w:val="0"/>
          <w:numId w:val="1070"/>
        </w:numPr>
      </w:pPr>
      <w:r>
        <w:t xml:space="preserve">· A zonulin blood test identifies patients whose skin disease comes from a leaky gut. —</w:t>
      </w:r>
      <w:r>
        <w:t xml:space="preserve"> </w:t>
      </w:r>
      <w:r>
        <w:rPr>
          <w:i/>
          <w:iCs/>
        </w:rPr>
        <w:t xml:space="preserve">A widely used zonulin assay detects proteins other than zonulin.</w:t>
      </w:r>
    </w:p>
    <w:p>
      <w:pPr>
        <w:pStyle w:val="FirstParagraph"/>
      </w:pPr>
      <w:r>
        <w:t xml:space="preserve">Sources: cani-2007-metabolic-endotoxemia, erridge-2007-high-fat-meal-endotoxemia, camilleri-2019-leaky-gut, makrgeorgou-2018-cochrane-probiotics-eczema, scheffler-2018-zonulin-elisa</w:t>
      </w:r>
    </w:p>
    <w:p>
      <w:pPr>
        <w:pStyle w:val="BodyText"/>
      </w:pPr>
      <w:r>
        <w:rPr>
          <w:b/>
          <w:bCs/>
        </w:rPr>
        <w:t xml:space="preserve">Q7</w:t>
      </w:r>
      <w:r>
        <w:t xml:space="preserve"> </w:t>
      </w:r>
      <w:r>
        <w:t xml:space="preserve">(m04,</w:t>
      </w:r>
      <w:r>
        <w:t xml:space="preserve"> </w:t>
      </w:r>
      <w:r>
        <w:rPr>
          <w:rStyle w:val="VerbatimChar"/>
        </w:rPr>
        <w:t xml:space="preserve">cq-m04-1</w:t>
      </w:r>
      <w:r>
        <w:t xml:space="preserve">) Which statement about topical GHK-Cu keeps its evidence and its regulatory status apart correctly?</w:t>
      </w:r>
    </w:p>
    <w:p>
      <w:pPr>
        <w:pStyle w:val="Compact"/>
        <w:numPr>
          <w:ilvl w:val="0"/>
          <w:numId w:val="1071"/>
        </w:numPr>
      </w:pPr>
      <w:r>
        <w:rPr>
          <w:b/>
          <w:bCs/>
        </w:rPr>
        <w:t xml:space="preserve">✓</w:t>
      </w:r>
      <w:r>
        <w:t xml:space="preserve"> </w:t>
      </w:r>
      <w:r>
        <w:t xml:space="preserve">It is GRADE C on small trials, and in the US its non-injectable form sits in 503A Category 1, which means under evaluation. —</w:t>
      </w:r>
      <w:r>
        <w:t xml:space="preserve"> </w:t>
      </w:r>
      <w:r>
        <w:rPr>
          <w:i/>
          <w:iCs/>
        </w:rPr>
        <w:t xml:space="preserve">Correct. Two separate answers: small-trial human evidence, and an enforcement posture that is not an approval.</w:t>
      </w:r>
    </w:p>
    <w:p>
      <w:pPr>
        <w:pStyle w:val="Compact"/>
        <w:numPr>
          <w:ilvl w:val="0"/>
          <w:numId w:val="1071"/>
        </w:numPr>
      </w:pPr>
      <w:r>
        <w:t xml:space="preserve">· Its Category 1 listing shows FDA has found it effective for skin. —</w:t>
      </w:r>
      <w:r>
        <w:t xml:space="preserve"> </w:t>
      </w:r>
      <w:r>
        <w:rPr>
          <w:i/>
          <w:iCs/>
        </w:rPr>
        <w:t xml:space="preserve">Category 1 means FDA is still evaluating; it says nothing about efficacy.</w:t>
      </w:r>
    </w:p>
    <w:p>
      <w:pPr>
        <w:pStyle w:val="Compact"/>
        <w:numPr>
          <w:ilvl w:val="0"/>
          <w:numId w:val="1071"/>
        </w:numPr>
      </w:pPr>
      <w:r>
        <w:t xml:space="preserve">· Its copper-enzyme mechanism makes its evidence grade A. —</w:t>
      </w:r>
      <w:r>
        <w:t xml:space="preserve"> </w:t>
      </w:r>
      <w:r>
        <w:rPr>
          <w:i/>
          <w:iCs/>
        </w:rPr>
        <w:t xml:space="preserve">A plausible mechanism is not human evidence; the trials are small (C).</w:t>
      </w:r>
    </w:p>
    <w:p>
      <w:pPr>
        <w:pStyle w:val="FirstParagraph"/>
      </w:pPr>
      <w:r>
        <w:t xml:space="preserve">Sources: miller-2006-ghk-cu-laser-rct, fda-503a-categories-2026-05-14, hannah-shmouni-2026-ppg-aug</w:t>
      </w:r>
    </w:p>
    <w:p>
      <w:pPr>
        <w:pStyle w:val="BodyText"/>
      </w:pPr>
      <w:r>
        <w:rPr>
          <w:b/>
          <w:bCs/>
        </w:rPr>
        <w:t xml:space="preserve">Q8</w:t>
      </w:r>
      <w:r>
        <w:t xml:space="preserve"> </w:t>
      </w:r>
      <w:r>
        <w:t xml:space="preserve">(m04,</w:t>
      </w:r>
      <w:r>
        <w:t xml:space="preserve"> </w:t>
      </w:r>
      <w:r>
        <w:rPr>
          <w:rStyle w:val="VerbatimChar"/>
        </w:rPr>
        <w:t xml:space="preserve">cq-m04-2</w:t>
      </w:r>
      <w:r>
        <w:t xml:space="preserve">) Oral collagen trials pooled together look positive. What did splitting them by funding and quality show?</w:t>
      </w:r>
    </w:p>
    <w:p>
      <w:pPr>
        <w:pStyle w:val="Compact"/>
        <w:numPr>
          <w:ilvl w:val="0"/>
          <w:numId w:val="1072"/>
        </w:numPr>
      </w:pPr>
      <w:r>
        <w:t xml:space="preserve">· The benefit held in every subgroup. —</w:t>
      </w:r>
      <w:r>
        <w:t xml:space="preserve"> </w:t>
      </w:r>
      <w:r>
        <w:rPr>
          <w:i/>
          <w:iCs/>
        </w:rPr>
        <w:t xml:space="preserve">It did not: independent and high-quality trials showed no effect.</w:t>
      </w:r>
    </w:p>
    <w:p>
      <w:pPr>
        <w:pStyle w:val="Compact"/>
        <w:numPr>
          <w:ilvl w:val="0"/>
          <w:numId w:val="1072"/>
        </w:numPr>
      </w:pPr>
      <w:r>
        <w:rPr>
          <w:b/>
          <w:bCs/>
        </w:rPr>
        <w:t xml:space="preserve">✓</w:t>
      </w:r>
      <w:r>
        <w:t xml:space="preserve"> </w:t>
      </w:r>
      <w:r>
        <w:t xml:space="preserve">The benefit appeared only in pharmaceutical-funded and lower-quality trials. —</w:t>
      </w:r>
      <w:r>
        <w:t xml:space="preserve"> </w:t>
      </w:r>
      <w:r>
        <w:rPr>
          <w:i/>
          <w:iCs/>
        </w:rPr>
        <w:t xml:space="preserve">Correct — Myung and Park, 2025, 23 RCTs.</w:t>
      </w:r>
    </w:p>
    <w:p>
      <w:pPr>
        <w:pStyle w:val="Compact"/>
        <w:numPr>
          <w:ilvl w:val="0"/>
          <w:numId w:val="1072"/>
        </w:numPr>
      </w:pPr>
      <w:r>
        <w:t xml:space="preserve">· Independent trials showed harm. —</w:t>
      </w:r>
      <w:r>
        <w:t xml:space="preserve"> </w:t>
      </w:r>
      <w:r>
        <w:rPr>
          <w:i/>
          <w:iCs/>
        </w:rPr>
        <w:t xml:space="preserve">No harm signal was reported; the finding is about absence of benefit.</w:t>
      </w:r>
    </w:p>
    <w:p>
      <w:pPr>
        <w:pStyle w:val="FirstParagraph"/>
      </w:pPr>
      <w:r>
        <w:t xml:space="preserve">Sources: myung-2025-collagen-funding-meta, pu-2023-oral-collagen-meta</w:t>
      </w:r>
    </w:p>
    <w:p>
      <w:pPr>
        <w:pStyle w:val="BodyText"/>
      </w:pPr>
      <w:r>
        <w:rPr>
          <w:b/>
          <w:bCs/>
        </w:rPr>
        <w:t xml:space="preserve">Q9</w:t>
      </w:r>
      <w:r>
        <w:t xml:space="preserve"> </w:t>
      </w:r>
      <w:r>
        <w:t xml:space="preserve">(m05,</w:t>
      </w:r>
      <w:r>
        <w:t xml:space="preserve"> </w:t>
      </w:r>
      <w:r>
        <w:rPr>
          <w:rStyle w:val="VerbatimChar"/>
        </w:rPr>
        <w:t xml:space="preserve">cq-m05-1</w:t>
      </w:r>
      <w:r>
        <w:t xml:space="preserve">) Which statement about afamelanotide and Melanotan II is accurate?</w:t>
      </w:r>
    </w:p>
    <w:p>
      <w:pPr>
        <w:pStyle w:val="Compact"/>
        <w:numPr>
          <w:ilvl w:val="0"/>
          <w:numId w:val="1073"/>
        </w:numPr>
      </w:pPr>
      <w:r>
        <w:rPr>
          <w:b/>
          <w:bCs/>
        </w:rPr>
        <w:t xml:space="preserve">✓</w:t>
      </w:r>
      <w:r>
        <w:t xml:space="preserve"> </w:t>
      </w:r>
      <w:r>
        <w:t xml:space="preserve">Afamelanotide is approved (EU 2014, US 2019) only for erythropoietic protoporphyria; Melanotan II is approved for no indication, and regulators in the US, UK and Australia have warned about it. —</w:t>
      </w:r>
      <w:r>
        <w:t xml:space="preserve"> </w:t>
      </w:r>
      <w:r>
        <w:rPr>
          <w:i/>
          <w:iCs/>
        </w:rPr>
        <w:t xml:space="preserve">Correct. Same receptor family, different molecules, and only one has an approval, for one rare disease.</w:t>
      </w:r>
    </w:p>
    <w:p>
      <w:pPr>
        <w:pStyle w:val="Compact"/>
        <w:numPr>
          <w:ilvl w:val="0"/>
          <w:numId w:val="1073"/>
        </w:numPr>
      </w:pPr>
      <w:r>
        <w:t xml:space="preserve">· Afamelanotide's US approval covers cosmetic tanning. —</w:t>
      </w:r>
      <w:r>
        <w:t xml:space="preserve"> </w:t>
      </w:r>
      <w:r>
        <w:rPr>
          <w:i/>
          <w:iCs/>
        </w:rPr>
        <w:t xml:space="preserve">The US indication is to increase pain-free light exposure in adults with EPP; tanning is not an approved use.</w:t>
      </w:r>
    </w:p>
    <w:p>
      <w:pPr>
        <w:pStyle w:val="Compact"/>
        <w:numPr>
          <w:ilvl w:val="0"/>
          <w:numId w:val="1073"/>
        </w:numPr>
      </w:pPr>
      <w:r>
        <w:t xml:space="preserve">· Melanotan II became approvable once FDA reviewed it for compounding. —</w:t>
      </w:r>
      <w:r>
        <w:t xml:space="preserve"> </w:t>
      </w:r>
      <w:r>
        <w:rPr>
          <w:i/>
          <w:iCs/>
        </w:rPr>
        <w:t xml:space="preserve">Its compounding nomination was withdrawn, and FDA's page lists serious safety risks. A review is never an approval.</w:t>
      </w:r>
    </w:p>
    <w:p>
      <w:pPr>
        <w:pStyle w:val="FirstParagraph"/>
      </w:pPr>
      <w:r>
        <w:t xml:space="preserve">Sources: ema-scenesse-epar, fda-scenesse-label-2024, fda-503a-category2-safety-risks-page, mhra-foi-24-274-melanotan-ii, tga-2026-melanotan-ii-safety-advisory</w:t>
      </w:r>
    </w:p>
    <w:p>
      <w:pPr>
        <w:pStyle w:val="BodyText"/>
      </w:pPr>
      <w:r>
        <w:rPr>
          <w:b/>
          <w:bCs/>
        </w:rPr>
        <w:t xml:space="preserve">Q10</w:t>
      </w:r>
      <w:r>
        <w:t xml:space="preserve"> </w:t>
      </w:r>
      <w:r>
        <w:t xml:space="preserve">(m05,</w:t>
      </w:r>
      <w:r>
        <w:t xml:space="preserve"> </w:t>
      </w:r>
      <w:r>
        <w:rPr>
          <w:rStyle w:val="VerbatimChar"/>
        </w:rPr>
        <w:t xml:space="preserve">cq-m05-2</w:t>
      </w:r>
      <w:r>
        <w:t xml:space="preserve">) A patient asks about a PTD-DBM hair spray. Which grade fits its evidence, and why?</w:t>
      </w:r>
    </w:p>
    <w:p>
      <w:pPr>
        <w:pStyle w:val="Compact"/>
        <w:numPr>
          <w:ilvl w:val="0"/>
          <w:numId w:val="1074"/>
        </w:numPr>
      </w:pPr>
      <w:r>
        <w:t xml:space="preserve">· A, because it acts on the central Wnt pathway of hair growth. —</w:t>
      </w:r>
      <w:r>
        <w:t xml:space="preserve"> </w:t>
      </w:r>
      <w:r>
        <w:rPr>
          <w:i/>
          <w:iCs/>
        </w:rPr>
        <w:t xml:space="preserve">A plausible pathway is mechanism, and grades rest on human evidence.</w:t>
      </w:r>
    </w:p>
    <w:p>
      <w:pPr>
        <w:pStyle w:val="Compact"/>
        <w:numPr>
          <w:ilvl w:val="0"/>
          <w:numId w:val="1074"/>
        </w:numPr>
      </w:pPr>
      <w:r>
        <w:rPr>
          <w:b/>
          <w:bCs/>
        </w:rPr>
        <w:t xml:space="preserve">✓</w:t>
      </w:r>
      <w:r>
        <w:t xml:space="preserve"> </w:t>
      </w:r>
      <w:r>
        <w:t xml:space="preserve">D: one 2017 study in mice and scalp tissue from the developer's group, and no human trial published or registered as of September 2026. —</w:t>
      </w:r>
      <w:r>
        <w:t xml:space="preserve"> </w:t>
      </w:r>
      <w:r>
        <w:rPr>
          <w:i/>
          <w:iCs/>
        </w:rPr>
        <w:t xml:space="preserve">Correct. Animal and tissue data only, from one group with a commercial link.</w:t>
      </w:r>
    </w:p>
    <w:p>
      <w:pPr>
        <w:pStyle w:val="Compact"/>
        <w:numPr>
          <w:ilvl w:val="0"/>
          <w:numId w:val="1074"/>
        </w:numPr>
      </w:pPr>
      <w:r>
        <w:t xml:space="preserve">· C, because small human trials show regrowth. —</w:t>
      </w:r>
      <w:r>
        <w:t xml:space="preserve"> </w:t>
      </w:r>
      <w:r>
        <w:rPr>
          <w:i/>
          <w:iCs/>
        </w:rPr>
        <w:t xml:space="preserve">No human trial of PTD-DBM exists, small or large.</w:t>
      </w:r>
    </w:p>
    <w:p>
      <w:pPr>
        <w:pStyle w:val="FirstParagraph"/>
      </w:pPr>
      <w:r>
        <w:t xml:space="preserve">Sources: lee-2017-ptd-dbm-cxxc5-hair, mehta-2025-wnt-hair-regrowth-review, hannah-shmouni-2026-ppg-aug</w:t>
      </w:r>
    </w:p>
    <w:p>
      <w:pPr>
        <w:pStyle w:val="BodyText"/>
      </w:pPr>
      <w:r>
        <w:rPr>
          <w:b/>
          <w:bCs/>
        </w:rPr>
        <w:t xml:space="preserve">Q11</w:t>
      </w:r>
      <w:r>
        <w:t xml:space="preserve"> </w:t>
      </w:r>
      <w:r>
        <w:t xml:space="preserve">(m06,</w:t>
      </w:r>
      <w:r>
        <w:t xml:space="preserve"> </w:t>
      </w:r>
      <w:r>
        <w:rPr>
          <w:rStyle w:val="VerbatimChar"/>
        </w:rPr>
        <w:t xml:space="preserve">cq-m06-1</w:t>
      </w:r>
      <w:r>
        <w:t xml:space="preserve">) In the US, as of September 2026, which statement about growth-hormone secretagogues and 503A compounding is accurate?</w:t>
      </w:r>
    </w:p>
    <w:p>
      <w:pPr>
        <w:pStyle w:val="Compact"/>
        <w:numPr>
          <w:ilvl w:val="0"/>
          <w:numId w:val="1075"/>
        </w:numPr>
      </w:pPr>
      <w:r>
        <w:t xml:space="preserve">· Ipamorelin and CJC-1295 are on the 503A bulks list, because clinics compound them widely. —</w:t>
      </w:r>
      <w:r>
        <w:t xml:space="preserve"> </w:t>
      </w:r>
      <w:r>
        <w:rPr>
          <w:i/>
          <w:iCs/>
        </w:rPr>
        <w:t xml:space="preserve">Neither is on the list. FDA's advisory committee voted against ipamorelin in 2024, and both 503A nominations were withdrawn.</w:t>
      </w:r>
    </w:p>
    <w:p>
      <w:pPr>
        <w:pStyle w:val="Compact"/>
        <w:numPr>
          <w:ilvl w:val="0"/>
          <w:numId w:val="1075"/>
        </w:numPr>
      </w:pPr>
      <w:r>
        <w:rPr>
          <w:b/>
          <w:bCs/>
        </w:rPr>
        <w:t xml:space="preserve">✓</w:t>
      </w:r>
      <w:r>
        <w:t xml:space="preserve"> </w:t>
      </w:r>
      <w:r>
        <w:t xml:space="preserve">None of them is on the 503A bulks list; ibutamoren is in FDA's Category 2 for a heart-failure signal, and the ipamorelin and CJC-1295 nominations were withdrawn. —</w:t>
      </w:r>
      <w:r>
        <w:t xml:space="preserve"> </w:t>
      </w:r>
      <w:r>
        <w:rPr>
          <w:i/>
          <w:iCs/>
        </w:rPr>
        <w:t xml:space="preserve">Correct, dated to FDA's category documents of April and May 2026.</w:t>
      </w:r>
    </w:p>
    <w:p>
      <w:pPr>
        <w:pStyle w:val="Compact"/>
        <w:numPr>
          <w:ilvl w:val="0"/>
          <w:numId w:val="1075"/>
        </w:numPr>
      </w:pPr>
      <w:r>
        <w:t xml:space="preserve">· Sermorelin is an FDA-approved product marketed for adult anti-ageing. —</w:t>
      </w:r>
      <w:r>
        <w:t xml:space="preserve"> </w:t>
      </w:r>
      <w:r>
        <w:rPr>
          <w:i/>
          <w:iCs/>
        </w:rPr>
        <w:t xml:space="preserve">No sermorelin product is marketed in the US. Its former approvals were for children with GH deficiency and for diagnostic testing.</w:t>
      </w:r>
    </w:p>
    <w:p>
      <w:pPr>
        <w:pStyle w:val="FirstParagraph"/>
      </w:pPr>
      <w:r>
        <w:t xml:space="preserve">Sources: fda-503a-categories-2026-05-14, fda-503a-category2-safety-risks-page, fda-pcac-2024-10-minutes, fr-2013-geref-determination</w:t>
      </w:r>
    </w:p>
    <w:p>
      <w:pPr>
        <w:pStyle w:val="BodyText"/>
      </w:pPr>
      <w:r>
        <w:rPr>
          <w:b/>
          <w:bCs/>
        </w:rPr>
        <w:t xml:space="preserve">Q12</w:t>
      </w:r>
      <w:r>
        <w:t xml:space="preserve"> </w:t>
      </w:r>
      <w:r>
        <w:t xml:space="preserve">(m06,</w:t>
      </w:r>
      <w:r>
        <w:t xml:space="preserve"> </w:t>
      </w:r>
      <w:r>
        <w:rPr>
          <w:rStyle w:val="VerbatimChar"/>
        </w:rPr>
        <w:t xml:space="preserve">cq-m06-2</w:t>
      </w:r>
      <w:r>
        <w:t xml:space="preserve">) Why does a 'low' IGF-1 in a healthy 60-year-old not, on its own, justify growth-hormone therapy?</w:t>
      </w:r>
    </w:p>
    <w:p>
      <w:pPr>
        <w:pStyle w:val="Compact"/>
        <w:numPr>
          <w:ilvl w:val="0"/>
          <w:numId w:val="1076"/>
        </w:numPr>
      </w:pPr>
      <w:r>
        <w:rPr>
          <w:b/>
          <w:bCs/>
        </w:rPr>
        <w:t xml:space="preserve">✓</w:t>
      </w:r>
      <w:r>
        <w:t xml:space="preserve"> </w:t>
      </w:r>
      <w:r>
        <w:t xml:space="preserve">IGF-1 falls normally with age, and trials in healthy older adults show small body-composition gains with more oedema, joint pain and glucose problems. —</w:t>
      </w:r>
      <w:r>
        <w:t xml:space="preserve"> </w:t>
      </w:r>
      <w:r>
        <w:rPr>
          <w:i/>
          <w:iCs/>
        </w:rPr>
        <w:t xml:space="preserve">Correct. The somatopause is physiology, and the trials point against treatment.</w:t>
      </w:r>
    </w:p>
    <w:p>
      <w:pPr>
        <w:pStyle w:val="Compact"/>
        <w:numPr>
          <w:ilvl w:val="0"/>
          <w:numId w:val="1076"/>
        </w:numPr>
      </w:pPr>
      <w:r>
        <w:t xml:space="preserve">· Because growth hormone has no effect on skin at all. —</w:t>
      </w:r>
      <w:r>
        <w:t xml:space="preserve"> </w:t>
      </w:r>
      <w:r>
        <w:rPr>
          <w:i/>
          <w:iCs/>
        </w:rPr>
        <w:t xml:space="preserve">GH acts on dermal fibroblasts, and GH excess visibly changes skin. The problem is the balance of benefit and harm in healthy adults.</w:t>
      </w:r>
    </w:p>
    <w:p>
      <w:pPr>
        <w:pStyle w:val="Compact"/>
        <w:numPr>
          <w:ilvl w:val="0"/>
          <w:numId w:val="1076"/>
        </w:numPr>
      </w:pPr>
      <w:r>
        <w:t xml:space="preserve">· Because IGF-1 cannot be measured reliably. —</w:t>
      </w:r>
      <w:r>
        <w:t xml:space="preserve"> </w:t>
      </w:r>
      <w:r>
        <w:rPr>
          <w:i/>
          <w:iCs/>
        </w:rPr>
        <w:t xml:space="preserve">IGF-1 is a standard test. The point is to read it against an age-matched range and to treat a diagnosis.</w:t>
      </w:r>
    </w:p>
    <w:p>
      <w:pPr>
        <w:pStyle w:val="FirstParagraph"/>
      </w:pPr>
      <w:r>
        <w:t xml:space="preserve">Sources: blackman-2002-gh-sex-steroids-rct, liu-2007-gh-healthy-elderly, veldhuis-2008-somatotropic-ageing</w:t>
      </w:r>
    </w:p>
    <w:p>
      <w:pPr>
        <w:pStyle w:val="BodyText"/>
      </w:pPr>
      <w:r>
        <w:rPr>
          <w:b/>
          <w:bCs/>
        </w:rPr>
        <w:t xml:space="preserve">Q13</w:t>
      </w:r>
      <w:r>
        <w:t xml:space="preserve"> </w:t>
      </w:r>
      <w:r>
        <w:t xml:space="preserve">(m07,</w:t>
      </w:r>
      <w:r>
        <w:t xml:space="preserve"> </w:t>
      </w:r>
      <w:r>
        <w:rPr>
          <w:rStyle w:val="VerbatimChar"/>
        </w:rPr>
        <w:t xml:space="preserve">cq-m07-1</w:t>
      </w:r>
      <w:r>
        <w:t xml:space="preserve">) In GRADE, what does a certainty rating attach to?</w:t>
      </w:r>
    </w:p>
    <w:p>
      <w:pPr>
        <w:pStyle w:val="Compact"/>
        <w:numPr>
          <w:ilvl w:val="0"/>
          <w:numId w:val="1077"/>
        </w:numPr>
      </w:pPr>
      <w:r>
        <w:t xml:space="preserve">· A single well-run trial. —</w:t>
      </w:r>
      <w:r>
        <w:t xml:space="preserve"> </w:t>
      </w:r>
      <w:r>
        <w:rPr>
          <w:i/>
          <w:iCs/>
        </w:rPr>
        <w:t xml:space="preserve">GRADE rates a body of evidence, never one study on its own.</w:t>
      </w:r>
    </w:p>
    <w:p>
      <w:pPr>
        <w:pStyle w:val="Compact"/>
        <w:numPr>
          <w:ilvl w:val="0"/>
          <w:numId w:val="1077"/>
        </w:numPr>
      </w:pPr>
      <w:r>
        <w:t xml:space="preserve">· The molecule, across all its uses. —</w:t>
      </w:r>
      <w:r>
        <w:t xml:space="preserve"> </w:t>
      </w:r>
      <w:r>
        <w:rPr>
          <w:i/>
          <w:iCs/>
        </w:rPr>
        <w:t xml:space="preserve">The same molecule can be high certainty for one outcome and very low for another.</w:t>
      </w:r>
    </w:p>
    <w:p>
      <w:pPr>
        <w:pStyle w:val="Compact"/>
        <w:numPr>
          <w:ilvl w:val="0"/>
          <w:numId w:val="1077"/>
        </w:numPr>
      </w:pPr>
      <w:r>
        <w:rPr>
          <w:b/>
          <w:bCs/>
        </w:rPr>
        <w:t xml:space="preserve">✓</w:t>
      </w:r>
      <w:r>
        <w:t xml:space="preserve"> </w:t>
      </w:r>
      <w:r>
        <w:t xml:space="preserve">A body of evidence for a specific outcome. —</w:t>
      </w:r>
      <w:r>
        <w:t xml:space="preserve"> </w:t>
      </w:r>
      <w:r>
        <w:rPr>
          <w:i/>
          <w:iCs/>
        </w:rPr>
        <w:t xml:space="preserve">Correct. Certainty belongs to an outcome, across the studies that address it.</w:t>
      </w:r>
    </w:p>
    <w:p>
      <w:pPr>
        <w:pStyle w:val="FirstParagraph"/>
      </w:pPr>
      <w:r>
        <w:t xml:space="preserve">Sources: balshem-2011-grade-rating-quality, guyatt-2025-core-grade-5-indirectness, hannah-shmouni-2026-ppg-aug</w:t>
      </w:r>
    </w:p>
    <w:p>
      <w:pPr>
        <w:pStyle w:val="BodyText"/>
      </w:pPr>
      <w:r>
        <w:rPr>
          <w:b/>
          <w:bCs/>
        </w:rPr>
        <w:t xml:space="preserve">Q14</w:t>
      </w:r>
      <w:r>
        <w:t xml:space="preserve"> </w:t>
      </w:r>
      <w:r>
        <w:t xml:space="preserve">(m07,</w:t>
      </w:r>
      <w:r>
        <w:t xml:space="preserve"> </w:t>
      </w:r>
      <w:r>
        <w:rPr>
          <w:rStyle w:val="VerbatimChar"/>
        </w:rPr>
        <w:t xml:space="preserve">cq-m07-2</w:t>
      </w:r>
      <w:r>
        <w:t xml:space="preserve">) Under section 503A, in what order does the statute let a bulk substance qualify for compounding?</w:t>
      </w:r>
    </w:p>
    <w:p>
      <w:pPr>
        <w:pStyle w:val="Compact"/>
        <w:numPr>
          <w:ilvl w:val="0"/>
          <w:numId w:val="1078"/>
        </w:numPr>
      </w:pPr>
      <w:r>
        <w:t xml:space="preserve">· The bulks list first, then a monograph, then a component of an approved drug. —</w:t>
      </w:r>
      <w:r>
        <w:t xml:space="preserve"> </w:t>
      </w:r>
      <w:r>
        <w:rPr>
          <w:i/>
          <w:iCs/>
        </w:rPr>
        <w:t xml:space="preserve">Reversed. The bulks list is the last route, open only when the first two are not.</w:t>
      </w:r>
    </w:p>
    <w:p>
      <w:pPr>
        <w:pStyle w:val="Compact"/>
        <w:numPr>
          <w:ilvl w:val="0"/>
          <w:numId w:val="1078"/>
        </w:numPr>
      </w:pPr>
      <w:r>
        <w:rPr>
          <w:b/>
          <w:bCs/>
        </w:rPr>
        <w:t xml:space="preserve">✓</w:t>
      </w:r>
      <w:r>
        <w:t xml:space="preserve"> </w:t>
      </w:r>
      <w:r>
        <w:t xml:space="preserve">A USP or NF monograph first, then a component of an approved drug, then the 503A bulks list, with a valid certificate of analysis in every case. —</w:t>
      </w:r>
      <w:r>
        <w:t xml:space="preserve"> </w:t>
      </w:r>
      <w:r>
        <w:rPr>
          <w:i/>
          <w:iCs/>
        </w:rPr>
        <w:t xml:space="preserve">Correct. The routes are hierarchical, and the certificate and a registered manufacturer are conditions throughout.</w:t>
      </w:r>
    </w:p>
    <w:p>
      <w:pPr>
        <w:pStyle w:val="Compact"/>
        <w:numPr>
          <w:ilvl w:val="0"/>
          <w:numId w:val="1078"/>
        </w:numPr>
      </w:pPr>
      <w:r>
        <w:t xml:space="preserve">· Any substance whose certificate of analysis shows high purity. —</w:t>
      </w:r>
      <w:r>
        <w:t xml:space="preserve"> </w:t>
      </w:r>
      <w:r>
        <w:rPr>
          <w:i/>
          <w:iCs/>
        </w:rPr>
        <w:t xml:space="preserve">A certificate is a condition, never a route on its own.</w:t>
      </w:r>
    </w:p>
    <w:p>
      <w:pPr>
        <w:pStyle w:val="FirstParagraph"/>
      </w:pPr>
      <w:r>
        <w:t xml:space="preserve">Sources: usc-21-353a, fda-503a-bulks-page, ecfr-21-cfr-216-23-bulks-list</w:t>
      </w:r>
    </w:p>
    <w:p>
      <w:r>
        <w:pict>
          <v:rect style="width:0;height:1.5pt" o:hralign="center" o:hrstd="t" o:hr="t"/>
        </w:pict>
      </w:r>
    </w:p>
    <w:bookmarkEnd w:id="183"/>
    <w:bookmarkStart w:id="184" w:name="tutor-prepared-answers-14"/>
    <w:p>
      <w:pPr>
        <w:pStyle w:val="Heading2"/>
      </w:pPr>
      <w:r>
        <w:t xml:space="preserve">Tutor: prepared answers (14)</w:t>
      </w:r>
    </w:p>
    <w:p>
      <w:pPr>
        <w:pStyle w:val="FirstParagraph"/>
      </w:pPr>
      <w:r>
        <w:t xml:space="preserve">The course tutor answers from the course itself; these prepared answers cover the questions learners are most likely to ask.</w:t>
      </w:r>
    </w:p>
    <w:p>
      <w:pPr>
        <w:pStyle w:val="BodyText"/>
      </w:pPr>
      <w:r>
        <w:rPr>
          <w:b/>
          <w:bCs/>
        </w:rPr>
        <w:t xml:space="preserve">hormone cell atlas · cell atlas · single cell atlas · receptor map</w:t>
      </w:r>
      <w:r>
        <w:t xml:space="preserve"> </w:t>
      </w:r>
      <w:r>
        <w:t xml:space="preserve">(m01,</w:t>
      </w:r>
      <w:r>
        <w:t xml:space="preserve"> </w:t>
      </w:r>
      <w:r>
        <w:rPr>
          <w:rStyle w:val="VerbatimChar"/>
        </w:rPr>
        <w:t xml:space="preserve">tutor-m01-atlas</w:t>
      </w:r>
      <w:r>
        <w:t xml:space="preserve">)</w:t>
      </w:r>
    </w:p>
    <w:p>
      <w:pPr>
        <w:pStyle w:val="BodyText"/>
      </w:pPr>
      <w:r>
        <w:t xml:space="preserve">The Hormone Cell Atlas (Fei, Huang-Doran et al., Science 2026) read RNA for 379 hormone and receptor genes in about 14 million cells and nuclei from 47 human tissues and predicted which cell types could make or respond to hormones. Its own authors call these predictions putative and hypothesis-generating: RNA shows capacity, not secretion or effect. Treat any 'skin has receptors for it' product claim as a hypothesis until protein, function and a human trial back it. A few skin outputs are established in people, such as vitamin D3 formed under UVB and released into the blood.</w:t>
      </w:r>
    </w:p>
    <w:p>
      <w:pPr>
        <w:pStyle w:val="BodyText"/>
      </w:pPr>
      <w:r>
        <w:t xml:space="preserve">Sources: fei-2026-hormone-cell-atlas, hormone-cell-atlas-portal, liu-2016-mrna-protein, holick-1980-previtamin-d3</w:t>
      </w:r>
    </w:p>
    <w:p>
      <w:pPr>
        <w:pStyle w:val="BodyText"/>
      </w:pPr>
      <w:r>
        <w:rPr>
          <w:b/>
          <w:bCs/>
        </w:rPr>
        <w:t xml:space="preserve">senolytic · senolytics · senescence · senescent cells</w:t>
      </w:r>
      <w:r>
        <w:t xml:space="preserve"> </w:t>
      </w:r>
      <w:r>
        <w:t xml:space="preserve">(m01,</w:t>
      </w:r>
      <w:r>
        <w:t xml:space="preserve"> </w:t>
      </w:r>
      <w:r>
        <w:rPr>
          <w:rStyle w:val="VerbatimChar"/>
        </w:rPr>
        <w:t xml:space="preserve">tutor-m01-senescence</w:t>
      </w:r>
      <w:r>
        <w:t xml:space="preserve">)</w:t>
      </w:r>
    </w:p>
    <w:p>
      <w:pPr>
        <w:pStyle w:val="BodyText"/>
      </w:pPr>
      <w:r>
        <w:t xml:space="preserve">Senescent cells accumulate in human epidermis and dermis with age, and in one cohort their number tracked with wrinkles and perceived age: an association. Their secretions (the SASP: IL-6, IL-8, matrix-degrading enzymes) were defined in cultured cells. Evidence that clearing senescent cells improves ageing comes from mice; human data are small open-label or exploratory pilots measuring tissue markers. The one randomized study in skin (topical rapamycin, a senomorphic, 2019) was small and exploratory: it lowered p16, and clinical change was only described. No adequately sized trial with clinical skin-ageing outcomes was found (September 2026). In mice, clearing senescent cells during healing slowed wound closure. The Aesthetic &amp; Regenerative Endocrinology guide advises confining senolytics to clinical trials. This course gives no doses or product advice; daily sunscreen and topical retinoids are the levers with human trials, and a prescriber decides on any treatment.</w:t>
      </w:r>
    </w:p>
    <w:p>
      <w:pPr>
        <w:pStyle w:val="BodyText"/>
      </w:pPr>
      <w:r>
        <w:t xml:space="preserve">Sources: waaijer-2016-p16-wrinkles, coppe-2008-sasp, baker-2016-p16-clearance-mice, hickson-2019-senolytic-dkd-pilot, chung-2019-topical-rapamycin, hannah-shmouni-2026-are</w:t>
      </w:r>
    </w:p>
    <w:p>
      <w:pPr>
        <w:pStyle w:val="BodyText"/>
      </w:pPr>
      <w:r>
        <w:rPr>
          <w:b/>
          <w:bCs/>
        </w:rPr>
        <w:t xml:space="preserve">cortisol face · moon face · puffy face cortisol · is it cushing's</w:t>
      </w:r>
      <w:r>
        <w:t xml:space="preserve"> </w:t>
      </w:r>
      <w:r>
        <w:t xml:space="preserve">(m02,</w:t>
      </w:r>
      <w:r>
        <w:t xml:space="preserve"> </w:t>
      </w:r>
      <w:r>
        <w:rPr>
          <w:rStyle w:val="VerbatimChar"/>
        </w:rPr>
        <w:t xml:space="preserve">tutor-m02-cortisol-face</w:t>
      </w:r>
      <w:r>
        <w:t xml:space="preserve">)</w:t>
      </w:r>
    </w:p>
    <w:p>
      <w:pPr>
        <w:pStyle w:val="BodyText"/>
      </w:pPr>
      <w:r>
        <w:t xml:space="preserve">Most 'cortisol face' is puffiness from sleep, alcohol, salt and weight, as the Aesthetic &amp; Regenerative Endocrinology guide describes it. Endogenous Cushing's syndrome is rare (two to three new cases per million people a year), and its commonest form comes from a glucocorticoid the patient is using, so ask about tablets, inhalers, injections and creams, including skin-lighteners. The features that best discriminate Cushing's are easy bruising, facial plethora, proximal muscle weakness and reddish-purple striae wider than 1 cm; a round face alone is a weak signal. If several are present and progressing, the next step is formal testing arranged by a prescriber and an endocrinologist, not a supplement or a consumer cortisol panel. Local skin cortisol (11β-HSD1) is a research mechanism with no approved treatment.</w:t>
      </w:r>
    </w:p>
    <w:p>
      <w:pPr>
        <w:pStyle w:val="BodyText"/>
      </w:pPr>
      <w:r>
        <w:t xml:space="preserve">Sources: nieman-2008-cushings-diagnosis-guideline, tiganescu-2013-11bhsd1-aged-skin, hannah-shmouni-2026-are</w:t>
      </w:r>
    </w:p>
    <w:p>
      <w:pPr>
        <w:pStyle w:val="BodyText"/>
      </w:pPr>
      <w:r>
        <w:rPr>
          <w:b/>
          <w:bCs/>
        </w:rPr>
        <w:t xml:space="preserve">hrt for skin · hormone therapy skin · estrogen for wrinkles · estrogen cream face</w:t>
      </w:r>
      <w:r>
        <w:t xml:space="preserve"> </w:t>
      </w:r>
      <w:r>
        <w:t xml:space="preserve">(m02,</w:t>
      </w:r>
      <w:r>
        <w:t xml:space="preserve"> </w:t>
      </w:r>
      <w:r>
        <w:rPr>
          <w:rStyle w:val="VerbatimChar"/>
        </w:rPr>
        <w:t xml:space="preserve">tutor-m02-hrt-skin</w:t>
      </w:r>
      <w:r>
        <w:t xml:space="preserve">)</w:t>
      </w:r>
    </w:p>
    <w:p>
      <w:pPr>
        <w:pStyle w:val="BodyText"/>
      </w:pPr>
      <w:r>
        <w:t xml:space="preserve">Estrogen acts on receptors in skin. In small trials, hormone therapy thickened skin and raised collagen (graded C here). The largest trial on facial skin (485 women, 48 weeks) and a four-year trial in recently menopausal women found no difference in wrinkles. In the US, as of February 2026, approved uses of menopausal hormone therapy are hot flashes, vaginal and vulvar symptoms and, for some products, preventing bone loss; skin is not an indication and is never the reason to start. Compounded 'bioidentical' hormones lack efficacy and safety data, and an over-the-counter 'hormone cream' is an unapproved drug under US rules. For skin, daily sunscreen and a prescription retinoid have better evidence. This course gives no doses; hormone therapy decisions belong with a prescriber.</w:t>
      </w:r>
    </w:p>
    <w:p>
      <w:pPr>
        <w:pStyle w:val="BodyText"/>
      </w:pPr>
      <w:r>
        <w:t xml:space="preserve">Sources: ecfr-21-cfr-310-530-hormone-creams, fda-mht-labeling-approval-2026-02-12, fda-renova-tretinoin-label, hughes-2013-sunscreen-skin-aging-rct, nams-2022-hormone-therapy-position-statement, owen-2016-keeps-skin-wrinkles, phillips-2008-ht-facial-skin-rct, sitohang-2022-tretinoin-sr</w:t>
      </w:r>
    </w:p>
    <w:p>
      <w:pPr>
        <w:pStyle w:val="BodyText"/>
      </w:pPr>
      <w:r>
        <w:rPr>
          <w:b/>
          <w:bCs/>
        </w:rPr>
        <w:t xml:space="preserve">ozempic face · facial fat loss on semaglutide · tirzepatide face changes · glp-1 facial volume loss</w:t>
      </w:r>
      <w:r>
        <w:t xml:space="preserve"> </w:t>
      </w:r>
      <w:r>
        <w:t xml:space="preserve">(m03,</w:t>
      </w:r>
      <w:r>
        <w:t xml:space="preserve"> </w:t>
      </w:r>
      <w:r>
        <w:rPr>
          <w:rStyle w:val="VerbatimChar"/>
        </w:rPr>
        <w:t xml:space="preserve">m03-tutor-ozempic-face</w:t>
      </w:r>
      <w:r>
        <w:t xml:space="preserve">)</w:t>
      </w:r>
    </w:p>
    <w:p>
      <w:pPr>
        <w:pStyle w:val="BodyText"/>
      </w:pPr>
      <w:r>
        <w:t xml:space="preserve">'Ozempic face' describes facial hollowing and laxity during weight loss on incretin drugs. Mechanism: losing fat deflates the superficial facial fat compartments and unmasks laxity already present. Human evidence is observational and small: one retrospective imaging study of 20 patients found a median 9% loss of midface volume, mostly superficial, about 7% per 10 kg lost (D), and a survey of 1,226 patients found sagging, facial volume loss and hair shedding reported more often the more weight was lost (C). No randomized trial has measured the face. Regulatory status (US, September 2026): semaglutide (Ozempic, Wegovy) and tirzepatide (Mounjaro, Zepbound) are FDA-approved for type 2 diabetes, chronic weight management and further heart, liver and sleep-apnoea indications. Their labels list hair loss (about 3–6% on drug against about 1% on placebo, mostly in women, linked to weight reduction) but not facial volume loss. Open question: whether the drugs act directly on facial fat, beyond weight loss, rests on cell studies. In practice: raise facial and hair changes before treatment, record concerns with consented photographs, refer restoration requests to a qualified aesthetic clinician, and take any question about stopping or changing the medicine to the prescriber. The course gives no dosing advice.</w:t>
      </w:r>
    </w:p>
    <w:p>
      <w:pPr>
        <w:pStyle w:val="BodyText"/>
      </w:pPr>
      <w:r>
        <w:t xml:space="preserve">Sources: sharma-2025-midface-volume-glp1, rao-2026-glp1-skin-pro-survey, fda-label-wegovy-2026, fda-label-zepbound-2026, fda-drugsfda-wegovy-nda215256, paschou-2025-glp1ra-skin-aging, hannah-shmouni-2026-are</w:t>
      </w:r>
    </w:p>
    <w:p>
      <w:pPr>
        <w:pStyle w:val="BodyText"/>
      </w:pPr>
      <w:r>
        <w:rPr>
          <w:b/>
          <w:bCs/>
        </w:rPr>
        <w:t xml:space="preserve">leaky gut · gut skin axis · zonulin test · probiotics for eczema</w:t>
      </w:r>
      <w:r>
        <w:t xml:space="preserve"> </w:t>
      </w:r>
      <w:r>
        <w:t xml:space="preserve">(m03,</w:t>
      </w:r>
      <w:r>
        <w:t xml:space="preserve"> </w:t>
      </w:r>
      <w:r>
        <w:rPr>
          <w:rStyle w:val="VerbatimChar"/>
        </w:rPr>
        <w:t xml:space="preserve">m03-tutor-gut-skin</w:t>
      </w:r>
      <w:r>
        <w:t xml:space="preserve">)</w:t>
      </w:r>
    </w:p>
    <w:p>
      <w:pPr>
        <w:pStyle w:val="BodyText"/>
      </w:pPr>
      <w:r>
        <w:t xml:space="preserve">Mechanism: bacterial lipopolysaccharide crossing a leaky gut barrier ('metabolic endotoxaemia') drives inflammation and insulin resistance in mice, and a single high-fat meal briefly raised plasma endotoxin in a study of 12 healthy men (D). Human evidence for skin: an independent Cochrane review of 39 trials found probiotics probably make little or no difference to patient-rated eczema symptoms (B); a 2024 meta-analysis in children without food allergy reported small score improvements (C); one small randomized trial found rosacea improved after small-intestinal bacterial overgrowth was treated (C). A leading review concludes it is unproven that restoring barrier function improves disease outside the gut, and a widely used commercial zonulin assay detects proteins other than zonulin. A fibre-rich diet has strong evidence for cardiometabolic outcomes and has not been tested on skin outcomes. The Hormonaly guide grades the 'leaky gut' repair stack (L-glutamine, zinc carnosine, BPC-157) D; in the US, BPC-157 is not on the 503A bulks list as of September 2026. Start with diet, metabolic health and the skin diagnosis; investigational peptides come last, if at all, and any injected or research peptide needs a prescriber.</w:t>
      </w:r>
    </w:p>
    <w:p>
      <w:pPr>
        <w:pStyle w:val="BodyText"/>
      </w:pPr>
      <w:r>
        <w:t xml:space="preserve">Sources: camilleri-2019-leaky-gut, cani-2007-metabolic-endotoxemia, erridge-2007-high-fat-meal-endotoxemia, fda-503a-bulks-page, fda-503a-categories-2026-05-14, fda-pcac-2026-07-meeting, hannah-shmouni-2026-are, makrgeorgou-2018-cochrane-probiotics-eczema, parodi-2008-rosacea-sibo, reynolds-2019-carbohydrate-quality, scheffler-2018-zonulin-elisa, vassilopoulou-2024-eaaci-ad-diet-meta</w:t>
      </w:r>
    </w:p>
    <w:p>
      <w:pPr>
        <w:pStyle w:val="BodyText"/>
      </w:pPr>
      <w:r>
        <w:rPr>
          <w:b/>
          <w:bCs/>
        </w:rPr>
        <w:t xml:space="preserve">ghk-cu · ghk · copper peptide · copper peptides</w:t>
      </w:r>
      <w:r>
        <w:t xml:space="preserve"> </w:t>
      </w:r>
      <w:r>
        <w:t xml:space="preserve">(m04,</w:t>
      </w:r>
      <w:r>
        <w:t xml:space="preserve"> </w:t>
      </w:r>
      <w:r>
        <w:rPr>
          <w:rStyle w:val="VerbatimChar"/>
        </w:rPr>
        <w:t xml:space="preserve">tutor-m04-ghkcu</w:t>
      </w:r>
      <w:r>
        <w:t xml:space="preserve">)</w:t>
      </w:r>
    </w:p>
    <w:p>
      <w:pPr>
        <w:pStyle w:val="BodyText"/>
      </w:pPr>
      <w:r>
        <w:t xml:space="preserve">Topical GHK-Cu has a plausible copper-enzyme mechanism and small-trial human support (GRADE C); injected GHK-Cu has no randomized trials and commonly irritates. In the US, as of FDA's 14 May 2026 list, non-injectable GHK-Cu is in 503A Category 1 (under evaluation, not approved); the injectable route is excluded. This course gives no doses or sourcing advice — for an individual patient, that is the prescriber's decision.</w:t>
      </w:r>
    </w:p>
    <w:p>
      <w:pPr>
        <w:pStyle w:val="BodyText"/>
      </w:pPr>
      <w:r>
        <w:t xml:space="preserve">Sources: miller-2006-ghk-cu-laser-rct, fda-503a-categories-2026-05-14, hannah-shmouni-2026-ppg-aug</w:t>
      </w:r>
    </w:p>
    <w:p>
      <w:pPr>
        <w:pStyle w:val="BodyText"/>
      </w:pPr>
      <w:r>
        <w:rPr>
          <w:b/>
          <w:bCs/>
        </w:rPr>
        <w:t xml:space="preserve">bpc-157 · bpc 157 · bpc · tb-500</w:t>
      </w:r>
      <w:r>
        <w:t xml:space="preserve"> </w:t>
      </w:r>
      <w:r>
        <w:t xml:space="preserve">(m04,</w:t>
      </w:r>
      <w:r>
        <w:t xml:space="preserve"> </w:t>
      </w:r>
      <w:r>
        <w:rPr>
          <w:rStyle w:val="VerbatimChar"/>
        </w:rPr>
        <w:t xml:space="preserve">tutor-m04-bpc157</w:t>
      </w:r>
      <w:r>
        <w:t xml:space="preserve">)</w:t>
      </w:r>
    </w:p>
    <w:p>
      <w:pPr>
        <w:pStyle w:val="BodyText"/>
      </w:pPr>
      <w:r>
        <w:t xml:space="preserve">BPC-157's evidence is rodent studies from one group plus uncontrolled case series; no randomized efficacy trial in people has been published in full (September 2026); the one randomized trial FDA found, in ulcerative colitis, exists only as a 2005 meeting abstract and showed no significant difference from placebo. TB-500 is a seven-residue fragment of thymosin beta-4 that has never been trialled; KPV has only mouse data. GLOW and KLOW are marketing names for untested blends. FDA's advisory committee reviewed BPC-157, KPV and TB-500 in July 2026 — advice only; they are not on the 503A bulks list. New pigmentation while using research-use-only peptides is a red flag: stop, record the product and source, and get it assessed.</w:t>
      </w:r>
    </w:p>
    <w:p>
      <w:pPr>
        <w:pStyle w:val="BodyText"/>
      </w:pPr>
      <w:r>
        <w:t xml:space="preserve">Sources: esposito-2012-tb500-fragment, fda-pcac-2026-07-meeting, fda-pcac-2026-bpc157-briefing, hannah-shmouni-2026-are, seiwerth-2021-bpc157-wound-healing</w:t>
      </w:r>
    </w:p>
    <w:p>
      <w:pPr>
        <w:pStyle w:val="BodyText"/>
      </w:pPr>
      <w:r>
        <w:rPr>
          <w:b/>
          <w:bCs/>
        </w:rPr>
        <w:t xml:space="preserve">melanotan · melanotan ii · melanotan 2 · mt2</w:t>
      </w:r>
      <w:r>
        <w:t xml:space="preserve"> </w:t>
      </w:r>
      <w:r>
        <w:t xml:space="preserve">(m05,</w:t>
      </w:r>
      <w:r>
        <w:t xml:space="preserve"> </w:t>
      </w:r>
      <w:r>
        <w:rPr>
          <w:rStyle w:val="VerbatimChar"/>
        </w:rPr>
        <w:t xml:space="preserve">tutor-m05-melanotan</w:t>
      </w:r>
      <w:r>
        <w:t xml:space="preserve">)</w:t>
      </w:r>
    </w:p>
    <w:p>
      <w:pPr>
        <w:pStyle w:val="BodyText"/>
      </w:pPr>
      <w:r>
        <w:t xml:space="preserve">Afamelanotide (Scenesse) is an MC1R agonist approved only for erythropoietic protoporphyria (EU 2014, US 2019), on the strength of two sponsor-funded phase 3 trials; even there, the US label recommends a full-body skin examination twice a year. Melanotan II is a different, non-selective molecule approved for no indication. Its only controlled human data are two tiny 1990s studies, and case reports describe darkening and new moles, nail pigmentation, melanomas in people with other risk factors (causation unproven), priapism and rhabdomyolysis. FDA (April 2026), MHRA (April 2024) and TGA (August 2026) have all put warnings on record. If someone has used it: stop, record the product and seller, examine the skin and nails, and refer changing moles; a personal or family history of melanoma makes it an absolute no in the endocrinology guide. This course gives no doses or sourcing advice.</w:t>
      </w:r>
    </w:p>
    <w:p>
      <w:pPr>
        <w:pStyle w:val="BodyText"/>
      </w:pPr>
      <w:r>
        <w:t xml:space="preserve">Sources: langendonk-2015-afamelanotide-epp, fda-scenesse-label-2024, bohm-2025-mc1r-activation-review, habbema-2017-msh-analogue-risks, fda-503a-category2-safety-risks-page, hannah-shmouni-2026-are</w:t>
      </w:r>
    </w:p>
    <w:p>
      <w:pPr>
        <w:pStyle w:val="BodyText"/>
      </w:pPr>
      <w:r>
        <w:rPr>
          <w:b/>
          <w:bCs/>
        </w:rPr>
        <w:t xml:space="preserve">ptd-dbm · ptd dbm · zinc thymulin · thymulin</w:t>
      </w:r>
      <w:r>
        <w:t xml:space="preserve"> </w:t>
      </w:r>
      <w:r>
        <w:t xml:space="preserve">(m05,</w:t>
      </w:r>
      <w:r>
        <w:t xml:space="preserve"> </w:t>
      </w:r>
      <w:r>
        <w:rPr>
          <w:rStyle w:val="VerbatimChar"/>
        </w:rPr>
        <w:t xml:space="preserve">tutor-m05-hair-peptides</w:t>
      </w:r>
      <w:r>
        <w:t xml:space="preserve">)</w:t>
      </w:r>
    </w:p>
    <w:p>
      <w:pPr>
        <w:pStyle w:val="BodyText"/>
      </w:pPr>
      <w:r>
        <w:t xml:space="preserve">PTD-DBM releases a brake (CXXC5) on Wnt signalling; its whole evidence is one 2017 mouse and tissue study from the developer's group, with no human trial published or registered as of September 2026 (grade D). Zinc thymulin is a zinc-dependent thymic peptide with no indexed human hair study (grade D). In the US, on FDA's 14 May 2026 lists, thymulin acetate is in 503A Category 3 and PTD-DBM is on no list; neither is on the bulks list. Hair loss starts with a workup (pattern, trigger, patches, androgens; ferritin and TSH in everyone), and the approved options, minoxidil, finasteride in men and baricitinib for severe alopecia areata, carry grade A evidence. This course gives no doses or sourcing advice; treatment choices belong with the prescriber.</w:t>
      </w:r>
    </w:p>
    <w:p>
      <w:pPr>
        <w:pStyle w:val="BodyText"/>
      </w:pPr>
      <w:r>
        <w:t xml:space="preserve">Sources: lee-2017-ptd-dbm-cxxc5-hair, dardenne-1982-thymulin-zinc, fda-503a-categories-2026-05-14, adil-2017-aga-treatments-meta, hannah-shmouni-2026-ppg-aug, hannah-shmouni-2026-are</w:t>
      </w:r>
    </w:p>
    <w:p>
      <w:pPr>
        <w:pStyle w:val="BodyText"/>
      </w:pPr>
      <w:r>
        <w:rPr>
          <w:b/>
          <w:bCs/>
        </w:rPr>
        <w:t xml:space="preserve">cjc-1295 · cjc 1295 · ipamorelin · sermorelin</w:t>
      </w:r>
      <w:r>
        <w:t xml:space="preserve"> </w:t>
      </w:r>
      <w:r>
        <w:t xml:space="preserve">(m06,</w:t>
      </w:r>
      <w:r>
        <w:t xml:space="preserve"> </w:t>
      </w:r>
      <w:r>
        <w:rPr>
          <w:rStyle w:val="VerbatimChar"/>
        </w:rPr>
        <w:t xml:space="preserve">tutor-m06-secretagogues</w:t>
      </w:r>
      <w:r>
        <w:t xml:space="preserve">)</w:t>
      </w:r>
    </w:p>
    <w:p>
      <w:pPr>
        <w:pStyle w:val="BodyText"/>
      </w:pPr>
      <w:r>
        <w:t xml:space="preserve">Tesamorelin is the one peptide on this axis with approval-grade evidence: two phase 3 trials and US approval (2010) for excess abdominal fat in adults with HIV-associated lipodystrophy, GRADE A for that use only. Sermorelin, CJC-1295 with DAC and ipamorelin have human hormone-level data but no trial showing a clinical or skin benefit; CJC-1295 without DAC and IGF-1 LR3 have no published human studies (this course grades all of these D). In the US, as of FDA's lists of April and May 2026, no growth-hormone secretagogue is on the 503A bulks list; ibutamoren (MK-677) is in Category 2, and the CJC-1295 and ipamorelin 503A nominations were withdrawn. Growth hormone itself is approved for diagnosed deficiency and a few growth disorders, and knowingly distributing it for anti-ageing is a federal offence. This course gives no doses or sourcing advice; for an individual patient, that is a prescriber's decision.</w:t>
      </w:r>
    </w:p>
    <w:p>
      <w:pPr>
        <w:pStyle w:val="BodyText"/>
      </w:pPr>
      <w:r>
        <w:t xml:space="preserve">Sources: falutz-2010-tesamorelin-pooled, dominikowski-2026-gh-axis-peptides-review, fda-503a-categories-2026-05-14, fda-503a-category2-safety-risks-page, usc-21-333e-hgh</w:t>
      </w:r>
    </w:p>
    <w:p>
      <w:pPr>
        <w:pStyle w:val="BodyText"/>
      </w:pPr>
      <w:r>
        <w:rPr>
          <w:b/>
          <w:bCs/>
        </w:rPr>
        <w:t xml:space="preserve">too much growth hormone · gh excess signs · acromegaly skin · swollen hands</w:t>
      </w:r>
      <w:r>
        <w:t xml:space="preserve"> </w:t>
      </w:r>
      <w:r>
        <w:t xml:space="preserve">(m06,</w:t>
      </w:r>
      <w:r>
        <w:t xml:space="preserve"> </w:t>
      </w:r>
      <w:r>
        <w:rPr>
          <w:rStyle w:val="VerbatimChar"/>
        </w:rPr>
        <w:t xml:space="preserve">tutor-m06-gh-excess</w:t>
      </w:r>
      <w:r>
        <w:t xml:space="preserve">)</w:t>
      </w:r>
    </w:p>
    <w:p>
      <w:pPr>
        <w:pStyle w:val="BodyText"/>
      </w:pPr>
      <w:r>
        <w:t xml:space="preserve">Signs of growth-hormone excess include puffy, thickened skin of the face, hands and feet, oily skin, more sweating, skin tags, acanthosis nigricans, tight rings or shoes, night-time tingling and carpal tunnel symptoms. On GH-axis drugs, fluid retention with swelling and joint pain is common and usually settles when treatment stops. The Endocrine Society recommends IGF-1 testing when typical acral and facial features are present, so route these patients to a prescriber or to endocrinology. On cancer, keep four answers apart: the IGF-1 receptor drives cell growth (mechanism); higher natural IGF-1 goes with modestly higher risk of some cancers (observation); GH replacement in true deficiency has not shown a clear risk in large cohorts; and for secretagogues or IGF-1 LR3 used for skin, long-term cancer data do not exist (open question).</w:t>
      </w:r>
    </w:p>
    <w:p>
      <w:pPr>
        <w:pStyle w:val="BodyText"/>
      </w:pPr>
      <w:r>
        <w:t xml:space="preserve">Sources: ben-shlomo-2006-acromegaly-skin, egrifta-wr-label-2026, katznelson-2014-acromegaly-guideline, renehan-2004-igf1-cancer-meta, swerdlow-2017-saghe</w:t>
      </w:r>
    </w:p>
    <w:p>
      <w:pPr>
        <w:pStyle w:val="BodyText"/>
      </w:pPr>
      <w:r>
        <w:rPr>
          <w:b/>
          <w:bCs/>
        </w:rPr>
        <w:t xml:space="preserve">grade · grade a · grade c · evidence grade</w:t>
      </w:r>
      <w:r>
        <w:t xml:space="preserve"> </w:t>
      </w:r>
      <w:r>
        <w:t xml:space="preserve">(m07,</w:t>
      </w:r>
      <w:r>
        <w:t xml:space="preserve"> </w:t>
      </w:r>
      <w:r>
        <w:rPr>
          <w:rStyle w:val="VerbatimChar"/>
        </w:rPr>
        <w:t xml:space="preserve">tutor-m07-grade</w:t>
      </w:r>
      <w:r>
        <w:t xml:space="preserve">)</w:t>
      </w:r>
    </w:p>
    <w:p>
      <w:pPr>
        <w:pStyle w:val="BodyText"/>
      </w:pPr>
      <w:r>
        <w:t xml:space="preserve">GRADE rates certainty for a specific outcome across a body of evidence: high, moderate, low or very low (the Hormonaly guides print A to D). Randomized trials start high; certainty drops for risk of bias, inconsistency, indirectness, imprecision or suspected publication bias. Industry-sponsored studies more often report favourable results (Cochrane, 2017), so ask who ran and paid for the trials. A grade is separate from legal status: check both, and never let a mechanism raise a grade. This course gives no doses or sourcing advice.</w:t>
      </w:r>
    </w:p>
    <w:p>
      <w:pPr>
        <w:pStyle w:val="BodyText"/>
      </w:pPr>
      <w:r>
        <w:t xml:space="preserve">Sources: balshem-2011-grade-rating-quality, guyatt-2025-core-grade-4-bias, lundh-2017-industry-sponsorship, hannah-shmouni-2026-ppg-aug</w:t>
      </w:r>
    </w:p>
    <w:p>
      <w:pPr>
        <w:pStyle w:val="BodyText"/>
      </w:pPr>
      <w:r>
        <w:rPr>
          <w:b/>
          <w:bCs/>
        </w:rPr>
        <w:t xml:space="preserve">certificate of analysis · coa · hplc · purity</w:t>
      </w:r>
      <w:r>
        <w:t xml:space="preserve"> </w:t>
      </w:r>
      <w:r>
        <w:t xml:space="preserve">(m07,</w:t>
      </w:r>
      <w:r>
        <w:t xml:space="preserve"> </w:t>
      </w:r>
      <w:r>
        <w:rPr>
          <w:rStyle w:val="VerbatimChar"/>
        </w:rPr>
        <w:t xml:space="preserve">tutor-m07-compounding-coa</w:t>
      </w:r>
      <w:r>
        <w:t xml:space="preserve">)</w:t>
      </w:r>
    </w:p>
    <w:p>
      <w:pPr>
        <w:pStyle w:val="BodyText"/>
      </w:pPr>
      <w:r>
        <w:t xml:space="preserve">In the US, a 503A pharmacy may compound only from a substance that meets a USP or NF monograph, or else is a component of an approved drug, or else is on the 503A bulks list (six substances, none a peptide, as of September 2026), and it needs a valid certificate of analysis. A certificate is the supplier's report on one lot: mass spectrometry for identity, HPLC for purity, plus endotoxin and microbial results. It cannot prove your vial is that lot, how it was stored, or that it is sterile or lawful. 'Research use only' products are labelled not for use in humans, and 'off-label' applies only to approved drugs. This course gives no doses or sourcing advice; for an individual patient, that is the prescriber's decision.</w:t>
      </w:r>
    </w:p>
    <w:p>
      <w:pPr>
        <w:pStyle w:val="BodyText"/>
      </w:pPr>
      <w:r>
        <w:t xml:space="preserve">Sources: usc-21-353a, ecfr-21-cfr-216-23-bulks-list, hannah-shmouni-2026-ppg-aug, ecfr-21-cfr-312-160, fda-off-label-page</w:t>
      </w:r>
    </w:p>
    <w:p>
      <w:r>
        <w:pict>
          <v:rect style="width:0;height:1.5pt" o:hralign="center" o:hrstd="t" o:hr="t"/>
        </w:pic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Hormones and Peptides for Skin — full course draft for medical review</dc:title>
  <dc:creator/>
  <cp:keywords/>
  <dcterms:created xsi:type="dcterms:W3CDTF">2026-09-25T12:30:28Z</dcterms:created>
  <dcterms:modified xsi:type="dcterms:W3CDTF">2026-09-25T12:30:28Z</dcterms:modified>
</cp:coreProperties>
</file>

<file path=docProps/custom.xml><?xml version="1.0" encoding="utf-8"?>
<Properties xmlns="http://schemas.openxmlformats.org/officeDocument/2006/custom-properties" xmlns:vt="http://schemas.openxmlformats.org/officeDocument/2006/docPropsVTypes"/>
</file>