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2026-09-25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approved</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33</w:t>
            </w:r>
          </w:p>
        </w:tc>
        <w:tc>
          <w:tcPr/>
          <w:p>
            <w:pPr>
              <w:pStyle w:val="Compact"/>
              <w:jc w:val="right"/>
            </w:pPr>
            <w:r>
              <w:t xml:space="preserve">20</w:t>
            </w:r>
          </w:p>
        </w:tc>
        <w:tc>
          <w:tcPr/>
          <w:p>
            <w:pPr>
              <w:pStyle w:val="Compact"/>
            </w:pPr>
            <w:r>
              <w:t xml:space="preserve">approved</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51</w:t>
            </w:r>
          </w:p>
        </w:tc>
        <w:tc>
          <w:tcPr/>
          <w:p>
            <w:pPr>
              <w:pStyle w:val="Compact"/>
              <w:jc w:val="right"/>
            </w:pPr>
            <w:r>
              <w:t xml:space="preserve">20</w:t>
            </w:r>
          </w:p>
        </w:tc>
        <w:tc>
          <w:tcPr/>
          <w:p>
            <w:pPr>
              <w:pStyle w:val="Compact"/>
            </w:pPr>
            <w:r>
              <w:t xml:space="preserve">approved</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49</w:t>
            </w:r>
          </w:p>
        </w:tc>
        <w:tc>
          <w:tcPr/>
          <w:p>
            <w:pPr>
              <w:pStyle w:val="Compact"/>
              <w:jc w:val="right"/>
            </w:pPr>
            <w:r>
              <w:t xml:space="preserve">20</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34</w:t>
            </w:r>
          </w:p>
        </w:tc>
        <w:tc>
          <w:tcPr/>
          <w:p>
            <w:pPr>
              <w:pStyle w:val="Compact"/>
              <w:jc w:val="right"/>
            </w:pPr>
            <w:r>
              <w:t xml:space="preserve">20</w:t>
            </w:r>
          </w:p>
        </w:tc>
        <w:tc>
          <w:tcPr/>
          <w:p>
            <w:pPr>
              <w:pStyle w:val="Compact"/>
            </w:pPr>
            <w:r>
              <w:t xml:space="preserve">approved</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38</w:t>
            </w:r>
          </w:p>
        </w:tc>
        <w:tc>
          <w:tcPr/>
          <w:p>
            <w:pPr>
              <w:pStyle w:val="Compact"/>
              <w:jc w:val="right"/>
            </w:pPr>
            <w:r>
              <w:t xml:space="preserve">19</w:t>
            </w:r>
          </w:p>
        </w:tc>
        <w:tc>
          <w:tcPr/>
          <w:p>
            <w:pPr>
              <w:pStyle w:val="Compact"/>
            </w:pPr>
            <w:r>
              <w:t xml:space="preserve">approved</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37</w:t>
            </w:r>
          </w:p>
        </w:tc>
        <w:tc>
          <w:tcPr/>
          <w:p>
            <w:pPr>
              <w:pStyle w:val="Compact"/>
              <w:jc w:val="right"/>
            </w:pPr>
            <w:r>
              <w:t xml:space="preserve">20</w:t>
            </w:r>
          </w:p>
        </w:tc>
        <w:tc>
          <w:tcPr/>
          <w:p>
            <w:pPr>
              <w:pStyle w:val="Compact"/>
            </w:pPr>
            <w:r>
              <w:t xml:space="preserve">approved</w:t>
            </w:r>
          </w:p>
        </w:tc>
      </w:tr>
    </w:tbl>
    <w:bookmarkStart w:id="11" w:name="what-we-need-from-you"/>
    <w:p>
      <w:pPr>
        <w:pStyle w:val="Heading2"/>
      </w:pPr>
      <w:r>
        <w:t xml:space="preserve">What we need from you</w:t>
      </w:r>
    </w:p>
    <w:p>
      <w:pPr>
        <w:pStyle w:val="Compact"/>
        <w:numPr>
          <w:ilvl w:val="0"/>
          <w:numId w:val="1001"/>
        </w:numPr>
      </w:pPr>
      <w:r>
        <w:rPr>
          <w:b/>
          <w:bCs/>
        </w:rPr>
        <w:t xml:space="preserve">Confirm the changes made since approval or flagged by the source check</w:t>
      </w:r>
      <w:r>
        <w:t xml:space="preserve"> </w:t>
      </w:r>
      <w:r>
        <w:t xml:space="preserve">(listed below; m01, m02, m03, m04, m05, m06, m07 were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m01</w:t>
      </w:r>
      <w:r>
        <w:t xml:space="preserve"> </w:t>
      </w:r>
      <w:r>
        <w:t xml:space="preserve">· m1-p05, cq-m01-2, tutor-m01-atlas (2026-09-24) — Source-check alignment: vitamin D3 'to the liver' (the cited source names the liver step); atlas tutor answer no longer adds 'including skin' beyond the abstract.</w:t>
      </w:r>
    </w:p>
    <w:p>
      <w:pPr>
        <w:pStyle w:val="Compact"/>
        <w:numPr>
          <w:ilvl w:val="0"/>
          <w:numId w:val="1002"/>
        </w:numPr>
      </w:pPr>
      <w:r>
        <w:rPr>
          <w:b/>
          <w:bCs/>
        </w:rPr>
        <w:t xml:space="preserve">m02</w:t>
      </w:r>
      <w:r>
        <w:t xml:space="preserve"> </w:t>
      </w:r>
      <w:r>
        <w:t xml:space="preserve">· m2-p03, m2-p19, tutor-m02-hrt-skin (2026-09-24) — Source-check alignment: cortisol callout states what the source says (local regulation independent of systemic levels); HRT chip names approved uses and cites the FDA labeling record; KEEPS four-year trial cited in the tutor answer.</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m03</w:t>
      </w:r>
      <w:r>
        <w:t xml:space="preserve"> </w:t>
      </w:r>
      <w:r>
        <w:t xml:space="preserve">· m3-p17 (2026-09-24) — Quickfire category 'No human outcome data' → 'Little or no human outcome data' (the Hormonaly guide calls the repair stack's human outcome data limited).</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m04</w:t>
      </w:r>
      <w:r>
        <w:t xml:space="preserve"> </w:t>
      </w:r>
      <w:r>
        <w:t xml:space="preserve">· m4-p08 (2026-09-24) — Leuphasyl is no longer grouped with the SNAP-25 mimics: it is an enkephalin analogue (as the module's own exercise already says). Wording only. Found by the automated source check.</w:t>
      </w:r>
    </w:p>
    <w:p>
      <w:pPr>
        <w:pStyle w:val="Compact"/>
        <w:numPr>
          <w:ilvl w:val="0"/>
          <w:numId w:val="1002"/>
        </w:numPr>
      </w:pPr>
      <w:r>
        <w:rPr>
          <w:b/>
          <w:bCs/>
        </w:rPr>
        <w:t xml:space="preserve">m04</w:t>
      </w:r>
      <w:r>
        <w:t xml:space="preserve"> </w:t>
      </w:r>
      <w:r>
        <w:t xml:space="preserve">· m4-p17 (2026-09-24) — Heavy metals: 'reported for this market but not documented' reworded to 'claimed for this market, but no published analysis behind that claim was found' (the finding already recorded for the A&amp;RE guide's figure). Wording only; found by the automated source check reading the guide.</w:t>
      </w:r>
    </w:p>
    <w:p>
      <w:pPr>
        <w:pStyle w:val="Compact"/>
        <w:numPr>
          <w:ilvl w:val="0"/>
          <w:numId w:val="1002"/>
        </w:numPr>
      </w:pPr>
      <w:r>
        <w:rPr>
          <w:b/>
          <w:bCs/>
        </w:rPr>
        <w:t xml:space="preserve">m04</w:t>
      </w:r>
      <w:r>
        <w:t xml:space="preserve"> </w:t>
      </w:r>
      <w:r>
        <w:t xml:space="preserve">· m4-p09, m4-p17 (2026-09-24) — Classify label 'No randomized trial' refined to 'No independent randomized trial' (the Peptide Pocket Guide describes independent trials of Matrixyl 3000 as limited, not absent). Heavy metals: the course now reports the Hormonaly guide's statement and then that its published analysis could not be found, instead of contradicting it silently. Wording only.</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m05</w:t>
      </w:r>
      <w:r>
        <w:t xml:space="preserve"> </w:t>
      </w:r>
      <w:r>
        <w:t xml:space="preserve">· m5-p14, m5-q2 (2026-09-24) — Source-check alignment: PTD-DBM described without the HIV Tat detail and thymulin without the residue count (neither in the cited abstracts); the quiz cites the priapism case report.</w:t>
      </w:r>
    </w:p>
    <w:p>
      <w:pPr>
        <w:pStyle w:val="Compact"/>
        <w:numPr>
          <w:ilvl w:val="0"/>
          <w:numId w:val="1002"/>
        </w:numPr>
      </w:pPr>
      <w:r>
        <w:rPr>
          <w:b/>
          <w:bCs/>
        </w:rPr>
        <w:t xml:space="preserve">m06</w:t>
      </w:r>
      <w:r>
        <w:t xml:space="preserve"> </w:t>
      </w:r>
      <w:r>
        <w:t xml:space="preserve">· m6-p05, cq-m06-2, tutor-m06-gh-excess (2026-09-24) — Source-check alignment: GH adverse-effect statements cite Liu 2007 (whose results list them); the GH-excess tutor answer cites the Endocrine Society acromegaly guideline.</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p>
      <w:pPr>
        <w:pStyle w:val="Compact"/>
        <w:numPr>
          <w:ilvl w:val="0"/>
          <w:numId w:val="1002"/>
        </w:numPr>
      </w:pPr>
      <w:r>
        <w:rPr>
          <w:b/>
          <w:bCs/>
        </w:rPr>
        <w:t xml:space="preserve">m07</w:t>
      </w:r>
      <w:r>
        <w:t xml:space="preserve"> </w:t>
      </w:r>
      <w:r>
        <w:t xml:space="preserve">· m7-p09 (2026-09-24) — Tesamorelin's description cites the EGRIFTA WR label.</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confirmed by Fady Hannah-Shmouni, MD FRCPC, 2026-09-24):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the SEASON London edition.</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approved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grades and regulatory facts are the same for everyone. What changes,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the liver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approved · authored 2026-09-24 · 19 moments, ~26 min + module check · 33 sources · 20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independently of blood levels, so a systemic cortisol test does not measure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FDA-approved products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to its approved uses (symptoms and bone); skin is not one of them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US Food and Drug Administration 2026 · Aesthetic &amp; Regenerative Endocrinology — A Clinician's Pocket Guide 2026 · Martin KA 2018 · North American Menopause Society (2022 Hormone Therapy Advisory Panel) 2022 · Nieman LK 2008</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approved · authored 2026-09-24 · 20 moments, ~27 min + module check · 51 sources · 20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 UK and EU status is being mapped for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In the US, tirzepatide is not approved for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49 sources · 20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grades and regulatory status are the same for everyone. What changes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(Argireline and its longer cousin SNAP-8) and Leuphasyl, an enkephalin analogue,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independent randomized trial</w:t>
      </w:r>
      <w:r>
        <w:t xml:space="preserve"> </w:t>
      </w:r>
      <w:r>
        <w:t xml:space="preserve">—</w:t>
      </w:r>
      <w:r>
        <w:t xml:space="preserve"> </w:t>
      </w:r>
      <w:r>
        <w:rPr>
          <w:i/>
          <w:iCs/>
        </w:rPr>
        <w:t xml:space="preserve">GRADE D. The evidence is the maker's technical dossier; no independent randomized trial was found.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independent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independent randomized trial</w:t>
      </w:r>
      <w:r>
        <w:t xml:space="preserve"> </w:t>
      </w:r>
      <w:r>
        <w:t xml:space="preserve">—</w:t>
      </w:r>
      <w:r>
        <w:t xml:space="preserve"> </w:t>
      </w:r>
      <w:r>
        <w:rPr>
          <w:i/>
          <w:iCs/>
        </w:rPr>
        <w:t xml:space="preserve">GRADE D. The maker's studies, an in-vitro synergy figure and one small uncontrolled university volunteer study (2014); no independent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UK and EU rules are being mapped for this course and will be added.</w:t>
      </w:r>
    </w:p>
    <w:p>
      <w:pPr>
        <w:pStyle w:val="BodyText"/>
      </w:pPr>
      <w:r>
        <w:t xml:space="preserve">Sources: Bjerke DL 2026 · Lupo MP 2007 · Aesthetic &amp; Regenerative Endocrinology — A Clinician's Pocket Guide 2026 · The Peptide Pocket Guide — 2026 Edition · Clinical Reference (seventy-two entries)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on the live FDA list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approved · authored 2026-09-24 · 19 moments, ~26 min + module check · 34 sources · 20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UK and EU mapping for the rest of this course is still in progress.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p>
      <w:pPr>
        <w:pStyle w:val="BodyText"/>
      </w:pPr>
      <w:r>
        <w:t xml:space="preserve">Sources: Mallory CW 2021</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peptide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Mapping of UK and EU status for these two peptides is still under way.</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approved · authored 2026-09-24 · 19 moments, ~26 min + module check · 38 sources · 19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distribution for anti-ageing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in the US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UK and EU status is still being mapped for this course, so treat these as US facts.</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US status on the live FDA lists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5" w:name="Xe8c7545b6b7f980972282acde12209c0dba2287"/>
    <w:p>
      <w:pPr>
        <w:pStyle w:val="Heading1"/>
      </w:pPr>
      <w:r>
        <w:t xml:space="preserve">Hormones and Peptides for Skin · Module 07 — review draft</w:t>
      </w:r>
    </w:p>
    <w:p>
      <w:pPr>
        <w:pStyle w:val="FirstParagraph"/>
      </w:pPr>
      <w:r>
        <w:rPr>
          <w:i/>
          <w:iCs/>
        </w:rPr>
        <w:t xml:space="preserve">approved · authored 2026-09-24 · 20 moments, ~27 min + module check · 37 sources · 20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20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US; UK and EU mapping for this course is still in progress.</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20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20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20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20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20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4"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20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20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20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bookmarkEnd w:id="168"/>
    <w:bookmarkStart w:id="169" w:name="what-a-certificate-can-and-cannot-prove."/>
    <w:p>
      <w:pPr>
        <w:pStyle w:val="Heading3"/>
      </w:pPr>
      <w:r>
        <w:t xml:space="preserve">10 / 20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69"/>
    <w:bookmarkStart w:id="170" w:name="audit-this-certificate."/>
    <w:p>
      <w:pPr>
        <w:pStyle w:val="Heading3"/>
      </w:pPr>
      <w:r>
        <w:t xml:space="preserve">11 / 20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0"/>
    <w:bookmarkStart w:id="171" w:name="on-the-label."/>
    <w:p>
      <w:pPr>
        <w:pStyle w:val="Heading3"/>
      </w:pPr>
      <w:r>
        <w:t xml:space="preserve">12 / 20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1"/>
    <w:bookmarkStart w:id="172" w:name="X52eb1ed9dbfe644f4256706c167e3f1011c17bf"/>
    <w:p>
      <w:pPr>
        <w:pStyle w:val="Heading3"/>
      </w:pPr>
      <w:r>
        <w:t xml:space="preserve">13 / 20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2"/>
    <w:bookmarkStart w:id="173" w:name="a-clean-certificate."/>
    <w:p>
      <w:pPr>
        <w:pStyle w:val="Heading3"/>
      </w:pPr>
      <w:r>
        <w:t xml:space="preserve">14 / 20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3"/>
    <w:bookmarkEnd w:id="174"/>
    <w:bookmarkStart w:id="181" w:name="X5c774faa2e2c278faf095a9228e12a20daf7930"/>
    <w:p>
      <w:pPr>
        <w:pStyle w:val="Heading2"/>
      </w:pPr>
      <w:r>
        <w:t xml:space="preserve">Lesson 7.3 · Cosmetic, compounded or investigational: consent and the chart</w:t>
      </w:r>
    </w:p>
    <w:bookmarkStart w:id="175" w:name="off-label-needs-a-label."/>
    <w:p>
      <w:pPr>
        <w:pStyle w:val="Heading3"/>
      </w:pPr>
      <w:r>
        <w:t xml:space="preserve">15 / 20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2"/>
        </w:numPr>
      </w:pPr>
      <w:r>
        <w:t xml:space="preserve">Off-label applies only to approved drugs</w:t>
      </w:r>
    </w:p>
    <w:p>
      <w:pPr>
        <w:pStyle w:val="Compact"/>
        <w:numPr>
          <w:ilvl w:val="0"/>
          <w:numId w:val="1062"/>
        </w:numPr>
      </w:pPr>
      <w:r>
        <w:t xml:space="preserve">A never-approved peptide has no label</w:t>
      </w:r>
    </w:p>
    <w:p>
      <w:pPr>
        <w:pStyle w:val="Compact"/>
        <w:numPr>
          <w:ilvl w:val="0"/>
          <w:numId w:val="1062"/>
        </w:numPr>
      </w:pPr>
      <w:r>
        <w:t xml:space="preserve">Compounded is still unapproved</w:t>
      </w:r>
    </w:p>
    <w:p>
      <w:pPr>
        <w:pStyle w:val="FirstParagraph"/>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5"/>
    <w:bookmarkStart w:id="176" w:name="same-molecule-different-rulebooks."/>
    <w:p>
      <w:pPr>
        <w:pStyle w:val="Heading3"/>
      </w:pPr>
      <w:r>
        <w:t xml:space="preserve">16 / 20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bookmarkEnd w:id="176"/>
    <w:bookmarkStart w:id="177" w:name="just-prescribe-it-off-label."/>
    <w:p>
      <w:pPr>
        <w:pStyle w:val="Heading3"/>
      </w:pPr>
      <w:r>
        <w:t xml:space="preserve">17 / 20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3"/>
        </w:numPr>
      </w:pPr>
      <w:r>
        <w:t xml:space="preserve">BPC-157 has no approval, so there is no label to go off</w:t>
      </w:r>
    </w:p>
    <w:p>
      <w:pPr>
        <w:pStyle w:val="Compact"/>
        <w:numPr>
          <w:ilvl w:val="0"/>
          <w:numId w:val="1063"/>
        </w:numPr>
      </w:pPr>
      <w:r>
        <w:t xml:space="preserve">It has no 503A route; FDA staff advised against listing it</w:t>
      </w:r>
    </w:p>
    <w:p>
      <w:pPr>
        <w:pStyle w:val="Compact"/>
        <w:numPr>
          <w:ilvl w:val="0"/>
          <w:numId w:val="1063"/>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4"/>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4"/>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4"/>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7"/>
    <w:bookmarkStart w:id="178" w:name="a-chart-note-a-reviewer-can-follow."/>
    <w:p>
      <w:pPr>
        <w:pStyle w:val="Heading3"/>
      </w:pPr>
      <w:r>
        <w:t xml:space="preserve">18 / 20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w:t>
      </w:r>
    </w:p>
    <w:bookmarkEnd w:id="178"/>
    <w:bookmarkStart w:id="179" w:name="one-molecule-three-products."/>
    <w:p>
      <w:pPr>
        <w:pStyle w:val="Heading3"/>
      </w:pPr>
      <w:r>
        <w:t xml:space="preserve">19 / 20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79"/>
    <w:bookmarkStart w:id="180" w:name="my-practice-from-the-next-conversation."/>
    <w:p>
      <w:pPr>
        <w:pStyle w:val="Heading3"/>
      </w:pPr>
      <w:r>
        <w:t xml:space="preserve">20 / 20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FDA lists on the day,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0"/>
    <w:bookmarkEnd w:id="181"/>
    <w:bookmarkStart w:id="182"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2"/>
    <w:bookmarkStart w:id="183" w:name="final-quiz-14-questions-pass-mark-80"/>
    <w:p>
      <w:pPr>
        <w:pStyle w:val="Heading2"/>
      </w:pPr>
      <w:r>
        <w:t xml:space="preserve">Final quiz (14 questions, pass mark 80%)</w:t>
      </w:r>
    </w:p>
    <w:p>
      <w:pPr>
        <w:pStyle w:val="FirstParagraph"/>
      </w:pPr>
      <w:r>
        <w:rPr>
          <w:b/>
          <w:bCs/>
        </w:rPr>
        <w:t xml:space="preserve">Q1</w:t>
      </w:r>
      <w:r>
        <w:t xml:space="preserve"> </w:t>
      </w:r>
      <w:r>
        <w:t xml:space="preserve">(m01,</w:t>
      </w:r>
      <w:r>
        <w:t xml:space="preserve"> </w:t>
      </w:r>
      <w:r>
        <w:rPr>
          <w:rStyle w:val="VerbatimChar"/>
        </w:rPr>
        <w:t xml:space="preserve">cq-m01-1</w:t>
      </w:r>
      <w:r>
        <w:t xml:space="preserve">) A single-cell RNA atlas predicts that a skin cell type can make a hormone. What would move that finding toward proof of secretion?</w:t>
      </w:r>
    </w:p>
    <w:p>
      <w:pPr>
        <w:pStyle w:val="Compact"/>
        <w:numPr>
          <w:ilvl w:val="0"/>
          <w:numId w:val="1065"/>
        </w:numPr>
      </w:pPr>
      <w:r>
        <w:rPr>
          <w:b/>
          <w:bCs/>
        </w:rPr>
        <w:t xml:space="preserve">✓</w:t>
      </w:r>
      <w:r>
        <w:t xml:space="preserve"> </w:t>
      </w:r>
      <w:r>
        <w:t xml:space="preserve">Showing the hormone protein and its release by those cells, then its effect in tissue or in people. —</w:t>
      </w:r>
      <w:r>
        <w:t xml:space="preserve"> </w:t>
      </w:r>
      <w:r>
        <w:rPr>
          <w:i/>
          <w:iCs/>
        </w:rPr>
        <w:t xml:space="preserve">Correct. RNA is the first rung; protein, release and function are the next.</w:t>
      </w:r>
    </w:p>
    <w:p>
      <w:pPr>
        <w:pStyle w:val="Compact"/>
        <w:numPr>
          <w:ilvl w:val="0"/>
          <w:numId w:val="1065"/>
        </w:numPr>
      </w:pPr>
      <w:r>
        <w:t xml:space="preserve">· Finding the same RNA in a second atlas. —</w:t>
      </w:r>
      <w:r>
        <w:t xml:space="preserve"> </w:t>
      </w:r>
      <w:r>
        <w:rPr>
          <w:i/>
          <w:iCs/>
        </w:rPr>
        <w:t xml:space="preserve">Replicating the RNA confirms the transcript, which is still a prediction about secretion.</w:t>
      </w:r>
    </w:p>
    <w:p>
      <w:pPr>
        <w:pStyle w:val="Compact"/>
        <w:numPr>
          <w:ilvl w:val="0"/>
          <w:numId w:val="1065"/>
        </w:numPr>
      </w:pPr>
      <w:r>
        <w:t xml:space="preserve">· Finding the hormone's receptor RNA in neighbouring cells. —</w:t>
      </w:r>
      <w:r>
        <w:t xml:space="preserve"> </w:t>
      </w:r>
      <w:r>
        <w:rPr>
          <w:i/>
          <w:iCs/>
        </w:rPr>
        <w:t xml:space="preserve">That predicts a possible receiver; it does not show the hormone is made or released.</w:t>
      </w:r>
    </w:p>
    <w:p>
      <w:pPr>
        <w:pStyle w:val="FirstParagraph"/>
      </w:pPr>
      <w:r>
        <w:t xml:space="preserve">Sources: fei-2026-hormone-cell-atlas, hormone-cell-atlas-portal, liu-2016-mrna-protein</w:t>
      </w:r>
    </w:p>
    <w:p>
      <w:pPr>
        <w:pStyle w:val="BodyText"/>
      </w:pPr>
      <w:r>
        <w:rPr>
          <w:b/>
          <w:bCs/>
        </w:rPr>
        <w:t xml:space="preserve">Q2</w:t>
      </w:r>
      <w:r>
        <w:t xml:space="preserve"> </w:t>
      </w:r>
      <w:r>
        <w:t xml:space="preserve">(m01,</w:t>
      </w:r>
      <w:r>
        <w:t xml:space="preserve"> </w:t>
      </w:r>
      <w:r>
        <w:rPr>
          <w:rStyle w:val="VerbatimChar"/>
        </w:rPr>
        <w:t xml:space="preserve">cq-m01-2</w:t>
      </w:r>
      <w:r>
        <w:t xml:space="preserve">) Which finding is a local cutaneous feedback loop rather than systemic endocrine signalling?</w:t>
      </w:r>
    </w:p>
    <w:p>
      <w:pPr>
        <w:pStyle w:val="Compact"/>
        <w:numPr>
          <w:ilvl w:val="0"/>
          <w:numId w:val="1066"/>
        </w:numPr>
      </w:pPr>
      <w:r>
        <w:t xml:space="preserve">· Skin-made vitamin D3 carried by the blood to the liver. —</w:t>
      </w:r>
      <w:r>
        <w:t xml:space="preserve"> </w:t>
      </w:r>
      <w:r>
        <w:rPr>
          <w:i/>
          <w:iCs/>
        </w:rPr>
        <w:t xml:space="preserve">That is the skin supplying a whole-body hormone system: skin to body.</w:t>
      </w:r>
    </w:p>
    <w:p>
      <w:pPr>
        <w:pStyle w:val="Compact"/>
        <w:numPr>
          <w:ilvl w:val="0"/>
          <w:numId w:val="1066"/>
        </w:numPr>
      </w:pPr>
      <w:r>
        <w:rPr>
          <w:b/>
          <w:bCs/>
        </w:rPr>
        <w:t xml:space="preserve">✓</w:t>
      </w:r>
      <w:r>
        <w:t xml:space="preserve"> </w:t>
      </w:r>
      <w:r>
        <w:t xml:space="preserve">Human scalp follicles in culture secrete cortisol and then reduce their own CRH. —</w:t>
      </w:r>
      <w:r>
        <w:t xml:space="preserve"> </w:t>
      </w:r>
      <w:r>
        <w:rPr>
          <w:i/>
          <w:iCs/>
        </w:rPr>
        <w:t xml:space="preserve">Correct. Made, sensed and fed back within the follicle, with no systemic connection.</w:t>
      </w:r>
    </w:p>
    <w:p>
      <w:pPr>
        <w:pStyle w:val="Compact"/>
        <w:numPr>
          <w:ilvl w:val="0"/>
          <w:numId w:val="1066"/>
        </w:numPr>
      </w:pPr>
      <w:r>
        <w:t xml:space="preserve">· Thin skin and striae in Cushing syndrome. —</w:t>
      </w:r>
      <w:r>
        <w:t xml:space="preserve"> </w:t>
      </w:r>
      <w:r>
        <w:rPr>
          <w:i/>
          <w:iCs/>
        </w:rPr>
        <w:t xml:space="preserve">Circulating cortisol excess acting on the skin: body to skin.</w:t>
      </w:r>
    </w:p>
    <w:p>
      <w:pPr>
        <w:pStyle w:val="FirstParagraph"/>
      </w:pPr>
      <w:r>
        <w:t xml:space="preserve">Sources: ito-2005-hair-follicle-hpa, holick-1980-previtamin-d3, hannah-shmouni-2026-are</w:t>
      </w:r>
    </w:p>
    <w:p>
      <w:pPr>
        <w:pStyle w:val="BodyText"/>
      </w:pPr>
      <w:r>
        <w:rPr>
          <w:b/>
          <w:bCs/>
        </w:rPr>
        <w:t xml:space="preserve">Q3</w:t>
      </w:r>
      <w:r>
        <w:t xml:space="preserve"> </w:t>
      </w:r>
      <w:r>
        <w:t xml:space="preserve">(m02,</w:t>
      </w:r>
      <w:r>
        <w:t xml:space="preserve"> </w:t>
      </w:r>
      <w:r>
        <w:rPr>
          <w:rStyle w:val="VerbatimChar"/>
        </w:rPr>
        <w:t xml:space="preserve">cq-m02-1</w:t>
      </w:r>
      <w:r>
        <w:t xml:space="preserve">) Why can a blood or saliva cortisol level not tell you how much cortisol a patient's skin is generating?</w:t>
      </w:r>
    </w:p>
    <w:p>
      <w:pPr>
        <w:pStyle w:val="Compact"/>
        <w:numPr>
          <w:ilvl w:val="0"/>
          <w:numId w:val="1067"/>
        </w:numPr>
      </w:pPr>
      <w:r>
        <w:rPr>
          <w:b/>
          <w:bCs/>
        </w:rPr>
        <w:t xml:space="preserve">✓</w:t>
      </w:r>
      <w:r>
        <w:t xml:space="preserve"> </w:t>
      </w:r>
      <w:r>
        <w:t xml:space="preserve">Because 11β-HSD1 regenerates cortisol inside skin cells, and local availability is regulated independently of circulating levels. —</w:t>
      </w:r>
      <w:r>
        <w:t xml:space="preserve"> </w:t>
      </w:r>
      <w:r>
        <w:rPr>
          <w:i/>
          <w:iCs/>
        </w:rPr>
        <w:t xml:space="preserve">Correct: a mechanism shown in human skin samples and mice.</w:t>
      </w:r>
    </w:p>
    <w:p>
      <w:pPr>
        <w:pStyle w:val="Compact"/>
        <w:numPr>
          <w:ilvl w:val="0"/>
          <w:numId w:val="1067"/>
        </w:numPr>
      </w:pPr>
      <w:r>
        <w:t xml:space="preserve">· Because skin cells cannot make or activate cortisol. —</w:t>
      </w:r>
      <w:r>
        <w:t xml:space="preserve"> </w:t>
      </w:r>
      <w:r>
        <w:rPr>
          <w:i/>
          <w:iCs/>
        </w:rPr>
        <w:t xml:space="preserve">They can: skin expresses an HPA-like axis, and 11β-HSD1 regenerates cortisol locally.</w:t>
      </w:r>
    </w:p>
    <w:p>
      <w:pPr>
        <w:pStyle w:val="Compact"/>
        <w:numPr>
          <w:ilvl w:val="0"/>
          <w:numId w:val="1067"/>
        </w:numPr>
      </w:pPr>
      <w:r>
        <w:t xml:space="preserve">· Because saliva and blood cortisol tests are unreliable for everything. —</w:t>
      </w:r>
      <w:r>
        <w:t xml:space="preserve"> </w:t>
      </w:r>
      <w:r>
        <w:rPr>
          <w:i/>
          <w:iCs/>
        </w:rPr>
        <w:t xml:space="preserve">Late-night salivary cortisol is a first-line test for Cushing's syndrome; it measures systemic cortisol, which is a different question.</w:t>
      </w:r>
    </w:p>
    <w:p>
      <w:pPr>
        <w:pStyle w:val="FirstParagraph"/>
      </w:pPr>
      <w:r>
        <w:t xml:space="preserve">Sources: tiganescu-2011-11bhsd1-skin, nieman-2008-cushings-diagnosis-guideline</w:t>
      </w:r>
    </w:p>
    <w:p>
      <w:pPr>
        <w:pStyle w:val="BodyText"/>
      </w:pPr>
      <w:r>
        <w:rPr>
          <w:b/>
          <w:bCs/>
        </w:rPr>
        <w:t xml:space="preserve">Q4</w:t>
      </w:r>
      <w:r>
        <w:t xml:space="preserve"> </w:t>
      </w:r>
      <w:r>
        <w:t xml:space="preserve">(m02,</w:t>
      </w:r>
      <w:r>
        <w:t xml:space="preserve"> </w:t>
      </w:r>
      <w:r>
        <w:rPr>
          <w:rStyle w:val="VerbatimChar"/>
        </w:rPr>
        <w:t xml:space="preserve">cq-m02-2</w:t>
      </w:r>
      <w:r>
        <w:t xml:space="preserve">) A patient asks whether starting hormone therapy at menopause will stop her wrinkles. Which answer fits the evidence?</w:t>
      </w:r>
    </w:p>
    <w:p>
      <w:pPr>
        <w:pStyle w:val="Compact"/>
        <w:numPr>
          <w:ilvl w:val="0"/>
          <w:numId w:val="1068"/>
        </w:numPr>
      </w:pPr>
      <w:r>
        <w:t xml:space="preserve">· Yes: estrogen rebuilds collagen, so her wrinkles will improve. —</w:t>
      </w:r>
      <w:r>
        <w:t xml:space="preserve"> </w:t>
      </w:r>
      <w:r>
        <w:rPr>
          <w:i/>
          <w:iCs/>
        </w:rPr>
        <w:t xml:space="preserve">Small trials show thicker skin, but the largest trials found no difference in wrinkles.</w:t>
      </w:r>
    </w:p>
    <w:p>
      <w:pPr>
        <w:pStyle w:val="Compact"/>
        <w:numPr>
          <w:ilvl w:val="0"/>
          <w:numId w:val="1068"/>
        </w:numPr>
      </w:pPr>
      <w:r>
        <w:rPr>
          <w:b/>
          <w:bCs/>
        </w:rPr>
        <w:t xml:space="preserve">✓</w:t>
      </w:r>
      <w:r>
        <w:t xml:space="preserve"> </w:t>
      </w:r>
      <w:r>
        <w:t xml:space="preserve">It may thicken the skin a little, the largest trials found no difference in wrinkles, and skin is not a reason to start; hot flashes or vaginal symptoms are worth discussing with a prescriber. —</w:t>
      </w:r>
      <w:r>
        <w:t xml:space="preserve"> </w:t>
      </w:r>
      <w:r>
        <w:rPr>
          <w:i/>
          <w:iCs/>
        </w:rPr>
        <w:t xml:space="preserve">Correct: a secondary effect, and an indication-led decision.</w:t>
      </w:r>
    </w:p>
    <w:p>
      <w:pPr>
        <w:pStyle w:val="Compact"/>
        <w:numPr>
          <w:ilvl w:val="0"/>
          <w:numId w:val="1068"/>
        </w:numPr>
      </w:pPr>
      <w:r>
        <w:t xml:space="preserve">· It has no effect on skin at all. —</w:t>
      </w:r>
      <w:r>
        <w:t xml:space="preserve"> </w:t>
      </w:r>
      <w:r>
        <w:rPr>
          <w:i/>
          <w:iCs/>
        </w:rPr>
        <w:t xml:space="preserve">Small RCTs do show gains in thickness and collagen; what is unproven is a visible wrinkle benefit.</w:t>
      </w:r>
    </w:p>
    <w:p>
      <w:pPr>
        <w:pStyle w:val="FirstParagraph"/>
      </w:pPr>
      <w:r>
        <w:t xml:space="preserve">Sources: phillips-2008-ht-facial-skin-rct, maheux-1994-cee-skin-thickness-rct, fda-mht-labeling-approval-2026-02-12, nams-2022-hormone-therapy-position-statement</w:t>
      </w:r>
    </w:p>
    <w:p>
      <w:pPr>
        <w:pStyle w:val="BodyText"/>
      </w:pPr>
      <w:r>
        <w:rPr>
          <w:b/>
          <w:bCs/>
        </w:rPr>
        <w:t xml:space="preserve">Q5</w:t>
      </w:r>
      <w:r>
        <w:t xml:space="preserve"> </w:t>
      </w:r>
      <w:r>
        <w:t xml:space="preserve">(m03,</w:t>
      </w:r>
      <w:r>
        <w:t xml:space="preserve"> </w:t>
      </w:r>
      <w:r>
        <w:rPr>
          <w:rStyle w:val="VerbatimChar"/>
        </w:rPr>
        <w:t xml:space="preserve">m03-cq1</w:t>
      </w:r>
      <w:r>
        <w:t xml:space="preserve">) A colleague says tirzepatide is 'GRADE A', so its effect on the face must be well established. What is wrong with that reasoning?</w:t>
      </w:r>
    </w:p>
    <w:p>
      <w:pPr>
        <w:pStyle w:val="Compact"/>
        <w:numPr>
          <w:ilvl w:val="0"/>
          <w:numId w:val="1069"/>
        </w:numPr>
      </w:pPr>
      <w:r>
        <w:t xml:space="preserve">· Nothing: a drug's grade applies to all of its effects. —</w:t>
      </w:r>
      <w:r>
        <w:t xml:space="preserve"> </w:t>
      </w:r>
      <w:r>
        <w:rPr>
          <w:i/>
          <w:iCs/>
        </w:rPr>
        <w:t xml:space="preserve">Grades attach to a specific outcome in a specific population. The pivotal trials measured weight and never the face.</w:t>
      </w:r>
    </w:p>
    <w:p>
      <w:pPr>
        <w:pStyle w:val="Compact"/>
        <w:numPr>
          <w:ilvl w:val="0"/>
          <w:numId w:val="1069"/>
        </w:numPr>
      </w:pPr>
      <w:r>
        <w:rPr>
          <w:b/>
          <w:bCs/>
        </w:rPr>
        <w:t xml:space="preserve">✓</w:t>
      </w:r>
      <w:r>
        <w:t xml:space="preserve"> </w:t>
      </w:r>
      <w:r>
        <w:t xml:space="preserve">Grades attach to outcomes: weight loss is A from large randomized trials, while facial change rests on small observational studies. —</w:t>
      </w:r>
      <w:r>
        <w:t xml:space="preserve"> </w:t>
      </w:r>
      <w:r>
        <w:rPr>
          <w:i/>
          <w:iCs/>
        </w:rPr>
        <w:t xml:space="preserve">Correct. One grade per outcome.</w:t>
      </w:r>
    </w:p>
    <w:p>
      <w:pPr>
        <w:pStyle w:val="Compact"/>
        <w:numPr>
          <w:ilvl w:val="0"/>
          <w:numId w:val="1069"/>
        </w:numPr>
      </w:pPr>
      <w:r>
        <w:t xml:space="preserve">· Tirzepatide has no GRADE A evidence for anything. —</w:t>
      </w:r>
      <w:r>
        <w:t xml:space="preserve"> </w:t>
      </w:r>
      <w:r>
        <w:rPr>
          <w:i/>
          <w:iCs/>
        </w:rPr>
        <w:t xml:space="preserve">It does, for weight management and type 2 diabetes, from large randomized trials such as SURMOUNT-1.</w:t>
      </w:r>
    </w:p>
    <w:p>
      <w:pPr>
        <w:pStyle w:val="FirstParagraph"/>
      </w:pPr>
      <w:r>
        <w:t xml:space="preserve">Sources: jastreboff-2022-surmount1, sharma-2025-midface-volume-glp1, rao-2026-glp1-skin-pro-survey, hannah-shmouni-2026-are</w:t>
      </w:r>
    </w:p>
    <w:p>
      <w:pPr>
        <w:pStyle w:val="BodyText"/>
      </w:pPr>
      <w:r>
        <w:rPr>
          <w:b/>
          <w:bCs/>
        </w:rPr>
        <w:t xml:space="preserve">Q6</w:t>
      </w:r>
      <w:r>
        <w:t xml:space="preserve"> </w:t>
      </w:r>
      <w:r>
        <w:t xml:space="preserve">(m03,</w:t>
      </w:r>
      <w:r>
        <w:t xml:space="preserve"> </w:t>
      </w:r>
      <w:r>
        <w:rPr>
          <w:rStyle w:val="VerbatimChar"/>
        </w:rPr>
        <w:t xml:space="preserve">m03-cq2</w:t>
      </w:r>
      <w:r>
        <w:t xml:space="preserve">) Which statement about the gut–skin link is best supported by the evidence?</w:t>
      </w:r>
    </w:p>
    <w:p>
      <w:pPr>
        <w:pStyle w:val="Compact"/>
        <w:numPr>
          <w:ilvl w:val="0"/>
          <w:numId w:val="1070"/>
        </w:numPr>
      </w:pPr>
      <w:r>
        <w:t xml:space="preserve">· Probiotic capsules reliably clear eczema by repairing the gut barrier. —</w:t>
      </w:r>
      <w:r>
        <w:t xml:space="preserve"> </w:t>
      </w:r>
      <w:r>
        <w:rPr>
          <w:i/>
          <w:iCs/>
        </w:rPr>
        <w:t xml:space="preserve">Pooled trials show little or no difference in patient-rated eczema symptoms.</w:t>
      </w:r>
    </w:p>
    <w:p>
      <w:pPr>
        <w:pStyle w:val="Compact"/>
        <w:numPr>
          <w:ilvl w:val="0"/>
          <w:numId w:val="1070"/>
        </w:numPr>
      </w:pPr>
      <w:r>
        <w:rPr>
          <w:b/>
          <w:bCs/>
        </w:rPr>
        <w:t xml:space="preserve">✓</w:t>
      </w:r>
      <w:r>
        <w:t xml:space="preserve"> </w:t>
      </w:r>
      <w:r>
        <w:t xml:space="preserve">Metabolic endotoxaemia is shown in mice and small human studies, but restoring the gut barrier has not been shown to improve disease outside the gut. —</w:t>
      </w:r>
      <w:r>
        <w:t xml:space="preserve"> </w:t>
      </w:r>
      <w:r>
        <w:rPr>
          <w:i/>
          <w:iCs/>
        </w:rPr>
        <w:t xml:space="preserve">Correct. Mechanism in mice and short-term human physiology; no proof that barrier repair helps the skin.</w:t>
      </w:r>
    </w:p>
    <w:p>
      <w:pPr>
        <w:pStyle w:val="Compact"/>
        <w:numPr>
          <w:ilvl w:val="0"/>
          <w:numId w:val="1070"/>
        </w:numPr>
      </w:pPr>
      <w:r>
        <w:t xml:space="preserve">· A zonulin blood test identifies patients whose skin disease comes from a leaky gut. —</w:t>
      </w:r>
      <w:r>
        <w:t xml:space="preserve"> </w:t>
      </w:r>
      <w:r>
        <w:rPr>
          <w:i/>
          <w:iCs/>
        </w:rPr>
        <w:t xml:space="preserve">A widely used zonulin assay detects proteins other than zonulin.</w:t>
      </w:r>
    </w:p>
    <w:p>
      <w:pPr>
        <w:pStyle w:val="FirstParagraph"/>
      </w:pPr>
      <w:r>
        <w:t xml:space="preserve">Sources: cani-2007-metabolic-endotoxemia, erridge-2007-high-fat-meal-endotoxemia, camilleri-2019-leaky-gut, makrgeorgou-2018-cochrane-probiotics-eczema, scheffler-2018-zonulin-elisa</w:t>
      </w:r>
    </w:p>
    <w:p>
      <w:pPr>
        <w:pStyle w:val="BodyText"/>
      </w:pPr>
      <w:r>
        <w:rPr>
          <w:b/>
          <w:bCs/>
        </w:rPr>
        <w:t xml:space="preserve">Q7</w:t>
      </w:r>
      <w:r>
        <w:t xml:space="preserve"> </w:t>
      </w:r>
      <w:r>
        <w:t xml:space="preserve">(m04,</w:t>
      </w:r>
      <w:r>
        <w:t xml:space="preserve"> </w:t>
      </w:r>
      <w:r>
        <w:rPr>
          <w:rStyle w:val="VerbatimChar"/>
        </w:rPr>
        <w:t xml:space="preserve">cq-m04-1</w:t>
      </w:r>
      <w:r>
        <w:t xml:space="preserve">) Which statement about topical GHK-Cu keeps its evidence and its regulatory status apart correctly?</w:t>
      </w:r>
    </w:p>
    <w:p>
      <w:pPr>
        <w:pStyle w:val="Compact"/>
        <w:numPr>
          <w:ilvl w:val="0"/>
          <w:numId w:val="1071"/>
        </w:numPr>
      </w:pPr>
      <w:r>
        <w:rPr>
          <w:b/>
          <w:bCs/>
        </w:rPr>
        <w:t xml:space="preserve">✓</w:t>
      </w:r>
      <w:r>
        <w:t xml:space="preserve"> </w:t>
      </w:r>
      <w:r>
        <w:t xml:space="preserve">It is GRADE C on small trials, and in the US its non-injectable form sits in 503A Category 1, which means under evaluation. —</w:t>
      </w:r>
      <w:r>
        <w:t xml:space="preserve"> </w:t>
      </w:r>
      <w:r>
        <w:rPr>
          <w:i/>
          <w:iCs/>
        </w:rPr>
        <w:t xml:space="preserve">Correct. Two separate answers: small-trial human evidence, and an enforcement posture that is not an approval.</w:t>
      </w:r>
    </w:p>
    <w:p>
      <w:pPr>
        <w:pStyle w:val="Compact"/>
        <w:numPr>
          <w:ilvl w:val="0"/>
          <w:numId w:val="1071"/>
        </w:numPr>
      </w:pPr>
      <w:r>
        <w:t xml:space="preserve">· Its Category 1 listing shows FDA has found it effective for skin. —</w:t>
      </w:r>
      <w:r>
        <w:t xml:space="preserve"> </w:t>
      </w:r>
      <w:r>
        <w:rPr>
          <w:i/>
          <w:iCs/>
        </w:rPr>
        <w:t xml:space="preserve">Category 1 means FDA is still evaluating; it says nothing about efficacy.</w:t>
      </w:r>
    </w:p>
    <w:p>
      <w:pPr>
        <w:pStyle w:val="Compact"/>
        <w:numPr>
          <w:ilvl w:val="0"/>
          <w:numId w:val="1071"/>
        </w:numPr>
      </w:pPr>
      <w:r>
        <w:t xml:space="preserve">· Its copper-enzyme mechanism makes its evidence grade A. —</w:t>
      </w:r>
      <w:r>
        <w:t xml:space="preserve"> </w:t>
      </w:r>
      <w:r>
        <w:rPr>
          <w:i/>
          <w:iCs/>
        </w:rPr>
        <w:t xml:space="preserve">A plausible mechanism is not human evidence; the trials are small (C).</w:t>
      </w:r>
    </w:p>
    <w:p>
      <w:pPr>
        <w:pStyle w:val="FirstParagraph"/>
      </w:pPr>
      <w:r>
        <w:t xml:space="preserve">Sources: miller-2006-ghk-cu-laser-rct, fda-503a-categories-2026-05-14, hannah-shmouni-2026-ppg-aug</w:t>
      </w:r>
    </w:p>
    <w:p>
      <w:pPr>
        <w:pStyle w:val="BodyText"/>
      </w:pPr>
      <w:r>
        <w:rPr>
          <w:b/>
          <w:bCs/>
        </w:rPr>
        <w:t xml:space="preserve">Q8</w:t>
      </w:r>
      <w:r>
        <w:t xml:space="preserve"> </w:t>
      </w:r>
      <w:r>
        <w:t xml:space="preserve">(m04,</w:t>
      </w:r>
      <w:r>
        <w:t xml:space="preserve"> </w:t>
      </w:r>
      <w:r>
        <w:rPr>
          <w:rStyle w:val="VerbatimChar"/>
        </w:rPr>
        <w:t xml:space="preserve">cq-m04-2</w:t>
      </w:r>
      <w:r>
        <w:t xml:space="preserve">) Oral collagen trials pooled together look positive. What did splitting them by funding and quality show?</w:t>
      </w:r>
    </w:p>
    <w:p>
      <w:pPr>
        <w:pStyle w:val="Compact"/>
        <w:numPr>
          <w:ilvl w:val="0"/>
          <w:numId w:val="1072"/>
        </w:numPr>
      </w:pPr>
      <w:r>
        <w:t xml:space="preserve">· The benefit held in every subgroup. —</w:t>
      </w:r>
      <w:r>
        <w:t xml:space="preserve"> </w:t>
      </w:r>
      <w:r>
        <w:rPr>
          <w:i/>
          <w:iCs/>
        </w:rPr>
        <w:t xml:space="preserve">It did not: independent and high-quality trials showed no effect.</w:t>
      </w:r>
    </w:p>
    <w:p>
      <w:pPr>
        <w:pStyle w:val="Compact"/>
        <w:numPr>
          <w:ilvl w:val="0"/>
          <w:numId w:val="1072"/>
        </w:numPr>
      </w:pPr>
      <w:r>
        <w:rPr>
          <w:b/>
          <w:bCs/>
        </w:rPr>
        <w:t xml:space="preserve">✓</w:t>
      </w:r>
      <w:r>
        <w:t xml:space="preserve"> </w:t>
      </w:r>
      <w:r>
        <w:t xml:space="preserve">The benefit appeared only in pharmaceutical-funded and lower-quality trials. —</w:t>
      </w:r>
      <w:r>
        <w:t xml:space="preserve"> </w:t>
      </w:r>
      <w:r>
        <w:rPr>
          <w:i/>
          <w:iCs/>
        </w:rPr>
        <w:t xml:space="preserve">Correct — Myung and Park, 2025, 23 RCTs.</w:t>
      </w:r>
    </w:p>
    <w:p>
      <w:pPr>
        <w:pStyle w:val="Compact"/>
        <w:numPr>
          <w:ilvl w:val="0"/>
          <w:numId w:val="1072"/>
        </w:numPr>
      </w:pPr>
      <w:r>
        <w:t xml:space="preserve">· Independent trials showed harm. —</w:t>
      </w:r>
      <w:r>
        <w:t xml:space="preserve"> </w:t>
      </w:r>
      <w:r>
        <w:rPr>
          <w:i/>
          <w:iCs/>
        </w:rPr>
        <w:t xml:space="preserve">No harm signal was reported; the finding is about absence of benefit.</w:t>
      </w:r>
    </w:p>
    <w:p>
      <w:pPr>
        <w:pStyle w:val="FirstParagraph"/>
      </w:pPr>
      <w:r>
        <w:t xml:space="preserve">Sources: myung-2025-collagen-funding-meta, pu-2023-oral-collagen-meta</w:t>
      </w:r>
    </w:p>
    <w:p>
      <w:pPr>
        <w:pStyle w:val="BodyText"/>
      </w:pPr>
      <w:r>
        <w:rPr>
          <w:b/>
          <w:bCs/>
        </w:rPr>
        <w:t xml:space="preserve">Q9</w:t>
      </w:r>
      <w:r>
        <w:t xml:space="preserve"> </w:t>
      </w:r>
      <w:r>
        <w:t xml:space="preserve">(m05,</w:t>
      </w:r>
      <w:r>
        <w:t xml:space="preserve"> </w:t>
      </w:r>
      <w:r>
        <w:rPr>
          <w:rStyle w:val="VerbatimChar"/>
        </w:rPr>
        <w:t xml:space="preserve">cq-m05-1</w:t>
      </w:r>
      <w:r>
        <w:t xml:space="preserve">) Which statement about afamelanotide and Melanotan II is accurate?</w:t>
      </w:r>
    </w:p>
    <w:p>
      <w:pPr>
        <w:pStyle w:val="Compact"/>
        <w:numPr>
          <w:ilvl w:val="0"/>
          <w:numId w:val="1073"/>
        </w:numPr>
      </w:pPr>
      <w:r>
        <w:rPr>
          <w:b/>
          <w:bCs/>
        </w:rPr>
        <w:t xml:space="preserve">✓</w:t>
      </w:r>
      <w:r>
        <w:t xml:space="preserve"> </w:t>
      </w:r>
      <w:r>
        <w:t xml:space="preserve">Afamelanotide is approved (EU 2014, US 2019) only for erythropoietic protoporphyria; Melanotan II is approved for no indication, and regulators in the US, UK and Australia have warned about it. —</w:t>
      </w:r>
      <w:r>
        <w:t xml:space="preserve"> </w:t>
      </w:r>
      <w:r>
        <w:rPr>
          <w:i/>
          <w:iCs/>
        </w:rPr>
        <w:t xml:space="preserve">Correct. Same receptor family, different molecules, and only one has an approval, for one rare disease.</w:t>
      </w:r>
    </w:p>
    <w:p>
      <w:pPr>
        <w:pStyle w:val="Compact"/>
        <w:numPr>
          <w:ilvl w:val="0"/>
          <w:numId w:val="1073"/>
        </w:numPr>
      </w:pPr>
      <w:r>
        <w:t xml:space="preserve">· Afamelanotide's US approval covers cosmetic tanning. —</w:t>
      </w:r>
      <w:r>
        <w:t xml:space="preserve"> </w:t>
      </w:r>
      <w:r>
        <w:rPr>
          <w:i/>
          <w:iCs/>
        </w:rPr>
        <w:t xml:space="preserve">The US indication is to increase pain-free light exposure in adults with EPP; tanning is not an approved use.</w:t>
      </w:r>
    </w:p>
    <w:p>
      <w:pPr>
        <w:pStyle w:val="Compact"/>
        <w:numPr>
          <w:ilvl w:val="0"/>
          <w:numId w:val="1073"/>
        </w:numPr>
      </w:pPr>
      <w:r>
        <w:t xml:space="preserve">· Melanotan II became approvable once FDA reviewed it for compounding. —</w:t>
      </w:r>
      <w:r>
        <w:t xml:space="preserve"> </w:t>
      </w:r>
      <w:r>
        <w:rPr>
          <w:i/>
          <w:iCs/>
        </w:rPr>
        <w:t xml:space="preserve">Its compounding nomination was withdrawn, and FDA's page lists serious safety risks. A review is never an approval.</w:t>
      </w:r>
    </w:p>
    <w:p>
      <w:pPr>
        <w:pStyle w:val="FirstParagraph"/>
      </w:pPr>
      <w:r>
        <w:t xml:space="preserve">Sources: ema-scenesse-epar, fda-scenesse-label-2024, fda-503a-category2-safety-risks-page, mhra-foi-24-274-melanotan-ii, tga-2026-melanotan-ii-safety-advisory</w:t>
      </w:r>
    </w:p>
    <w:p>
      <w:pPr>
        <w:pStyle w:val="BodyText"/>
      </w:pPr>
      <w:r>
        <w:rPr>
          <w:b/>
          <w:bCs/>
        </w:rPr>
        <w:t xml:space="preserve">Q10</w:t>
      </w:r>
      <w:r>
        <w:t xml:space="preserve"> </w:t>
      </w:r>
      <w:r>
        <w:t xml:space="preserve">(m05,</w:t>
      </w:r>
      <w:r>
        <w:t xml:space="preserve"> </w:t>
      </w:r>
      <w:r>
        <w:rPr>
          <w:rStyle w:val="VerbatimChar"/>
        </w:rPr>
        <w:t xml:space="preserve">cq-m05-2</w:t>
      </w:r>
      <w:r>
        <w:t xml:space="preserve">) A patient asks about a PTD-DBM hair spray. Which grade fits its evidence, and why?</w:t>
      </w:r>
    </w:p>
    <w:p>
      <w:pPr>
        <w:pStyle w:val="Compact"/>
        <w:numPr>
          <w:ilvl w:val="0"/>
          <w:numId w:val="1074"/>
        </w:numPr>
      </w:pPr>
      <w:r>
        <w:t xml:space="preserve">· A, because it acts on the central Wnt pathway of hair growth. —</w:t>
      </w:r>
      <w:r>
        <w:t xml:space="preserve"> </w:t>
      </w:r>
      <w:r>
        <w:rPr>
          <w:i/>
          <w:iCs/>
        </w:rPr>
        <w:t xml:space="preserve">A plausible pathway is mechanism, and grades rest on human evidence.</w:t>
      </w:r>
    </w:p>
    <w:p>
      <w:pPr>
        <w:pStyle w:val="Compact"/>
        <w:numPr>
          <w:ilvl w:val="0"/>
          <w:numId w:val="1074"/>
        </w:numPr>
      </w:pPr>
      <w:r>
        <w:rPr>
          <w:b/>
          <w:bCs/>
        </w:rPr>
        <w:t xml:space="preserve">✓</w:t>
      </w:r>
      <w:r>
        <w:t xml:space="preserve"> </w:t>
      </w:r>
      <w:r>
        <w:t xml:space="preserve">D: one 2017 study in mice and scalp tissue from the developer's group, and no human trial published or registered as of September 2026. —</w:t>
      </w:r>
      <w:r>
        <w:t xml:space="preserve"> </w:t>
      </w:r>
      <w:r>
        <w:rPr>
          <w:i/>
          <w:iCs/>
        </w:rPr>
        <w:t xml:space="preserve">Correct. Animal and tissue data only, from one group with a commercial link.</w:t>
      </w:r>
    </w:p>
    <w:p>
      <w:pPr>
        <w:pStyle w:val="Compact"/>
        <w:numPr>
          <w:ilvl w:val="0"/>
          <w:numId w:val="1074"/>
        </w:numPr>
      </w:pPr>
      <w:r>
        <w:t xml:space="preserve">· C, because small human trials show regrowth. —</w:t>
      </w:r>
      <w:r>
        <w:t xml:space="preserve"> </w:t>
      </w:r>
      <w:r>
        <w:rPr>
          <w:i/>
          <w:iCs/>
        </w:rPr>
        <w:t xml:space="preserve">No human trial of PTD-DBM exists, small or large.</w:t>
      </w:r>
    </w:p>
    <w:p>
      <w:pPr>
        <w:pStyle w:val="FirstParagraph"/>
      </w:pPr>
      <w:r>
        <w:t xml:space="preserve">Sources: lee-2017-ptd-dbm-cxxc5-hair, mehta-2025-wnt-hair-regrowth-review, hannah-shmouni-2026-ppg-aug</w:t>
      </w:r>
    </w:p>
    <w:p>
      <w:pPr>
        <w:pStyle w:val="BodyText"/>
      </w:pPr>
      <w:r>
        <w:rPr>
          <w:b/>
          <w:bCs/>
        </w:rPr>
        <w:t xml:space="preserve">Q11</w:t>
      </w:r>
      <w:r>
        <w:t xml:space="preserve"> </w:t>
      </w:r>
      <w:r>
        <w:t xml:space="preserve">(m06,</w:t>
      </w:r>
      <w:r>
        <w:t xml:space="preserve"> </w:t>
      </w:r>
      <w:r>
        <w:rPr>
          <w:rStyle w:val="VerbatimChar"/>
        </w:rPr>
        <w:t xml:space="preserve">cq-m06-1</w:t>
      </w:r>
      <w:r>
        <w:t xml:space="preserve">) In the US, as of September 2026, which statement about growth-hormone secretagogues and 503A compounding is accurate?</w:t>
      </w:r>
    </w:p>
    <w:p>
      <w:pPr>
        <w:pStyle w:val="Compact"/>
        <w:numPr>
          <w:ilvl w:val="0"/>
          <w:numId w:val="1075"/>
        </w:numPr>
      </w:pPr>
      <w:r>
        <w:t xml:space="preserve">· Ipamorelin and CJC-1295 are on the 503A bulks list, because clinics compound them widely. —</w:t>
      </w:r>
      <w:r>
        <w:t xml:space="preserve"> </w:t>
      </w:r>
      <w:r>
        <w:rPr>
          <w:i/>
          <w:iCs/>
        </w:rPr>
        <w:t xml:space="preserve">Neither is on the list. FDA's advisory committee voted against ipamorelin in 2024, and both 503A nominations were withdrawn.</w:t>
      </w:r>
    </w:p>
    <w:p>
      <w:pPr>
        <w:pStyle w:val="Compact"/>
        <w:numPr>
          <w:ilvl w:val="0"/>
          <w:numId w:val="1075"/>
        </w:numPr>
      </w:pPr>
      <w:r>
        <w:rPr>
          <w:b/>
          <w:bCs/>
        </w:rPr>
        <w:t xml:space="preserve">✓</w:t>
      </w:r>
      <w:r>
        <w:t xml:space="preserve"> </w:t>
      </w:r>
      <w:r>
        <w:t xml:space="preserve">None of them is on the 503A bulks list; ibutamoren is in FDA's Category 2 for a heart-failure signal, and the ipamorelin and CJC-1295 nominations were withdrawn. —</w:t>
      </w:r>
      <w:r>
        <w:t xml:space="preserve"> </w:t>
      </w:r>
      <w:r>
        <w:rPr>
          <w:i/>
          <w:iCs/>
        </w:rPr>
        <w:t xml:space="preserve">Correct, dated to FDA's category documents of April and May 2026.</w:t>
      </w:r>
    </w:p>
    <w:p>
      <w:pPr>
        <w:pStyle w:val="Compact"/>
        <w:numPr>
          <w:ilvl w:val="0"/>
          <w:numId w:val="1075"/>
        </w:numPr>
      </w:pPr>
      <w:r>
        <w:t xml:space="preserve">· Sermorelin is an FDA-approved product marketed for adult anti-ageing. —</w:t>
      </w:r>
      <w:r>
        <w:t xml:space="preserve"> </w:t>
      </w:r>
      <w:r>
        <w:rPr>
          <w:i/>
          <w:iCs/>
        </w:rPr>
        <w:t xml:space="preserve">No sermorelin product is marketed in the US. Its former approvals were for children with GH deficiency and for diagnostic testing.</w:t>
      </w:r>
    </w:p>
    <w:p>
      <w:pPr>
        <w:pStyle w:val="FirstParagraph"/>
      </w:pPr>
      <w:r>
        <w:t xml:space="preserve">Sources: fda-503a-categories-2026-05-14, fda-503a-category2-safety-risks-page, fda-pcac-2024-10-minutes, fr-2013-geref-determination</w:t>
      </w:r>
    </w:p>
    <w:p>
      <w:pPr>
        <w:pStyle w:val="BodyText"/>
      </w:pPr>
      <w:r>
        <w:rPr>
          <w:b/>
          <w:bCs/>
        </w:rPr>
        <w:t xml:space="preserve">Q12</w:t>
      </w:r>
      <w:r>
        <w:t xml:space="preserve"> </w:t>
      </w:r>
      <w:r>
        <w:t xml:space="preserve">(m06,</w:t>
      </w:r>
      <w:r>
        <w:t xml:space="preserve"> </w:t>
      </w:r>
      <w:r>
        <w:rPr>
          <w:rStyle w:val="VerbatimChar"/>
        </w:rPr>
        <w:t xml:space="preserve">cq-m06-2</w:t>
      </w:r>
      <w:r>
        <w:t xml:space="preserve">) Why does a 'low' IGF-1 in a healthy 60-year-old not, on its own, justify growth-hormone therapy?</w:t>
      </w:r>
    </w:p>
    <w:p>
      <w:pPr>
        <w:pStyle w:val="Compact"/>
        <w:numPr>
          <w:ilvl w:val="0"/>
          <w:numId w:val="1076"/>
        </w:numPr>
      </w:pPr>
      <w:r>
        <w:rPr>
          <w:b/>
          <w:bCs/>
        </w:rPr>
        <w:t xml:space="preserve">✓</w:t>
      </w:r>
      <w:r>
        <w:t xml:space="preserve"> </w:t>
      </w:r>
      <w:r>
        <w:t xml:space="preserve">IGF-1 falls normally with age, and trials in healthy older adults show small body-composition gains with more oedema, joint pain and glucose problems. —</w:t>
      </w:r>
      <w:r>
        <w:t xml:space="preserve"> </w:t>
      </w:r>
      <w:r>
        <w:rPr>
          <w:i/>
          <w:iCs/>
        </w:rPr>
        <w:t xml:space="preserve">Correct. The somatopause is physiology, and the trials point against treatment.</w:t>
      </w:r>
    </w:p>
    <w:p>
      <w:pPr>
        <w:pStyle w:val="Compact"/>
        <w:numPr>
          <w:ilvl w:val="0"/>
          <w:numId w:val="1076"/>
        </w:numPr>
      </w:pPr>
      <w:r>
        <w:t xml:space="preserve">· Because growth hormone has no effect on skin at all. —</w:t>
      </w:r>
      <w:r>
        <w:t xml:space="preserve"> </w:t>
      </w:r>
      <w:r>
        <w:rPr>
          <w:i/>
          <w:iCs/>
        </w:rPr>
        <w:t xml:space="preserve">GH acts on dermal fibroblasts, and GH excess visibly changes skin. The problem is the balance of benefit and harm in healthy adults.</w:t>
      </w:r>
    </w:p>
    <w:p>
      <w:pPr>
        <w:pStyle w:val="Compact"/>
        <w:numPr>
          <w:ilvl w:val="0"/>
          <w:numId w:val="1076"/>
        </w:numPr>
      </w:pPr>
      <w:r>
        <w:t xml:space="preserve">· Because IGF-1 cannot be measured reliably. —</w:t>
      </w:r>
      <w:r>
        <w:t xml:space="preserve"> </w:t>
      </w:r>
      <w:r>
        <w:rPr>
          <w:i/>
          <w:iCs/>
        </w:rPr>
        <w:t xml:space="preserve">IGF-1 is a standard test. The point is to read it against an age-matched range and to treat a diagnosis.</w:t>
      </w:r>
    </w:p>
    <w:p>
      <w:pPr>
        <w:pStyle w:val="FirstParagraph"/>
      </w:pPr>
      <w:r>
        <w:t xml:space="preserve">Sources: blackman-2002-gh-sex-steroids-rct, liu-2007-gh-healthy-elderly, veldhuis-2008-somatotropic-ageing</w:t>
      </w:r>
    </w:p>
    <w:p>
      <w:pPr>
        <w:pStyle w:val="BodyText"/>
      </w:pPr>
      <w:r>
        <w:rPr>
          <w:b/>
          <w:bCs/>
        </w:rPr>
        <w:t xml:space="preserve">Q13</w:t>
      </w:r>
      <w:r>
        <w:t xml:space="preserve"> </w:t>
      </w:r>
      <w:r>
        <w:t xml:space="preserve">(m07,</w:t>
      </w:r>
      <w:r>
        <w:t xml:space="preserve"> </w:t>
      </w:r>
      <w:r>
        <w:rPr>
          <w:rStyle w:val="VerbatimChar"/>
        </w:rPr>
        <w:t xml:space="preserve">cq-m07-1</w:t>
      </w:r>
      <w:r>
        <w:t xml:space="preserve">) In GRADE, what does a certainty rating attach to?</w:t>
      </w:r>
    </w:p>
    <w:p>
      <w:pPr>
        <w:pStyle w:val="Compact"/>
        <w:numPr>
          <w:ilvl w:val="0"/>
          <w:numId w:val="1077"/>
        </w:numPr>
      </w:pPr>
      <w:r>
        <w:t xml:space="preserve">· A single well-run trial. —</w:t>
      </w:r>
      <w:r>
        <w:t xml:space="preserve"> </w:t>
      </w:r>
      <w:r>
        <w:rPr>
          <w:i/>
          <w:iCs/>
        </w:rPr>
        <w:t xml:space="preserve">GRADE rates a body of evidence, never one study on its own.</w:t>
      </w:r>
    </w:p>
    <w:p>
      <w:pPr>
        <w:pStyle w:val="Compact"/>
        <w:numPr>
          <w:ilvl w:val="0"/>
          <w:numId w:val="1077"/>
        </w:numPr>
      </w:pPr>
      <w:r>
        <w:t xml:space="preserve">· The molecule, across all its uses. —</w:t>
      </w:r>
      <w:r>
        <w:t xml:space="preserve"> </w:t>
      </w:r>
      <w:r>
        <w:rPr>
          <w:i/>
          <w:iCs/>
        </w:rPr>
        <w:t xml:space="preserve">The same molecule can be high certainty for one outcome and very low for another.</w:t>
      </w:r>
    </w:p>
    <w:p>
      <w:pPr>
        <w:pStyle w:val="Compact"/>
        <w:numPr>
          <w:ilvl w:val="0"/>
          <w:numId w:val="1077"/>
        </w:numPr>
      </w:pPr>
      <w:r>
        <w:rPr>
          <w:b/>
          <w:bCs/>
        </w:rPr>
        <w:t xml:space="preserve">✓</w:t>
      </w:r>
      <w:r>
        <w:t xml:space="preserve"> </w:t>
      </w:r>
      <w:r>
        <w:t xml:space="preserve">A body of evidence for a specific outcome. —</w:t>
      </w:r>
      <w:r>
        <w:t xml:space="preserve"> </w:t>
      </w:r>
      <w:r>
        <w:rPr>
          <w:i/>
          <w:iCs/>
        </w:rPr>
        <w:t xml:space="preserve">Correct. Certainty belongs to an outcome, across the studies that address it.</w:t>
      </w:r>
    </w:p>
    <w:p>
      <w:pPr>
        <w:pStyle w:val="FirstParagraph"/>
      </w:pPr>
      <w:r>
        <w:t xml:space="preserve">Sources: balshem-2011-grade-rating-quality, guyatt-2025-core-grade-5-indirectness, hannah-shmouni-2026-ppg-aug</w:t>
      </w:r>
    </w:p>
    <w:p>
      <w:pPr>
        <w:pStyle w:val="BodyText"/>
      </w:pPr>
      <w:r>
        <w:rPr>
          <w:b/>
          <w:bCs/>
        </w:rPr>
        <w:t xml:space="preserve">Q14</w:t>
      </w:r>
      <w:r>
        <w:t xml:space="preserve"> </w:t>
      </w:r>
      <w:r>
        <w:t xml:space="preserve">(m07,</w:t>
      </w:r>
      <w:r>
        <w:t xml:space="preserve"> </w:t>
      </w:r>
      <w:r>
        <w:rPr>
          <w:rStyle w:val="VerbatimChar"/>
        </w:rPr>
        <w:t xml:space="preserve">cq-m07-2</w:t>
      </w:r>
      <w:r>
        <w:t xml:space="preserve">) Under section 503A, in what order does the statute let a bulk substance qualify for compounding?</w:t>
      </w:r>
    </w:p>
    <w:p>
      <w:pPr>
        <w:pStyle w:val="Compact"/>
        <w:numPr>
          <w:ilvl w:val="0"/>
          <w:numId w:val="1078"/>
        </w:numPr>
      </w:pPr>
      <w:r>
        <w:t xml:space="preserve">· The bulks list first, then a monograph, then a component of an approved drug. —</w:t>
      </w:r>
      <w:r>
        <w:t xml:space="preserve"> </w:t>
      </w:r>
      <w:r>
        <w:rPr>
          <w:i/>
          <w:iCs/>
        </w:rPr>
        <w:t xml:space="preserve">Reversed. The bulks list is the last route, open only when the first two are not.</w:t>
      </w:r>
    </w:p>
    <w:p>
      <w:pPr>
        <w:pStyle w:val="Compact"/>
        <w:numPr>
          <w:ilvl w:val="0"/>
          <w:numId w:val="1078"/>
        </w:numPr>
      </w:pPr>
      <w:r>
        <w:rPr>
          <w:b/>
          <w:bCs/>
        </w:rPr>
        <w:t xml:space="preserve">✓</w:t>
      </w:r>
      <w:r>
        <w:t xml:space="preserve"> </w:t>
      </w:r>
      <w:r>
        <w:t xml:space="preserve">A USP or NF monograph first, then a component of an approved drug, then the 503A bulks list, with a valid certificate of analysis in every case. —</w:t>
      </w:r>
      <w:r>
        <w:t xml:space="preserve"> </w:t>
      </w:r>
      <w:r>
        <w:rPr>
          <w:i/>
          <w:iCs/>
        </w:rPr>
        <w:t xml:space="preserve">Correct. The routes are hierarchical, and the certificate and a registered manufacturer are conditions throughout.</w:t>
      </w:r>
    </w:p>
    <w:p>
      <w:pPr>
        <w:pStyle w:val="Compact"/>
        <w:numPr>
          <w:ilvl w:val="0"/>
          <w:numId w:val="1078"/>
        </w:numPr>
      </w:pPr>
      <w:r>
        <w:t xml:space="preserve">· Any substance whose certificate of analysis shows high purity. —</w:t>
      </w:r>
      <w:r>
        <w:t xml:space="preserve"> </w:t>
      </w:r>
      <w:r>
        <w:rPr>
          <w:i/>
          <w:iCs/>
        </w:rPr>
        <w:t xml:space="preserve">A certificate is a condition, never a route on its own.</w:t>
      </w:r>
    </w:p>
    <w:p>
      <w:pPr>
        <w:pStyle w:val="FirstParagraph"/>
      </w:pPr>
      <w:r>
        <w:t xml:space="preserve">Sources: usc-21-353a, fda-503a-bulks-page, ecfr-21-cfr-216-23-bulks-list</w:t>
      </w:r>
    </w:p>
    <w:p>
      <w:r>
        <w:pict>
          <v:rect style="width:0;height:1.5pt" o:hralign="center" o:hrstd="t" o:hr="t"/>
        </w:pict>
      </w:r>
    </w:p>
    <w:bookmarkEnd w:id="183"/>
    <w:bookmarkStart w:id="184" w:name="tutor-prepared-answers-14"/>
    <w:p>
      <w:pPr>
        <w:pStyle w:val="Heading2"/>
      </w:pPr>
      <w:r>
        <w:t xml:space="preserve">Tutor: prepared answers (14)</w:t>
      </w:r>
    </w:p>
    <w:p>
      <w:pPr>
        <w:pStyle w:val="FirstParagraph"/>
      </w:pPr>
      <w:r>
        <w:t xml:space="preserve">The course tutor answers from the course itself; these prepared answers cover the questions learners are most likely to ask.</w:t>
      </w:r>
    </w:p>
    <w:p>
      <w:pPr>
        <w:pStyle w:val="BodyText"/>
      </w:pPr>
      <w:r>
        <w:rPr>
          <w:b/>
          <w:bCs/>
        </w:rPr>
        <w:t xml:space="preserve">hormone cell atlas · cell atlas · single cell atlas · receptor map</w:t>
      </w:r>
      <w:r>
        <w:t xml:space="preserve"> </w:t>
      </w:r>
      <w:r>
        <w:t xml:space="preserve">(m01,</w:t>
      </w:r>
      <w:r>
        <w:t xml:space="preserve"> </w:t>
      </w:r>
      <w:r>
        <w:rPr>
          <w:rStyle w:val="VerbatimChar"/>
        </w:rPr>
        <w:t xml:space="preserve">tutor-m01-atlas</w:t>
      </w:r>
      <w:r>
        <w:t xml:space="preserve">)</w:t>
      </w:r>
    </w:p>
    <w:p>
      <w:pPr>
        <w:pStyle w:val="BodyText"/>
      </w:pPr>
      <w:r>
        <w:t xml:space="preserve">The Hormone Cell Atlas (Fei, Huang-Doran et al., Science 2026) read RNA for 379 hormone and receptor genes in about 14 million cells and nuclei from 47 human tissues and predicted which cell types could make or respond to hormones. Its own authors call these predictions putative and hypothesis-generating: RNA shows capacity, not secretion or effect. Treat any 'skin has receptors for it' product claim as a hypothesis until protein, function and a human trial back it. A few skin outputs are established in people, such as vitamin D3 formed under UVB and released into the blood.</w:t>
      </w:r>
    </w:p>
    <w:p>
      <w:pPr>
        <w:pStyle w:val="BodyText"/>
      </w:pPr>
      <w:r>
        <w:t xml:space="preserve">Sources: fei-2026-hormone-cell-atlas, hormone-cell-atlas-portal, liu-2016-mrna-protein, holick-1980-previtamin-d3</w:t>
      </w:r>
    </w:p>
    <w:p>
      <w:pPr>
        <w:pStyle w:val="BodyText"/>
      </w:pPr>
      <w:r>
        <w:rPr>
          <w:b/>
          <w:bCs/>
        </w:rPr>
        <w:t xml:space="preserve">senolytic · senolytics · senescence · senescent cells</w:t>
      </w:r>
      <w:r>
        <w:t xml:space="preserve"> </w:t>
      </w:r>
      <w:r>
        <w:t xml:space="preserve">(m01,</w:t>
      </w:r>
      <w:r>
        <w:t xml:space="preserve"> </w:t>
      </w:r>
      <w:r>
        <w:rPr>
          <w:rStyle w:val="VerbatimChar"/>
        </w:rPr>
        <w:t xml:space="preserve">tutor-m01-senescence</w:t>
      </w:r>
      <w:r>
        <w:t xml:space="preserve">)</w:t>
      </w:r>
    </w:p>
    <w:p>
      <w:pPr>
        <w:pStyle w:val="BodyText"/>
      </w:pPr>
      <w:r>
        <w:t xml:space="preserve">Senescent cells accumulate in human epidermis and dermis with age, and in one cohort their number tracked with wrinkles and perceived age: an association. Their secretions (the SASP: IL-6, IL-8, matrix-degrading enzymes) were defined in cultured cells. Evidence that clearing senescent cells improves ageing comes from mice; human data are small open-label or exploratory pilots measuring tissue markers. The one randomized study in skin (topical rapamycin, a senomorphic, 2019) was small and exploratory: it lowered p16, and clinical change was only described. No adequately sized trial with clinical skin-ageing outcomes was found (September 2026). In mice, clearing senescent cells during healing slowed wound closure. The Aesthetic &amp; Regenerative Endocrinology guide advises confining senolytics to clinical trials. This course gives no doses or product advice; daily sunscreen and topical retinoids are the levers with human trials, and a prescriber decides on any treatment.</w:t>
      </w:r>
    </w:p>
    <w:p>
      <w:pPr>
        <w:pStyle w:val="BodyText"/>
      </w:pPr>
      <w:r>
        <w:t xml:space="preserve">Sources: waaijer-2016-p16-wrinkles, coppe-2008-sasp, baker-2016-p16-clearance-mice, hickson-2019-senolytic-dkd-pilot, chung-2019-topical-rapamycin, hannah-shmouni-2026-are</w:t>
      </w:r>
    </w:p>
    <w:p>
      <w:pPr>
        <w:pStyle w:val="BodyText"/>
      </w:pPr>
      <w:r>
        <w:rPr>
          <w:b/>
          <w:bCs/>
        </w:rPr>
        <w:t xml:space="preserve">cortisol face · moon face · puffy face cortisol · is it cushing's</w:t>
      </w:r>
      <w:r>
        <w:t xml:space="preserve"> </w:t>
      </w:r>
      <w:r>
        <w:t xml:space="preserve">(m02,</w:t>
      </w:r>
      <w:r>
        <w:t xml:space="preserve"> </w:t>
      </w:r>
      <w:r>
        <w:rPr>
          <w:rStyle w:val="VerbatimChar"/>
        </w:rPr>
        <w:t xml:space="preserve">tutor-m02-cortisol-face</w:t>
      </w:r>
      <w:r>
        <w:t xml:space="preserve">)</w:t>
      </w:r>
    </w:p>
    <w:p>
      <w:pPr>
        <w:pStyle w:val="BodyText"/>
      </w:pPr>
      <w:r>
        <w:t xml:space="preserve">Most 'cortisol face' is puffiness from sleep, alcohol, salt and weight, as the Aesthetic &amp; Regenerative Endocrinology guide describes it. Endogenous Cushing's syndrome is rare (two to three new cases per million people a year), and its commonest form comes from a glucocorticoid the patient is using, so ask about tablets, inhalers, injections and creams, including skin-lighteners. The features that best discriminate Cushing's are easy bruising, facial plethora, proximal muscle weakness and reddish-purple striae wider than 1 cm; a round face alone is a weak signal. If several are present and progressing, the next step is formal testing arranged by a prescriber and an endocrinologist, not a supplement or a consumer cortisol panel. Local skin cortisol (11β-HSD1) is a research mechanism with no approved treatment.</w:t>
      </w:r>
    </w:p>
    <w:p>
      <w:pPr>
        <w:pStyle w:val="BodyText"/>
      </w:pPr>
      <w:r>
        <w:t xml:space="preserve">Sources: nieman-2008-cushings-diagnosis-guideline, tiganescu-2013-11bhsd1-aged-skin, hannah-shmouni-2026-are</w:t>
      </w:r>
    </w:p>
    <w:p>
      <w:pPr>
        <w:pStyle w:val="BodyText"/>
      </w:pPr>
      <w:r>
        <w:rPr>
          <w:b/>
          <w:bCs/>
        </w:rPr>
        <w:t xml:space="preserve">hrt for skin · hormone therapy skin · estrogen for wrinkles · estrogen cream face</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For skin, daily sunscreen and a prescription retinoid have better evidence. This course gives no doses; hormone therapy decisions belong with a prescriber.</w:t>
      </w:r>
    </w:p>
    <w:p>
      <w:pPr>
        <w:pStyle w:val="BodyText"/>
      </w:pPr>
      <w:r>
        <w:t xml:space="preserve">Sources: ecfr-21-cfr-310-530-hormone-creams, fda-mht-labeling-approval-2026-02-12, hughes-2013-sunscreen-skin-aging-rct, nams-2022-hormone-therapy-position-statement, owen-2016-keeps-skin-wrinkles, phillips-2008-ht-facial-skin-rct</w:t>
      </w:r>
    </w:p>
    <w:p>
      <w:pPr>
        <w:pStyle w:val="BodyText"/>
      </w:pPr>
      <w:r>
        <w:rPr>
          <w:b/>
          <w:bCs/>
        </w:rPr>
        <w:t xml:space="preserve">ozempic face · facial fat loss on semaglutide · tirzepatide face changes · glp-1 facial volume loss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t xml:space="preserve">Sources: sharma-2025-midface-volume-glp1, rao-2026-glp1-skin-pro-survey, fda-label-wegovy-2026, fda-label-zepbound-2026, fda-drugsfda-wegovy-nda215256, paschou-2025-glp1ra-skin-aging, hannah-shmouni-2026-are</w:t>
      </w:r>
    </w:p>
    <w:p>
      <w:pPr>
        <w:pStyle w:val="BodyText"/>
      </w:pPr>
      <w:r>
        <w:rPr>
          <w:b/>
          <w:bCs/>
        </w:rPr>
        <w:t xml:space="preserve">leaky gut · gut skin axis · zonulin test · probiotics for eczema</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Start with diet, metabolic health and the skin diagnosis; investigational peptides come last, if at all, and any injected or research peptide needs a prescriber.</w:t>
      </w:r>
    </w:p>
    <w:p>
      <w:pPr>
        <w:pStyle w:val="BodyText"/>
      </w:pPr>
      <w:r>
        <w:t xml:space="preserve">Sources: cani-2007-metabolic-endotoxemia, erridge-2007-high-fat-meal-endotoxemia, makrgeorgou-2018-cochrane-probiotics-eczema, vassilopoulou-2024-eaaci-ad-diet-meta, parodi-2008-rosacea-sibo, camilleri-2019-leaky-gut, scheffler-2018-zonulin-elisa, reynolds-2019-carbohydrate-quality, fda-pcac-2026-07-meeting, hannah-shmouni-2026-are</w:t>
      </w:r>
    </w:p>
    <w:p>
      <w:pPr>
        <w:pStyle w:val="BodyText"/>
      </w:pPr>
      <w:r>
        <w:rPr>
          <w:b/>
          <w:bCs/>
        </w:rPr>
        <w:t xml:space="preserve">ghk-cu · ghk · copper peptide · copper peptides</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This course gives no doses or sourcing advice — for an individual patient, that is the prescriber's decision.</w:t>
      </w:r>
    </w:p>
    <w:p>
      <w:pPr>
        <w:pStyle w:val="BodyText"/>
      </w:pPr>
      <w:r>
        <w:t xml:space="preserve">Sources: miller-2006-ghk-cu-laser-rct, fda-503a-categories-2026-05-14, hannah-shmouni-2026-ppg-aug</w:t>
      </w:r>
    </w:p>
    <w:p>
      <w:pPr>
        <w:pStyle w:val="BodyText"/>
      </w:pPr>
      <w:r>
        <w:rPr>
          <w:b/>
          <w:bCs/>
        </w:rPr>
        <w:t xml:space="preserve">bpc-157 · bpc 157 · bpc · tb-500</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New pigmentation while using research-use-only peptides is a red flag: stop, record the product and source, and get it assessed.</w:t>
      </w:r>
    </w:p>
    <w:p>
      <w:pPr>
        <w:pStyle w:val="BodyText"/>
      </w:pPr>
      <w:r>
        <w:t xml:space="preserve">Sources: esposito-2012-tb500-fragment, fda-pcac-2026-07-meeting, fda-pcac-2026-bpc157-briefing, hannah-shmouni-2026-are, seiwerth-2021-bpc157-wound-healing</w:t>
      </w:r>
    </w:p>
    <w:p>
      <w:pPr>
        <w:pStyle w:val="BodyText"/>
      </w:pPr>
      <w:r>
        <w:rPr>
          <w:b/>
          <w:bCs/>
        </w:rPr>
        <w:t xml:space="preserve">melanotan · melanotan ii · melanotan 2 · mt2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t xml:space="preserve">Sources: langendonk-2015-afamelanotide-epp, fda-scenesse-label-2024, bohm-2025-mc1r-activation-review, habbema-2017-msh-analogue-risks, fda-503a-category2-safety-risks-page, hannah-shmouni-2026-are</w:t>
      </w:r>
    </w:p>
    <w:p>
      <w:pPr>
        <w:pStyle w:val="BodyText"/>
      </w:pPr>
      <w:r>
        <w:rPr>
          <w:b/>
          <w:bCs/>
        </w:rPr>
        <w:t xml:space="preserve">ptd-dbm · ptd dbm · zinc thymulin ·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This course gives no doses or sourcing advice; treatment choices belong with the prescriber.</w:t>
      </w:r>
    </w:p>
    <w:p>
      <w:pPr>
        <w:pStyle w:val="BodyText"/>
      </w:pPr>
      <w:r>
        <w:t xml:space="preserve">Sources: lee-2017-ptd-dbm-cxxc5-hair, dardenne-1982-thymulin-zinc, fda-503a-categories-2026-05-14, adil-2017-aga-treatments-meta, hannah-shmouni-2026-ppg-aug, hannah-shmouni-2026-are</w:t>
      </w:r>
    </w:p>
    <w:p>
      <w:pPr>
        <w:pStyle w:val="BodyText"/>
      </w:pPr>
      <w:r>
        <w:rPr>
          <w:b/>
          <w:bCs/>
        </w:rPr>
        <w:t xml:space="preserve">cjc-1295 · cjc 1295 · ipamorelin · sermorelin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This course gives no doses or sourcing advice; for an individual patient, that is a prescriber's decision.</w:t>
      </w:r>
    </w:p>
    <w:p>
      <w:pPr>
        <w:pStyle w:val="BodyText"/>
      </w:pPr>
      <w:r>
        <w:t xml:space="preserve">Sources: falutz-2010-tesamorelin-pooled, dominikowski-2026-gh-axis-peptides-review, fda-503a-categories-2026-05-14, fda-503a-category2-safety-risks-page, usc-21-333e-hgh</w:t>
      </w:r>
    </w:p>
    <w:p>
      <w:pPr>
        <w:pStyle w:val="BodyText"/>
      </w:pPr>
      <w:r>
        <w:rPr>
          <w:b/>
          <w:bCs/>
        </w:rPr>
        <w:t xml:space="preserve">too much growth hormone · gh excess signs · acromegaly skin · swollen hands</w:t>
      </w:r>
      <w:r>
        <w:t xml:space="preserve"> </w:t>
      </w:r>
      <w:r>
        <w:t xml:space="preserve">(m06,</w:t>
      </w:r>
      <w:r>
        <w:t xml:space="preserve"> </w:t>
      </w:r>
      <w:r>
        <w:rPr>
          <w:rStyle w:val="VerbatimChar"/>
        </w:rPr>
        <w:t xml:space="preserve">tutor-m06-gh-excess</w:t>
      </w:r>
      <w:r>
        <w:t xml:space="preserve">)</w:t>
      </w:r>
    </w:p>
    <w:p>
      <w:pPr>
        <w:pStyle w:val="BodyText"/>
      </w:pPr>
      <w:r>
        <w:t xml:space="preserve">Signs of growth-hormone excess include puffy, thickened skin of the face, hands and feet, oily skin, more sweating, skin tags, acanthosis nigricans, tight rings or shoes, night-time tingling and carpal tunnel symptoms. On GH-axis drugs, fluid retention with swelling and joint pain is common and usually settles when treatment stops. The Endocrine Society recommends IGF-1 testing when typical acral and facial features are present, so route these patients to a prescriber or to endocrinology. On cancer, keep four answers apart: the IGF-1 receptor drives cell growth (mechanism); higher natural IGF-1 goes with modestly higher risk of some cancers (observation); GH replacement in true deficiency has not shown a clear risk in large cohorts; and for secretagogues or IGF-1 LR3 used for skin, long-term cancer data do not exist (open question).</w:t>
      </w:r>
    </w:p>
    <w:p>
      <w:pPr>
        <w:pStyle w:val="BodyText"/>
      </w:pPr>
      <w:r>
        <w:t xml:space="preserve">Sources: ben-shlomo-2006-acromegaly-skin, egrifta-wr-label-2026, katznelson-2014-acromegaly-guideline, renehan-2004-igf1-cancer-meta, swerdlow-2017-saghe</w:t>
      </w:r>
    </w:p>
    <w:p>
      <w:pPr>
        <w:pStyle w:val="BodyText"/>
      </w:pPr>
      <w:r>
        <w:rPr>
          <w:b/>
          <w:bCs/>
        </w:rPr>
        <w:t xml:space="preserve">grade · grade a · grade c · evidence grade</w:t>
      </w:r>
      <w:r>
        <w:t xml:space="preserve"> </w:t>
      </w:r>
      <w:r>
        <w:t xml:space="preserve">(m07,</w:t>
      </w:r>
      <w:r>
        <w:t xml:space="preserve"> </w:t>
      </w:r>
      <w:r>
        <w:rPr>
          <w:rStyle w:val="VerbatimChar"/>
        </w:rPr>
        <w:t xml:space="preserve">tutor-m07-grade</w:t>
      </w:r>
      <w:r>
        <w:t xml:space="preserve">)</w:t>
      </w:r>
    </w:p>
    <w:p>
      <w:pPr>
        <w:pStyle w:val="BodyText"/>
      </w:pPr>
      <w:r>
        <w:t xml:space="preserve">GRADE rates certainty for a specific outcome across a body of evidence: high, moderate, low or very low (the Hormonaly guides print A to D). Randomized trials start high; certainty drops for risk of bias, inconsistency, indirectness, imprecision or suspected publication bias. Industry-sponsored studies more often report favourable results (Cochrane, 2017), so ask who ran and paid for the trials. A grade is separate from legal status: check both, and never let a mechanism raise a grade. This course gives no doses or sourcing advice.</w:t>
      </w:r>
    </w:p>
    <w:p>
      <w:pPr>
        <w:pStyle w:val="BodyText"/>
      </w:pPr>
      <w:r>
        <w:t xml:space="preserve">Sources: balshem-2011-grade-rating-quality, guyatt-2025-core-grade-4-bias, lundh-2017-industry-sponsorship, hannah-shmouni-2026-ppg-aug</w:t>
      </w:r>
    </w:p>
    <w:p>
      <w:pPr>
        <w:pStyle w:val="BodyText"/>
      </w:pPr>
      <w:r>
        <w:rPr>
          <w:b/>
          <w:bCs/>
        </w:rPr>
        <w:t xml:space="preserve">certificate of analysis · coa · hplc · purity</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This course gives no doses or sourcing advice; for an individual patient, that is the prescriber's decision.</w:t>
      </w:r>
    </w:p>
    <w:p>
      <w:pPr>
        <w:pStyle w:val="BodyText"/>
      </w:pPr>
      <w:r>
        <w:t xml:space="preserve">Sources: usc-21-353a, ecfr-21-cfr-216-23-bulks-list, hannah-shmouni-2026-ppg-aug, ecfr-21-cfr-312-160, fda-off-label-page</w:t>
      </w:r>
    </w:p>
    <w:p>
      <w:r>
        <w:pict>
          <v:rect style="width:0;height:1.5pt" o:hralign="center" o:hrstd="t" o:hr="t"/>
        </w:pict>
      </w:r>
    </w:p>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2026-09-25T05:10:22Z</dcterms:created>
  <dcterms:modified xsi:type="dcterms:W3CDTF">2026-09-25T05:10:22Z</dcterms:modified>
</cp:coreProperties>
</file>

<file path=docProps/custom.xml><?xml version="1.0" encoding="utf-8"?>
<Properties xmlns="http://schemas.openxmlformats.org/officeDocument/2006/custom-properties" xmlns:vt="http://schemas.openxmlformats.org/officeDocument/2006/docPropsVTypes"/>
</file>