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full course draft for medical 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X67b61696b4843e3c8cb0b8f370ebf9139409318"/>
    <w:p>
      <w:pPr>
        <w:pStyle w:val="Heading1"/>
      </w:pPr>
      <w:r>
        <w:t xml:space="preserve">Hormones and Peptides for Skin — full course draft for review</w:t>
      </w:r>
    </w:p>
    <w:p>
      <w:pPr>
        <w:pStyle w:val="FirstParagraph"/>
      </w:pPr>
      <w:r>
        <w:rPr>
          <w:i/>
          <w:iCs/>
        </w:rPr>
        <w:t xml:space="preserve">Generated 2026-09-24 · 7 modules</w:t>
      </w:r>
    </w:p>
    <w:tbl>
      <w:tblPr>
        <w:tblStyle w:val="Table"/>
        <w:tblW w:type="pct" w:w="5000"/>
        <w:tblLayout w:type="fixed"/>
        <w:tblLook w:firstRow="1" w:lastRow="0" w:firstColumn="0" w:lastColumn="0" w:noHBand="0" w:noVBand="0" w:val="0020"/>
      </w:tblPr>
      <w:tblGrid>
        <w:gridCol w:w="745"/>
        <w:gridCol w:w="2981"/>
        <w:gridCol w:w="931"/>
        <w:gridCol w:w="745"/>
        <w:gridCol w:w="838"/>
        <w:gridCol w:w="745"/>
        <w:gridCol w:w="931"/>
      </w:tblGrid>
      <w:tr>
        <w:trPr>
          <w:tblHeader w:val="on"/>
        </w:trPr>
        <w:tc>
          <w:tcPr/>
          <w:p>
            <w:pPr>
              <w:pStyle w:val="Compact"/>
            </w:pPr>
            <w:r>
              <w:t xml:space="preserve">Module</w:t>
            </w:r>
          </w:p>
        </w:tc>
        <w:tc>
          <w:tcPr/>
          <w:p>
            <w:pPr>
              <w:pStyle w:val="Compact"/>
            </w:pPr>
            <w:r>
              <w:t xml:space="preserve">Title</w:t>
            </w:r>
          </w:p>
        </w:tc>
        <w:tc>
          <w:tcPr/>
          <w:p>
            <w:pPr>
              <w:pStyle w:val="Compact"/>
              <w:jc w:val="right"/>
            </w:pPr>
            <w:r>
              <w:t xml:space="preserve">Moments</w:t>
            </w:r>
          </w:p>
        </w:tc>
        <w:tc>
          <w:tcPr/>
          <w:p>
            <w:pPr>
              <w:pStyle w:val="Compact"/>
            </w:pPr>
            <w:r>
              <w:t xml:space="preserve">Time</w:t>
            </w:r>
          </w:p>
        </w:tc>
        <w:tc>
          <w:tcPr/>
          <w:p>
            <w:pPr>
              <w:pStyle w:val="Compact"/>
              <w:jc w:val="right"/>
            </w:pPr>
            <w:r>
              <w:t xml:space="preserve">Sources</w:t>
            </w:r>
          </w:p>
        </w:tc>
        <w:tc>
          <w:tcPr/>
          <w:p>
            <w:pPr>
              <w:pStyle w:val="Compact"/>
              <w:jc w:val="right"/>
            </w:pPr>
            <w:r>
              <w:t xml:space="preserve">Claims</w:t>
            </w:r>
          </w:p>
        </w:tc>
        <w:tc>
          <w:tcPr/>
          <w:p>
            <w:pPr>
              <w:pStyle w:val="Compact"/>
            </w:pPr>
            <w:r>
              <w:t xml:space="preserve">Status</w:t>
            </w:r>
          </w:p>
        </w:tc>
      </w:tr>
      <w:tr>
        <w:tc>
          <w:tcPr/>
          <w:p>
            <w:pPr>
              <w:pStyle w:val="Compact"/>
            </w:pPr>
            <w:r>
              <w:t xml:space="preserve">m01</w:t>
            </w:r>
          </w:p>
        </w:tc>
        <w:tc>
          <w:tcPr/>
          <w:p>
            <w:pPr>
              <w:pStyle w:val="Compact"/>
            </w:pPr>
            <w:r>
              <w:t xml:space="preserve">The skin as an endocrine organ, and how it ages · three lessons</w:t>
            </w:r>
          </w:p>
        </w:tc>
        <w:tc>
          <w:tcPr/>
          <w:p>
            <w:pPr>
              <w:pStyle w:val="Compact"/>
              <w:jc w:val="right"/>
            </w:pPr>
            <w:r>
              <w:t xml:space="preserve">19</w:t>
            </w:r>
          </w:p>
        </w:tc>
        <w:tc>
          <w:tcPr/>
          <w:p>
            <w:pPr>
              <w:pStyle w:val="Compact"/>
            </w:pPr>
            <w:r>
              <w:t xml:space="preserve">~25 min</w:t>
            </w:r>
          </w:p>
        </w:tc>
        <w:tc>
          <w:tcPr/>
          <w:p>
            <w:pPr>
              <w:pStyle w:val="Compact"/>
              <w:jc w:val="right"/>
            </w:pPr>
            <w:r>
              <w:t xml:space="preserve">34</w:t>
            </w:r>
          </w:p>
        </w:tc>
        <w:tc>
          <w:tcPr/>
          <w:p>
            <w:pPr>
              <w:pStyle w:val="Compact"/>
              <w:jc w:val="right"/>
            </w:pPr>
            <w:r>
              <w:t xml:space="preserve">20</w:t>
            </w:r>
          </w:p>
        </w:tc>
        <w:tc>
          <w:tcPr/>
          <w:p>
            <w:pPr>
              <w:pStyle w:val="Compact"/>
            </w:pPr>
            <w:r>
              <w:t xml:space="preserve">ai_draft</w:t>
            </w:r>
          </w:p>
        </w:tc>
      </w:tr>
      <w:tr>
        <w:tc>
          <w:tcPr/>
          <w:p>
            <w:pPr>
              <w:pStyle w:val="Compact"/>
            </w:pPr>
            <w:r>
              <w:t xml:space="preserve">m02</w:t>
            </w:r>
          </w:p>
        </w:tc>
        <w:tc>
          <w:tcPr/>
          <w:p>
            <w:pPr>
              <w:pStyle w:val="Compact"/>
            </w:pPr>
            <w:r>
              <w:t xml:space="preserve">Systemic hormones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33</w:t>
            </w:r>
          </w:p>
        </w:tc>
        <w:tc>
          <w:tcPr/>
          <w:p>
            <w:pPr>
              <w:pStyle w:val="Compact"/>
              <w:jc w:val="right"/>
            </w:pPr>
            <w:r>
              <w:t xml:space="preserve">20</w:t>
            </w:r>
          </w:p>
        </w:tc>
        <w:tc>
          <w:tcPr/>
          <w:p>
            <w:pPr>
              <w:pStyle w:val="Compact"/>
            </w:pPr>
            <w:r>
              <w:t xml:space="preserve">ai_draft</w:t>
            </w:r>
          </w:p>
        </w:tc>
      </w:tr>
      <w:tr>
        <w:tc>
          <w:tcPr/>
          <w:p>
            <w:pPr>
              <w:pStyle w:val="Compact"/>
            </w:pPr>
            <w:r>
              <w:t xml:space="preserve">m03</w:t>
            </w:r>
          </w:p>
        </w:tc>
        <w:tc>
          <w:tcPr/>
          <w:p>
            <w:pPr>
              <w:pStyle w:val="Compact"/>
            </w:pPr>
            <w:r>
              <w:t xml:space="preserve">Fat, incretins and the ageing face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51</w:t>
            </w:r>
          </w:p>
        </w:tc>
        <w:tc>
          <w:tcPr/>
          <w:p>
            <w:pPr>
              <w:pStyle w:val="Compact"/>
              <w:jc w:val="right"/>
            </w:pPr>
            <w:r>
              <w:t xml:space="preserve">20</w:t>
            </w:r>
          </w:p>
        </w:tc>
        <w:tc>
          <w:tcPr/>
          <w:p>
            <w:pPr>
              <w:pStyle w:val="Compact"/>
            </w:pPr>
            <w:r>
              <w:t xml:space="preserve">ai_draft</w:t>
            </w:r>
          </w:p>
        </w:tc>
      </w:tr>
      <w:tr>
        <w:tc>
          <w:tcPr/>
          <w:p>
            <w:pPr>
              <w:pStyle w:val="Compact"/>
            </w:pPr>
            <w:r>
              <w:t xml:space="preserve">m04</w:t>
            </w:r>
          </w:p>
        </w:tc>
        <w:tc>
          <w:tcPr/>
          <w:p>
            <w:pPr>
              <w:pStyle w:val="Compact"/>
            </w:pPr>
            <w:r>
              <w:t xml:space="preserve">Matrix peptides and wound healing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49</w:t>
            </w:r>
          </w:p>
        </w:tc>
        <w:tc>
          <w:tcPr/>
          <w:p>
            <w:pPr>
              <w:pStyle w:val="Compact"/>
              <w:jc w:val="right"/>
            </w:pPr>
            <w:r>
              <w:t xml:space="preserve">20</w:t>
            </w:r>
          </w:p>
        </w:tc>
        <w:tc>
          <w:tcPr/>
          <w:p>
            <w:pPr>
              <w:pStyle w:val="Compact"/>
            </w:pPr>
            <w:r>
              <w:t xml:space="preserve">approved</w:t>
            </w:r>
          </w:p>
        </w:tc>
      </w:tr>
      <w:tr>
        <w:tc>
          <w:tcPr/>
          <w:p>
            <w:pPr>
              <w:pStyle w:val="Compact"/>
            </w:pPr>
            <w:r>
              <w:t xml:space="preserve">m05</w:t>
            </w:r>
          </w:p>
        </w:tc>
        <w:tc>
          <w:tcPr/>
          <w:p>
            <w:pPr>
              <w:pStyle w:val="Compact"/>
            </w:pPr>
            <w:r>
              <w:t xml:space="preserve">Follicle, pigment and melanocortins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34</w:t>
            </w:r>
          </w:p>
        </w:tc>
        <w:tc>
          <w:tcPr/>
          <w:p>
            <w:pPr>
              <w:pStyle w:val="Compact"/>
              <w:jc w:val="right"/>
            </w:pPr>
            <w:r>
              <w:t xml:space="preserve">20</w:t>
            </w:r>
          </w:p>
        </w:tc>
        <w:tc>
          <w:tcPr/>
          <w:p>
            <w:pPr>
              <w:pStyle w:val="Compact"/>
            </w:pPr>
            <w:r>
              <w:t xml:space="preserve">ai_draft</w:t>
            </w:r>
          </w:p>
        </w:tc>
      </w:tr>
      <w:tr>
        <w:tc>
          <w:tcPr/>
          <w:p>
            <w:pPr>
              <w:pStyle w:val="Compact"/>
            </w:pPr>
            <w:r>
              <w:t xml:space="preserve">m06</w:t>
            </w:r>
          </w:p>
        </w:tc>
        <w:tc>
          <w:tcPr/>
          <w:p>
            <w:pPr>
              <w:pStyle w:val="Compact"/>
            </w:pPr>
            <w:r>
              <w:t xml:space="preserve">The growth-hormone axis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38</w:t>
            </w:r>
          </w:p>
        </w:tc>
        <w:tc>
          <w:tcPr/>
          <w:p>
            <w:pPr>
              <w:pStyle w:val="Compact"/>
              <w:jc w:val="right"/>
            </w:pPr>
            <w:r>
              <w:t xml:space="preserve">19</w:t>
            </w:r>
          </w:p>
        </w:tc>
        <w:tc>
          <w:tcPr/>
          <w:p>
            <w:pPr>
              <w:pStyle w:val="Compact"/>
            </w:pPr>
            <w:r>
              <w:t xml:space="preserve">ai_draft</w:t>
            </w:r>
          </w:p>
        </w:tc>
      </w:tr>
      <w:tr>
        <w:tc>
          <w:tcPr/>
          <w:p>
            <w:pPr>
              <w:pStyle w:val="Compact"/>
            </w:pPr>
            <w:r>
              <w:t xml:space="preserve">m07</w:t>
            </w:r>
          </w:p>
        </w:tc>
        <w:tc>
          <w:tcPr/>
          <w:p>
            <w:pPr>
              <w:pStyle w:val="Compact"/>
            </w:pPr>
            <w:r>
              <w:t xml:space="preserve">Evidence, regulation and compliance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37</w:t>
            </w:r>
          </w:p>
        </w:tc>
        <w:tc>
          <w:tcPr/>
          <w:p>
            <w:pPr>
              <w:pStyle w:val="Compact"/>
              <w:jc w:val="right"/>
            </w:pPr>
            <w:r>
              <w:t xml:space="preserve">20</w:t>
            </w:r>
          </w:p>
        </w:tc>
        <w:tc>
          <w:tcPr/>
          <w:p>
            <w:pPr>
              <w:pStyle w:val="Compact"/>
            </w:pPr>
            <w:r>
              <w:t xml:space="preserve">ai_draft</w:t>
            </w:r>
          </w:p>
        </w:tc>
      </w:tr>
    </w:tbl>
    <w:bookmarkStart w:id="11" w:name="what-we-need-from-you"/>
    <w:p>
      <w:pPr>
        <w:pStyle w:val="Heading2"/>
      </w:pPr>
      <w:r>
        <w:t xml:space="preserve">What we need from you</w:t>
      </w:r>
    </w:p>
    <w:p>
      <w:pPr>
        <w:pStyle w:val="Compact"/>
        <w:numPr>
          <w:ilvl w:val="0"/>
          <w:numId w:val="1001"/>
        </w:numPr>
      </w:pPr>
      <w:r>
        <w:rPr>
          <w:b/>
          <w:bCs/>
        </w:rPr>
        <w:t xml:space="preserve">Medical review of modules m01, m02, m03, m05, m06, m07</w:t>
      </w:r>
      <w:r>
        <w:t xml:space="preserve"> </w:t>
      </w:r>
      <w:r>
        <w:t xml:space="preserve">(status: AI draft, every claim verified against its source). Approve, or mark the moments to change.</w:t>
      </w:r>
    </w:p>
    <w:p>
      <w:pPr>
        <w:pStyle w:val="Compact"/>
        <w:numPr>
          <w:ilvl w:val="0"/>
          <w:numId w:val="1001"/>
        </w:numPr>
      </w:pPr>
      <w:r>
        <w:rPr>
          <w:b/>
          <w:bCs/>
        </w:rPr>
        <w:t xml:space="preserve">Confirm the changes made since approval or flagged by the source check</w:t>
      </w:r>
      <w:r>
        <w:t xml:space="preserve"> </w:t>
      </w:r>
      <w:r>
        <w:t xml:space="preserve">(listed below; m04 was approved before them).</w:t>
      </w:r>
    </w:p>
    <w:p>
      <w:pPr>
        <w:pStyle w:val="Compact"/>
        <w:numPr>
          <w:ilvl w:val="0"/>
          <w:numId w:val="1001"/>
        </w:numPr>
      </w:pPr>
      <w:r>
        <w:rPr>
          <w:b/>
          <w:bCs/>
        </w:rPr>
        <w:t xml:space="preserve">Confirm the grading-rule addition</w:t>
      </w:r>
      <w:r>
        <w:t xml:space="preserve"> </w:t>
      </w:r>
      <w:r>
        <w:t xml:space="preserve">marked "added" in the rule below.</w:t>
      </w:r>
    </w:p>
    <w:bookmarkStart w:id="9" w:name="X70a4bc4247d08496fbd172882fca25869d8b77b"/>
    <w:p>
      <w:pPr>
        <w:pStyle w:val="Heading3"/>
      </w:pPr>
      <w:r>
        <w:t xml:space="preserve">Changes since approval, and corrections from the source check</w:t>
      </w:r>
    </w:p>
    <w:p>
      <w:pPr>
        <w:pStyle w:val="Compact"/>
        <w:numPr>
          <w:ilvl w:val="0"/>
          <w:numId w:val="1002"/>
        </w:numPr>
      </w:pPr>
      <w:r>
        <w:rPr>
          <w:b/>
          <w:bCs/>
        </w:rPr>
        <w:t xml:space="preserve">m01</w:t>
      </w:r>
      <w:r>
        <w:t xml:space="preserve"> </w:t>
      </w:r>
      <w:r>
        <w:t xml:space="preserve">· m1-p15, m1-p18, tutor-m01-senescence (2026-09-24) — The automated source check, which matches every cited sentence against the source's own text, contradicted two statements. Both are corrected. (1) Baker 2016 did measure skin: thickness, fibrosis and wound closure as safety checks, and clearance during healing slowed wound closure, so the course no longer says skin was not an endpoint. (2) Chung 2019 topical rapamycin was an exploratory randomized trial with clinical appearance described qualitatively. The course now says no adequately sized trial with clinical skin-ageing outcomes was found, and keeps 'no randomized senolytic trial' where the statement is about senolytics.</w:t>
      </w:r>
    </w:p>
    <w:p>
      <w:pPr>
        <w:pStyle w:val="Compact"/>
        <w:numPr>
          <w:ilvl w:val="0"/>
          <w:numId w:val="1002"/>
        </w:numPr>
      </w:pPr>
      <w:r>
        <w:rPr>
          <w:b/>
          <w:bCs/>
        </w:rPr>
        <w:t xml:space="preserve">m03</w:t>
      </w:r>
      <w:r>
        <w:t xml:space="preserve"> </w:t>
      </w:r>
      <w:r>
        <w:t xml:space="preserve">· m3-p08, m3-p15 (2026-09-24) — From the automated source check: the approvals moment now also cites the Wegovy and Zepbound labels; 'by about half' removed from the high-fat-meal endotoxin sentence (the abstract gives no size).</w:t>
      </w:r>
    </w:p>
    <w:p>
      <w:pPr>
        <w:pStyle w:val="Compact"/>
        <w:numPr>
          <w:ilvl w:val="0"/>
          <w:numId w:val="1002"/>
        </w:numPr>
      </w:pPr>
      <w:r>
        <w:rPr>
          <w:b/>
          <w:bCs/>
        </w:rPr>
        <w:t xml:space="preserve">m04</w:t>
      </w:r>
      <w:r>
        <w:t xml:space="preserve"> </w:t>
      </w:r>
      <w:r>
        <w:t xml:space="preserve">· m4-p14 (2026-09-24) — Named the single randomized BPC-157 trial FDA's July 2026 briefing identified (Ruenzi 2005, ulcerative colitis, meeting abstract only, no significant difference from placebo); title, body and stat wording updated; figure unchanged. Source: FDA PCAC briefing document (fda.gov/media/193343), read in full.</w:t>
      </w:r>
    </w:p>
    <w:p>
      <w:pPr>
        <w:pStyle w:val="Compact"/>
        <w:numPr>
          <w:ilvl w:val="0"/>
          <w:numId w:val="1002"/>
        </w:numPr>
      </w:pPr>
      <w:r>
        <w:rPr>
          <w:b/>
          <w:bCs/>
        </w:rPr>
        <w:t xml:space="preserve">m04</w:t>
      </w:r>
      <w:r>
        <w:t xml:space="preserve"> </w:t>
      </w:r>
      <w:r>
        <w:t xml:space="preserve">· m4-p04, m4-p14 (2026-09-24) — Removed two ClinicalTrials.gov records (NCT07437586 GHK-Cu wound gel; NCT07437547 BPC-157 hamstring) that the draft had cited as recruiting phase 2 trials. Their sponsor, 'Hudson Biotech', also holds a record titled '(Mock Study)', a record whose summary calls itself an 'example interventional study record', and a record re-using the SURMOUNT-1 title; their authenticity cannot be confirmed. The 'phase 2 recruiting' sentence on GHK-Cu is deleted; the BPC-157 list now names only the 2015 PharmaCotherapia phase 1, the 2025 Parlay Wellness product study and the 2026 University of Arkansas phase 1 (start 2027).</w:t>
      </w:r>
    </w:p>
    <w:p>
      <w:pPr>
        <w:pStyle w:val="Compact"/>
        <w:numPr>
          <w:ilvl w:val="0"/>
          <w:numId w:val="1002"/>
        </w:numPr>
      </w:pPr>
      <w:r>
        <w:rPr>
          <w:b/>
          <w:bCs/>
        </w:rPr>
        <w:t xml:space="preserve">m04</w:t>
      </w:r>
      <w:r>
        <w:t xml:space="preserve"> </w:t>
      </w:r>
      <w:r>
        <w:t xml:space="preserve">· m4-p09 (classify) (2026-09-24) — Leuphasyl: 'no independent or indexed human trial' corrected to 'no randomized trial'. An independent uncontrolled volunteer study exists (Dragomirescu 2014). The classify label 'Manufacturer data only' became 'No randomized trial'; grades unchanged. Found by the automated source check.</w:t>
      </w:r>
    </w:p>
    <w:p>
      <w:pPr>
        <w:pStyle w:val="Compact"/>
        <w:numPr>
          <w:ilvl w:val="0"/>
          <w:numId w:val="1002"/>
        </w:numPr>
      </w:pPr>
      <w:r>
        <w:rPr>
          <w:b/>
          <w:bCs/>
        </w:rPr>
        <w:t xml:space="preserve">m05</w:t>
      </w:r>
      <w:r>
        <w:t xml:space="preserve"> </w:t>
      </w:r>
      <w:r>
        <w:t xml:space="preserve">· m5-check (2026-09-24) — Module check now cites both 1990s Melanotan II studies (Dorr 1996, Wessells 1998).</w:t>
      </w:r>
    </w:p>
    <w:p>
      <w:pPr>
        <w:pStyle w:val="Compact"/>
        <w:numPr>
          <w:ilvl w:val="0"/>
          <w:numId w:val="1002"/>
        </w:numPr>
      </w:pPr>
      <w:r>
        <w:rPr>
          <w:b/>
          <w:bCs/>
        </w:rPr>
        <w:t xml:space="preserve">m07</w:t>
      </w:r>
      <w:r>
        <w:t xml:space="preserve"> </w:t>
      </w:r>
      <w:r>
        <w:t xml:space="preserve">· m7-p04 (2026-09-24) — 'rodent models' → 'animal models, mostly rodents' (the cited review also reports pig studies).</w:t>
      </w:r>
    </w:p>
    <w:bookmarkEnd w:id="9"/>
    <w:bookmarkStart w:id="10" w:name="grading-rule-applies-to-every-module"/>
    <w:p>
      <w:pPr>
        <w:pStyle w:val="Heading3"/>
      </w:pPr>
      <w:r>
        <w:t xml:space="preserve">Grading rule (applies to every module)</w:t>
      </w:r>
    </w:p>
    <w:p>
      <w:pPr>
        <w:pStyle w:val="FirstParagraph"/>
      </w:pPr>
      <w:r>
        <w:t xml:space="preserve">Grade = certainty the source gives for the specific clinical statement the lesson makes, on the guides' A–D scale. A: consistent large RCTs or approval-grade evidence. B: at least one well-designed, adequately powered RCT or an independent, quality-stratified meta-analysis (either direction). C: small or sponsor-funded RCTs without independent replication, or pooled trials dominated by them. D: animal, in-vitro, mechanistic, case series, manufacturer dossiers. 'context' = history, reviews used for framing, trial registrations without results, analytical or regulatory records (regulatory records are primary for status statements, not graded for efficacy). Where the two guides disagree, the lesson states both and the claim takes the grade the primary evidence supports. Observational studies (added 2026-09-24, GRADE starting point, for the final reviewer to confirm): adequately sized cohort, case-control or cross-sectional studies grade C for the association they measured; small or single-centre ones grade D; any causal claim drawn from observational data grades D. Meta-analyses of observational studies grade at most B, and only for association. Guidelines and consensus statements are 'context', cited for what they recommend, not graded as evidence.</w:t>
      </w:r>
    </w:p>
    <w:bookmarkEnd w:id="10"/>
    <w:bookmarkEnd w:id="11"/>
    <w:bookmarkStart w:id="12" w:name="findings-for-the-author-all-modules"/>
    <w:p>
      <w:pPr>
        <w:pStyle w:val="Heading2"/>
      </w:pPr>
      <w:r>
        <w:t xml:space="preserve">Findings for the author (all modules)</w:t>
      </w:r>
    </w:p>
    <w:p>
      <w:pPr>
        <w:pStyle w:val="Compact"/>
        <w:numPr>
          <w:ilvl w:val="0"/>
          <w:numId w:val="1003"/>
        </w:numPr>
      </w:pPr>
      <w:r>
        <w:rPr>
          <w:b/>
          <w:bCs/>
        </w:rPr>
        <w:t xml:space="preserve">m01</w:t>
      </w:r>
      <w:r>
        <w:t xml:space="preserve"> </w:t>
      </w:r>
      <w:r>
        <w:t xml:space="preserve">— A&amp;RE ch.7 ref 1 — the Hormone Cell Atlas is now in print: Fei L, Huang-Doran I, et al. Science 2026;393(6806):eaeb2672 (2 Jul 2026), PMID 42207862. The guide's 'published online May 28, 2026' matches the PubMed entry date.</w:t>
      </w:r>
    </w:p>
    <w:p>
      <w:pPr>
        <w:pStyle w:val="Compact"/>
        <w:numPr>
          <w:ilvl w:val="0"/>
          <w:numId w:val="1003"/>
        </w:numPr>
      </w:pPr>
      <w:r>
        <w:rPr>
          <w:b/>
          <w:bCs/>
        </w:rPr>
        <w:t xml:space="preserve">m01</w:t>
      </w:r>
      <w:r>
        <w:t xml:space="preserve"> </w:t>
      </w:r>
      <w:r>
        <w:t xml:space="preserve">— A&amp;RE ch.7 — the figures '~74% of cell types predicted to produce, and 93% to respond to, at least one hormone' and 'endocrine identity tracks cellular lineage more than tissue of origin' could not be verified from the abstract, the atlas portal or press coverage (full text and supplement paywalled). The course teaches only the abstract- and portal-level facts (379 genes, ~14 million cells and nuclei, 47 tissues). Please confirm these against the paper's text.</w:t>
      </w:r>
    </w:p>
    <w:p>
      <w:pPr>
        <w:pStyle w:val="Compact"/>
        <w:numPr>
          <w:ilvl w:val="0"/>
          <w:numId w:val="1003"/>
        </w:numPr>
      </w:pPr>
      <w:r>
        <w:rPr>
          <w:b/>
          <w:bCs/>
        </w:rPr>
        <w:t xml:space="preserve">m01</w:t>
      </w:r>
      <w:r>
        <w:t xml:space="preserve"> </w:t>
      </w:r>
      <w:r>
        <w:t xml:space="preserve">— A&amp;RE ch.7 testing pearl — 'serum 25-OH vitamin D … falls with low UVB exposure and sunscreen use regardless of oral intake': Neale et al. 2019 (Br J Dermatol, systematic review) found little evidence that real-life sunscreen use lowers 25(OH)D (the two randomized field trials, SPF ~16, showed no effect; high-SPF products untested), and dietary or supplemental vitamin D is itself converted to 25(OH)D (Bikle 2014), so 'regardless of oral intake' does not hold. The course teaches the trial evidence and keeps sun-protection advice unchanged.</w:t>
      </w:r>
    </w:p>
    <w:p>
      <w:pPr>
        <w:pStyle w:val="Compact"/>
        <w:numPr>
          <w:ilvl w:val="0"/>
          <w:numId w:val="1003"/>
        </w:numPr>
      </w:pPr>
      <w:r>
        <w:rPr>
          <w:b/>
          <w:bCs/>
        </w:rPr>
        <w:t xml:space="preserve">m01</w:t>
      </w:r>
      <w:r>
        <w:t xml:space="preserve"> </w:t>
      </w:r>
      <w:r>
        <w:t xml:space="preserve">— A&amp;RE ch.7 senescence paragraph — 'blunting neighboring cells' responsiveness to estrogen, IGF-1, and retinoids, while estrogen loss at menopause is itself associated with a heavier senescent burden and slower fibroblast turnover [4,6]' and 'correcting a true deficiency works partly by easing the senescent … state': neither cited source addresses this (Slominski &amp; Wortsman 2000; Wang &amp; Dreesen 2018, full text read), and a targeted PubMed search found no human study. The course does not teach these statements.</w:t>
      </w:r>
    </w:p>
    <w:p>
      <w:pPr>
        <w:pStyle w:val="Compact"/>
        <w:numPr>
          <w:ilvl w:val="0"/>
          <w:numId w:val="1003"/>
        </w:numPr>
      </w:pPr>
      <w:r>
        <w:rPr>
          <w:b/>
          <w:bCs/>
        </w:rPr>
        <w:t xml:space="preserve">m01</w:t>
      </w:r>
      <w:r>
        <w:t xml:space="preserve"> </w:t>
      </w:r>
      <w:r>
        <w:t xml:space="preserve">— A&amp;RE ch.7 — 'SASP-driven MMPs degrade dermal collagen' is stated as established. The human evidence is that aged dermis has more fibroblast MMP-1 and fragmented collagen (Fisher 2009; Varani 2006) and that senescent cells secrete MMPs in culture (Coppé 2008); that senescent cells are the main source in living skin is plausible, not shown. Suggest 'are thought to'.</w:t>
      </w:r>
    </w:p>
    <w:p>
      <w:pPr>
        <w:pStyle w:val="Compact"/>
        <w:numPr>
          <w:ilvl w:val="0"/>
          <w:numId w:val="1003"/>
        </w:numPr>
      </w:pPr>
      <w:r>
        <w:rPr>
          <w:b/>
          <w:bCs/>
        </w:rPr>
        <w:t xml:space="preserve">m01</w:t>
      </w:r>
      <w:r>
        <w:t xml:space="preserve"> </w:t>
      </w:r>
      <w:r>
        <w:t xml:space="preserve">— A&amp;RE ch.17 internal inconsistency — the text and table grade senolytics' human evidence GRADE C, while the 'three things to remember' strip says senolytics have 'no human outcome data (D)'. The underlying studies (open-label pilots of 9 and 14 patients, biomarker endpoints) fit D for any clinical claim; the course says so and adds that no adequately sized trial with skin-ageing outcomes was found (September 2026); the one exploratory topical-rapamycin RCT described clinical change only qualitatively.</w:t>
      </w:r>
    </w:p>
    <w:p>
      <w:pPr>
        <w:pStyle w:val="Compact"/>
        <w:numPr>
          <w:ilvl w:val="0"/>
          <w:numId w:val="1003"/>
        </w:numPr>
      </w:pPr>
      <w:r>
        <w:rPr>
          <w:b/>
          <w:bCs/>
        </w:rPr>
        <w:t xml:space="preserve">m01</w:t>
      </w:r>
      <w:r>
        <w:t xml:space="preserve"> </w:t>
      </w:r>
      <w:r>
        <w:t xml:space="preserve">— A&amp;RE ch.6 — 'Independent work shows keratinocyte-derived, de novo glucocorticoids actively police local immune tone' (Phan 2021): the functional evidence is from mice (keratinocyte Cyp11b1 deletion). Worth naming the species, as the chapter does elsewhere ('cell and ex-vivo').</w:t>
      </w:r>
    </w:p>
    <w:p>
      <w:pPr>
        <w:pStyle w:val="Compact"/>
        <w:numPr>
          <w:ilvl w:val="0"/>
          <w:numId w:val="1003"/>
        </w:numPr>
      </w:pPr>
      <w:r>
        <w:rPr>
          <w:b/>
          <w:bCs/>
        </w:rPr>
        <w:t xml:space="preserve">m01</w:t>
      </w:r>
      <w:r>
        <w:t xml:space="preserve"> </w:t>
      </w:r>
      <w:r>
        <w:t xml:space="preserve">— A&amp;RE ch.5 — 'reduces collagen by roughly 1% per year' (ref 1, Shuster 1975): the abstract confirms that skin collagen falls with age and is lower in women but gives no annual rate, and the full text was not accessible. The course does not quote the 1% figure; please confirm the source of the rate.</w:t>
      </w:r>
    </w:p>
    <w:p>
      <w:pPr>
        <w:pStyle w:val="Compact"/>
        <w:numPr>
          <w:ilvl w:val="0"/>
          <w:numId w:val="1003"/>
        </w:numPr>
      </w:pPr>
      <w:r>
        <w:rPr>
          <w:b/>
          <w:bCs/>
        </w:rPr>
        <w:t xml:space="preserve">m01</w:t>
      </w:r>
      <w:r>
        <w:t xml:space="preserve"> </w:t>
      </w:r>
      <w:r>
        <w:t xml:space="preserve">— A&amp;RE ch.5 — 'retinoids … remain first-line GRADE A' carries no citation. Suggested primary: Sitohang et al. 2022 (systematic review of 7 RCTs of topical tretinoin for photoageing, PMID 35620028); for naturally aged skin, Kafi et al. 2007 (RCT, PMID 17515510).</w:t>
      </w:r>
    </w:p>
    <w:p>
      <w:pPr>
        <w:pStyle w:val="Compact"/>
        <w:numPr>
          <w:ilvl w:val="0"/>
          <w:numId w:val="1003"/>
        </w:numPr>
      </w:pPr>
      <w:r>
        <w:rPr>
          <w:b/>
          <w:bCs/>
        </w:rPr>
        <w:t xml:space="preserve">m01</w:t>
      </w:r>
      <w:r>
        <w:t xml:space="preserve"> </w:t>
      </w:r>
      <w:r>
        <w:t xml:space="preserve">— Not in either guide, worth adding — Ressler 2006 and Waaijer 2016 (senescent cells in human skin, and their link with wrinkles and perceived age), Fisher 2009 and Varani 2006 (the MMP-1–collagen fragmentation loop in aged human dermis), Coppé 2008 (the SASP primary), Chung 2019 (the one randomized human-skin senomorphic study), Hughes 2013 (sunscreen RCT, photoageing), Neale 2019 (sunscreen and vitamin D), and the atlas portal's own statement that its predictions are 'putative and hypothesis-generating'.</w:t>
      </w:r>
    </w:p>
    <w:p>
      <w:pPr>
        <w:pStyle w:val="Compact"/>
        <w:numPr>
          <w:ilvl w:val="0"/>
          <w:numId w:val="1003"/>
        </w:numPr>
      </w:pPr>
      <w:r>
        <w:rPr>
          <w:b/>
          <w:bCs/>
        </w:rPr>
        <w:t xml:space="preserve">m01</w:t>
      </w:r>
      <w:r>
        <w:t xml:space="preserve"> </w:t>
      </w:r>
      <w:r>
        <w:t xml:space="preserve">— Baker 2016 (2026-09-24, from the claim-support full-text read): clearing p16-positive cells during wound healing slowed wound closure in mice (Extended Data Fig. 10), consistent with transient senescence aiding repair (Haykal 2026). This is worth a line in A&amp;RE ch.13/17, where senolytics are discussed for skin.</w:t>
      </w:r>
    </w:p>
    <w:p>
      <w:pPr>
        <w:pStyle w:val="Compact"/>
        <w:numPr>
          <w:ilvl w:val="0"/>
          <w:numId w:val="1003"/>
        </w:numPr>
      </w:pPr>
      <w:r>
        <w:rPr>
          <w:b/>
          <w:bCs/>
        </w:rPr>
        <w:t xml:space="preserve">m02</w:t>
      </w:r>
      <w:r>
        <w:t xml:space="preserve"> </w:t>
      </w:r>
      <w:r>
        <w:t xml:space="preserve">— A&amp;RE ch.9 — 'skin collagen falls … on the order of 30% within the first five years, then roughly 2% per year' (refs 1 and 3, both reviews). The primary biopsy studies it traces to report 1–2% a year tracking years since menopause (Brincat 1985, PMID 3978054; Brincat 1987, PMID 3120067; Affinito 1999, PMID 10656502); none of their abstracts states the 30% figure, which appears in reviews (e.g., Thornton 2013). The course teaches 1–2% a year and names 30% as a review figure. Suggest citing the primary study that reports it, or dropping it.</w:t>
      </w:r>
    </w:p>
    <w:p>
      <w:pPr>
        <w:pStyle w:val="Compact"/>
        <w:numPr>
          <w:ilvl w:val="0"/>
          <w:numId w:val="1003"/>
        </w:numPr>
      </w:pPr>
      <w:r>
        <w:rPr>
          <w:b/>
          <w:bCs/>
        </w:rPr>
        <w:t xml:space="preserve">m02</w:t>
      </w:r>
      <w:r>
        <w:t xml:space="preserve"> </w:t>
      </w:r>
      <w:r>
        <w:t xml:space="preserve">— A&amp;RE ch.9 grades the skin effect of MHT GRADE B, citing the NAMS 2022 statement. NAMS itself rates that key point Level II (limited or inconsistent) on the strength of one review. The largest RCT of HT on facial skin (Phillips 2008, n=485, PMID 18625536) and the 4-year KEEPS skin study (Owen 2016, PMID 27393520) found no difference in wrinkles; neither is cited by the guide. The course grades structural effects (thickness, collagen) C and says a visible wrinkle benefit has not been shown in the largest trials. The guide may wish to revisit B.</w:t>
      </w:r>
    </w:p>
    <w:p>
      <w:pPr>
        <w:pStyle w:val="Compact"/>
        <w:numPr>
          <w:ilvl w:val="0"/>
          <w:numId w:val="1003"/>
        </w:numPr>
      </w:pPr>
      <w:r>
        <w:rPr>
          <w:b/>
          <w:bCs/>
        </w:rPr>
        <w:t xml:space="preserve">m02</w:t>
      </w:r>
      <w:r>
        <w:t xml:space="preserve"> </w:t>
      </w:r>
      <w:r>
        <w:t xml:space="preserve">— A&amp;RE ch.9 ref 8 (Pivazyan 2023) — pools small, heterogeneous studies including non-randomized ones (I² 64–98%), omits KEEPS, and its own authors say MHT should not be considered an independent treatment for skin ageing. Suggest describing it as low-certainty support.</w:t>
      </w:r>
    </w:p>
    <w:p>
      <w:pPr>
        <w:pStyle w:val="Compact"/>
        <w:numPr>
          <w:ilvl w:val="0"/>
          <w:numId w:val="1003"/>
        </w:numPr>
      </w:pPr>
      <w:r>
        <w:rPr>
          <w:b/>
          <w:bCs/>
        </w:rPr>
        <w:t xml:space="preserve">m02</w:t>
      </w:r>
      <w:r>
        <w:t xml:space="preserve"> </w:t>
      </w:r>
      <w:r>
        <w:t xml:space="preserve">— A&amp;RE ch.8 'cortisol face' — the opening description of the 'genuine endocrine entity' leads with moon facies and dorsocervical/supraclavicular fat pads, which the Endocrine Society guideline (Nieman 2008, Table 1) lists among common, less discriminatory features; its best discriminators are easy bruising, facial plethora, proximal myopathy and reddish-purple striae &gt;1 cm. The chapter's clinical pearl already lists the right red flags; suggest the description lead with them.</w:t>
      </w:r>
    </w:p>
    <w:p>
      <w:pPr>
        <w:pStyle w:val="Compact"/>
        <w:numPr>
          <w:ilvl w:val="0"/>
          <w:numId w:val="1003"/>
        </w:numPr>
      </w:pPr>
      <w:r>
        <w:rPr>
          <w:b/>
          <w:bCs/>
        </w:rPr>
        <w:t xml:space="preserve">m02</w:t>
      </w:r>
      <w:r>
        <w:t xml:space="preserve"> </w:t>
      </w:r>
      <w:r>
        <w:t xml:space="preserve">— A&amp;RE ch.8 — worth adding the guideline's first step: a drug history for exogenous glucocorticoids, including topical and skin-bleaching creams, herbal tonics and joint or nerve injections (Nieman 2008, 3.1), since iatrogenic Cushing's is the commonest form and the most relevant to aesthetic practice.</w:t>
      </w:r>
    </w:p>
    <w:p>
      <w:pPr>
        <w:pStyle w:val="Compact"/>
        <w:numPr>
          <w:ilvl w:val="0"/>
          <w:numId w:val="1003"/>
        </w:numPr>
      </w:pPr>
      <w:r>
        <w:rPr>
          <w:b/>
          <w:bCs/>
        </w:rPr>
        <w:t xml:space="preserve">m02</w:t>
      </w:r>
      <w:r>
        <w:t xml:space="preserve"> </w:t>
      </w:r>
      <w:r>
        <w:t xml:space="preserve">— A&amp;RE inherited-syndromes chapter — the Carney complex entry omits cardiac myxomas, present in 20–40% of patients and responsible for more than half of disease mortality (Correa 2015, PMID 26130139). They are the main reason a lentigines-plus-myxoma pattern is a referral. PRKAR1A '~70%' matches Correa 2015 ('more than 70%').</w:t>
      </w:r>
    </w:p>
    <w:p>
      <w:pPr>
        <w:pStyle w:val="Compact"/>
        <w:numPr>
          <w:ilvl w:val="0"/>
          <w:numId w:val="1003"/>
        </w:numPr>
      </w:pPr>
      <w:r>
        <w:rPr>
          <w:b/>
          <w:bCs/>
        </w:rPr>
        <w:t xml:space="preserve">m02</w:t>
      </w:r>
      <w:r>
        <w:t xml:space="preserve"> </w:t>
      </w:r>
      <w:r>
        <w:t xml:space="preserve">— A&amp;RE ch.9 — 'topical estrogen creams … are absorbed systemically' is not stated in the cited review's abstract (Shu &amp; Maibach 2011) and was not verified; the course teaches the US regulatory position instead (21 CFR 310.530: an OTC 'hormone cream' is an unapproved new drug).</w:t>
      </w:r>
    </w:p>
    <w:p>
      <w:pPr>
        <w:pStyle w:val="Compact"/>
        <w:numPr>
          <w:ilvl w:val="0"/>
          <w:numId w:val="1003"/>
        </w:numPr>
      </w:pPr>
      <w:r>
        <w:rPr>
          <w:b/>
          <w:bCs/>
        </w:rPr>
        <w:t xml:space="preserve">m02</w:t>
      </w:r>
      <w:r>
        <w:t xml:space="preserve"> </w:t>
      </w:r>
      <w:r>
        <w:t xml:space="preserve">— A&amp;RE ch.9 and ch.14 — FDA's menopausal hormone therapy labeling action (request 10 Nov 2025; first six approved labels 12 Feb 2026: cardiovascular, breast-cancer and probable-dementia statements removed from the boxed warning) is not mentioned. Suggest adding it, date-stamped, because it changes how the risk conversation is framed; approved indications did not change and do not include skin.</w:t>
      </w:r>
    </w:p>
    <w:p>
      <w:pPr>
        <w:pStyle w:val="Compact"/>
        <w:numPr>
          <w:ilvl w:val="0"/>
          <w:numId w:val="1003"/>
        </w:numPr>
      </w:pPr>
      <w:r>
        <w:rPr>
          <w:b/>
          <w:bCs/>
        </w:rPr>
        <w:t xml:space="preserve">m02</w:t>
      </w:r>
      <w:r>
        <w:t xml:space="preserve"> </w:t>
      </w:r>
      <w:r>
        <w:t xml:space="preserve">— A&amp;RE algorithms pp.93–96 are images only; the course used them to locate claims and sourced every teaching statement to a primary or guideline record. The menopause algorithm's 'topical estrogen off-label (C)' box would read more safely as 'not recommended for wrinkles' to match ch.9's text.</w:t>
      </w:r>
    </w:p>
    <w:p>
      <w:pPr>
        <w:pStyle w:val="Compact"/>
        <w:numPr>
          <w:ilvl w:val="0"/>
          <w:numId w:val="1003"/>
        </w:numPr>
      </w:pPr>
      <w:r>
        <w:rPr>
          <w:b/>
          <w:bCs/>
        </w:rPr>
        <w:t xml:space="preserve">m02</w:t>
      </w:r>
      <w:r>
        <w:t xml:space="preserve"> </w:t>
      </w:r>
      <w:r>
        <w:t xml:space="preserve">— All other A&amp;RE ch.8, ch.9 and inherited-syndrome references resolved on PubMed with matching title, first author, journal and year (Slominski 2000, Tiganescu 2011, Schoepe 2006, Nieman 2008, Hall 2005, Thornton 2013, Brincat 2005, NAMS 2022 and 2020, Shu 2011, Manson 2013, Pivazyan 2023, Lause 2017, Darling 1997, Stanescu 2024, Kirschner 2000).</w:t>
      </w:r>
    </w:p>
    <w:p>
      <w:pPr>
        <w:pStyle w:val="Compact"/>
        <w:numPr>
          <w:ilvl w:val="0"/>
          <w:numId w:val="1003"/>
        </w:numPr>
      </w:pPr>
      <w:r>
        <w:rPr>
          <w:b/>
          <w:bCs/>
        </w:rPr>
        <w:t xml:space="preserve">m02</w:t>
      </w:r>
      <w:r>
        <w:t xml:space="preserve"> </w:t>
      </w:r>
      <w:r>
        <w:t xml:space="preserve">— Not in either guide, worth adding — Ajjan 2022 (first human RCT of 11β-HSD1 inhibition in skin; pilot, primary outcome missed), Phillips 2008 and Owen 2016 (negative HT wrinkle trials), Martin 2018 (Endocrine Society hirsutism guideline: rapid progression or virilization → androgen-secreting tumour, ~0.2%, over half malignant), Bornstein 2016 (hyperpigmentation distribution in primary adrenal insufficiency), Correa 2015 (Carney complex cardiac myxomas), Hughes 2013 (sunscreen RCT, n=903) and the Renova label (the one FDA-approved adjunct for fine facial wrinkles).</w:t>
      </w:r>
    </w:p>
    <w:p>
      <w:pPr>
        <w:pStyle w:val="Compact"/>
        <w:numPr>
          <w:ilvl w:val="0"/>
          <w:numId w:val="1003"/>
        </w:numPr>
      </w:pPr>
      <w:r>
        <w:rPr>
          <w:b/>
          <w:bCs/>
        </w:rPr>
        <w:t xml:space="preserve">m03</w:t>
      </w:r>
      <w:r>
        <w:t xml:space="preserve"> </w:t>
      </w:r>
      <w:r>
        <w:t xml:space="preserve">— Grading-rule gap — the rule has no tier for observational human studies (cohorts, surveys, imaging series, tissue biochemistry). Module 03 followed GRADE's starting point: adequately sized observational studies graded C for the association they measured, small or uncontrolled studies D, and any causal inference drawn from association D. Suggest adding this line to the rule for all modules.</w:t>
      </w:r>
    </w:p>
    <w:p>
      <w:pPr>
        <w:pStyle w:val="Compact"/>
        <w:numPr>
          <w:ilvl w:val="0"/>
          <w:numId w:val="1003"/>
        </w:numPr>
      </w:pPr>
      <w:r>
        <w:rPr>
          <w:b/>
          <w:bCs/>
        </w:rPr>
        <w:t xml:space="preserve">m03</w:t>
      </w:r>
      <w:r>
        <w:t xml:space="preserve"> </w:t>
      </w:r>
      <w:r>
        <w:t xml:space="preserve">— A&amp;RE ch.13 glycation paragraph — rates AGE cross-linking → loss of elasticity GRADE B and AGE–RAGE → NF-κB inflammatory signalling GRADE B, citing two reviews (Gkogkolou &amp; Böhm 2012; Chaudhuri 2018). Gkogkolou &amp; Böhm conclude that 'still little is known on the precise role of AGEs during skin aging'. The primary human evidence found is observational accumulation (Dyer 1993; Verzijl 2000). The course grades accumulation C and the causal skin-ageing link D, and names the disagreement; the author may wish to revisit the B.</w:t>
      </w:r>
    </w:p>
    <w:p>
      <w:pPr>
        <w:pStyle w:val="Compact"/>
        <w:numPr>
          <w:ilvl w:val="0"/>
          <w:numId w:val="1003"/>
        </w:numPr>
      </w:pPr>
      <w:r>
        <w:rPr>
          <w:b/>
          <w:bCs/>
        </w:rPr>
        <w:t xml:space="preserve">m03</w:t>
      </w:r>
      <w:r>
        <w:t xml:space="preserve"> </w:t>
      </w:r>
      <w:r>
        <w:t xml:space="preserve">— SURMOUNT-1 figure — A&amp;RE prints '~21%' at the top dose (the trial's treatment-regimen estimand, −20.9%) and PPG-Aug prints '22.5%' (the efficacy estimand). Both are correct for different estimands; each guide should name its estimand. The course uses the primary treatment-regimen figures (−15.0% to −20.9% vs −3.1%).</w:t>
      </w:r>
    </w:p>
    <w:p>
      <w:pPr>
        <w:pStyle w:val="Compact"/>
        <w:numPr>
          <w:ilvl w:val="0"/>
          <w:numId w:val="1003"/>
        </w:numPr>
      </w:pPr>
      <w:r>
        <w:rPr>
          <w:b/>
          <w:bCs/>
        </w:rPr>
        <w:t xml:space="preserve">m03</w:t>
      </w:r>
      <w:r>
        <w:t xml:space="preserve"> </w:t>
      </w:r>
      <w:r>
        <w:t xml:space="preserve">— A&amp;RE ch.12 telogen effluvium GRADE B — the anchor is a review (Persson 2025). The primary evidence is the US labels' placebo-controlled hair-loss rates (Wegovy 3.3% vs 1%, higher at the higher approved dose; Zepbound 4–5% vs 1%; mostly women; associated with weight reduction). Suggest citing the labels; the telogen-effluvium mechanism itself is inferred from observational reports.</w:t>
      </w:r>
    </w:p>
    <w:p>
      <w:pPr>
        <w:pStyle w:val="Compact"/>
        <w:numPr>
          <w:ilvl w:val="0"/>
          <w:numId w:val="1003"/>
        </w:numPr>
      </w:pPr>
      <w:r>
        <w:rPr>
          <w:b/>
          <w:bCs/>
        </w:rPr>
        <w:t xml:space="preserve">m03</w:t>
      </w:r>
      <w:r>
        <w:t xml:space="preserve"> </w:t>
      </w:r>
      <w:r>
        <w:t xml:space="preserve">— A&amp;RE ch.12 counselling box — 'slower titration and a gradual rate of loss reduce both lean-mass and facial-volume loss': no primary study was found linking titration pace to facial volume, and titration and the protein g/kg figure are outside the source lock. The course teaches counselling, monitoring and referral only.</w:t>
      </w:r>
    </w:p>
    <w:p>
      <w:pPr>
        <w:pStyle w:val="Compact"/>
        <w:numPr>
          <w:ilvl w:val="0"/>
          <w:numId w:val="1003"/>
        </w:numPr>
      </w:pPr>
      <w:r>
        <w:rPr>
          <w:b/>
          <w:bCs/>
        </w:rPr>
        <w:t xml:space="preserve">m03</w:t>
      </w:r>
      <w:r>
        <w:t xml:space="preserve"> </w:t>
      </w:r>
      <w:r>
        <w:t xml:space="preserve">— A&amp;RE ch.11–12 say rapid loss depletes 'subcutaneous and dermal fat'. The only quantitative facial study (Sharma 2025, n=20) measured superficial and deep midface compartments; no human study measuring dermal white adipose tissue on incretins was found. Suggest 'subcutaneous facial fat' unless a dermal study is cited. Relatedly, A&amp;RE ch.11 presents dWAT's antimicrobial defence without noting it is mouse data (human acne-lesion data now exist: O'Neill 2022).</w:t>
      </w:r>
    </w:p>
    <w:p>
      <w:pPr>
        <w:pStyle w:val="Compact"/>
        <w:numPr>
          <w:ilvl w:val="0"/>
          <w:numId w:val="1003"/>
        </w:numPr>
      </w:pPr>
      <w:r>
        <w:rPr>
          <w:b/>
          <w:bCs/>
        </w:rPr>
        <w:t xml:space="preserve">m03</w:t>
      </w:r>
      <w:r>
        <w:t xml:space="preserve"> </w:t>
      </w:r>
      <w:r>
        <w:t xml:space="preserve">— PPG-Aug semaglutide and tirzepatide entries — no skin or facial notes, although both US labels now list hair loss among common adverse reactions and the Wegovy label lists dysesthesia (altered skin sensation). The semaglutide entry's indications omit the March 2024 cardiovascular risk-reduction indication (Wegovy S-011, SELECT). The current Mounjaro label (effective 27 August 2026) includes a cardiovascular risk-reduction indication that the August build does not list.</w:t>
      </w:r>
    </w:p>
    <w:p>
      <w:pPr>
        <w:pStyle w:val="Compact"/>
        <w:numPr>
          <w:ilvl w:val="0"/>
          <w:numId w:val="1003"/>
        </w:numPr>
      </w:pPr>
      <w:r>
        <w:rPr>
          <w:b/>
          <w:bCs/>
        </w:rPr>
        <w:t xml:space="preserve">m03</w:t>
      </w:r>
      <w:r>
        <w:t xml:space="preserve"> </w:t>
      </w:r>
      <w:r>
        <w:t xml:space="preserve">— A&amp;RE ch.16 grades a fibre-rich diet A; the review it cites (Reynolds 2019) rates certainty 'moderate' for dietary fibre and has no skin outcomes, which the course rule maps to B. The course reports the guide's A for metabolic outcomes, states the review's certainty, and says no trial has measured skin.</w:t>
      </w:r>
    </w:p>
    <w:p>
      <w:pPr>
        <w:pStyle w:val="Compact"/>
        <w:numPr>
          <w:ilvl w:val="0"/>
          <w:numId w:val="1003"/>
        </w:numPr>
      </w:pPr>
      <w:r>
        <w:rPr>
          <w:b/>
          <w:bCs/>
        </w:rPr>
        <w:t xml:space="preserve">m03</w:t>
      </w:r>
      <w:r>
        <w:t xml:space="preserve"> </w:t>
      </w:r>
      <w:r>
        <w:t xml:space="preserve">— A&amp;RE ch.12 'small studies report improvement in psoriasis GRADE C' — still C, but two primary trials now bracket it: a negative 20-patient placebo-controlled RCT of liraglutide (Faurschou 2015) and an open-label, Lilly-sponsored phase 3b RCT of tirzepatide added to ixekizumab (Lebwohl 2026, TOGETHER-PsO). Worth citing both.</w:t>
      </w:r>
    </w:p>
    <w:p>
      <w:pPr>
        <w:pStyle w:val="Compact"/>
        <w:numPr>
          <w:ilvl w:val="0"/>
          <w:numId w:val="1003"/>
        </w:numPr>
      </w:pPr>
      <w:r>
        <w:rPr>
          <w:b/>
          <w:bCs/>
        </w:rPr>
        <w:t xml:space="preserve">m03</w:t>
      </w:r>
      <w:r>
        <w:t xml:space="preserve"> </w:t>
      </w:r>
      <w:r>
        <w:t xml:space="preserve">— Not in either guide, worth adding — Sharma 2025 (first quantitative imaging of midface volume on GLP-1 RAs), Rao 2026 (1,226-patient survey: facial and hair effects rise with weight lost), Batsis 2026 (independent review of body composition across 35 RCTs), the Cochrane review of probiotics for eczema (Makrgeorgou 2018), Scheffler 2018 (commercial zonulin ELISA does not detect zonulin), and the US labels as the primary source for hair-loss rates.</w:t>
      </w:r>
    </w:p>
    <w:p>
      <w:pPr>
        <w:pStyle w:val="Compact"/>
        <w:numPr>
          <w:ilvl w:val="0"/>
          <w:numId w:val="1003"/>
        </w:numPr>
      </w:pPr>
      <w:r>
        <w:rPr>
          <w:b/>
          <w:bCs/>
        </w:rPr>
        <w:t xml:space="preserve">m03</w:t>
      </w:r>
      <w:r>
        <w:t xml:space="preserve"> </w:t>
      </w:r>
      <w:r>
        <w:t xml:space="preserve">— Reference check — every A&amp;RE reference the module uses from chapters 11, 12, 13, 14 and 16 (Kershaw &amp; Flier; Zhang 2015; Chen 2019; SELECT; Drucker; STEP-1; SURMOUNT-1; Camilleri; Burke; Persson; Franceschi 2000; Ferrucci &amp; Fabbri; Gkogkolou &amp; Böhm; Chaudhuri; Humphrey &amp; Lawrence; Conte; Reynolds; Suez; Depommier) resolved on PubMed with the printed journal, volume and year. PPG-Aug PMIDs for STEP-1, SURMOUNT-1, SELECT and SURMOUNT-OSA resolve.</w:t>
      </w:r>
    </w:p>
    <w:p>
      <w:pPr>
        <w:pStyle w:val="Compact"/>
        <w:numPr>
          <w:ilvl w:val="0"/>
          <w:numId w:val="1003"/>
        </w:numPr>
      </w:pPr>
      <w:r>
        <w:rPr>
          <w:b/>
          <w:bCs/>
        </w:rPr>
        <w:t xml:space="preserve">m03</w:t>
      </w:r>
      <w:r>
        <w:t xml:space="preserve"> </w:t>
      </w:r>
      <w:r>
        <w:t xml:space="preserve">— Jurisdiction — both guides are US-centred for incretin regulation; module 03 asserts US status only (FDA labels, Drugs@FDA, FDA statement current 1 September 2026). MHRA/EMA status of Wegovy, Mounjaro and compounded GLP-1 products is not asserted and needs mapping for the SEASON London edition.</w:t>
      </w:r>
    </w:p>
    <w:p>
      <w:pPr>
        <w:pStyle w:val="Compact"/>
        <w:numPr>
          <w:ilvl w:val="0"/>
          <w:numId w:val="1003"/>
        </w:numPr>
      </w:pPr>
      <w:r>
        <w:rPr>
          <w:b/>
          <w:bCs/>
        </w:rPr>
        <w:t xml:space="preserve">m04</w:t>
      </w:r>
      <w:r>
        <w:t xml:space="preserve"> </w:t>
      </w:r>
      <w:r>
        <w:t xml:space="preserve">— A&amp;RE ch.15 ref 4 — 'Sikiric P, et al. Curr Med Chem 2018;25:1972' does not resolve on PubMed; the title matches Curr Pharm Des 2018;24:1990–2001 (PMID 29879879), which the Pocket Guide cites correctly.</w:t>
      </w:r>
    </w:p>
    <w:p>
      <w:pPr>
        <w:pStyle w:val="Compact"/>
        <w:numPr>
          <w:ilvl w:val="0"/>
          <w:numId w:val="1003"/>
        </w:numPr>
      </w:pPr>
      <w:r>
        <w:rPr>
          <w:b/>
          <w:bCs/>
        </w:rPr>
        <w:t xml:space="preserve">m04</w:t>
      </w:r>
      <w:r>
        <w:t xml:space="preserve"> </w:t>
      </w:r>
      <w:r>
        <w:t xml:space="preserve">— PPG-Aug Argireline entry — 'Wang Y et al. [not indexed]': the 2013 Am J Clin Dermatol randomized placebo-controlled trial is indexed (PMID 23417317).</w:t>
      </w:r>
    </w:p>
    <w:p>
      <w:pPr>
        <w:pStyle w:val="Compact"/>
        <w:numPr>
          <w:ilvl w:val="0"/>
          <w:numId w:val="1003"/>
        </w:numPr>
      </w:pPr>
      <w:r>
        <w:rPr>
          <w:b/>
          <w:bCs/>
        </w:rPr>
        <w:t xml:space="preserve">m04</w:t>
      </w:r>
      <w:r>
        <w:t xml:space="preserve"> </w:t>
      </w:r>
      <w:r>
        <w:t xml:space="preserve">— PPG-Aug LL-37 entry — Grönberg et al. is 2014 (printed 2015); Mahlapuu et al. is 2021 (printed 2022).</w:t>
      </w:r>
    </w:p>
    <w:p>
      <w:pPr>
        <w:pStyle w:val="Compact"/>
        <w:numPr>
          <w:ilvl w:val="0"/>
          <w:numId w:val="1003"/>
        </w:numPr>
      </w:pPr>
      <w:r>
        <w:rPr>
          <w:b/>
          <w:bCs/>
        </w:rPr>
        <w:t xml:space="preserve">m04</w:t>
      </w:r>
      <w:r>
        <w:t xml:space="preserve"> </w:t>
      </w:r>
      <w:r>
        <w:t xml:space="preserve">— A&amp;RE ch.15 RUO cautions — the heavy-metal (arsenic, lead) statement has no citation and no primary analytical study of skin-peptide RUO products was found; the course now says 'reported, not documented'. The '30% wrong sequence / 65% endotoxin' figure circulating online traces to no journal.</w:t>
      </w:r>
    </w:p>
    <w:p>
      <w:pPr>
        <w:pStyle w:val="Compact"/>
        <w:numPr>
          <w:ilvl w:val="0"/>
          <w:numId w:val="1003"/>
        </w:numPr>
      </w:pPr>
      <w:r>
        <w:rPr>
          <w:b/>
          <w:bCs/>
        </w:rPr>
        <w:t xml:space="preserve">m04</w:t>
      </w:r>
      <w:r>
        <w:t xml:space="preserve"> </w:t>
      </w:r>
      <w:r>
        <w:t xml:space="preserve">— PPG-Aug KPV entry — the 'small open-label studies for atopic dermatitis' could not be located on PubMed.</w:t>
      </w:r>
    </w:p>
    <w:p>
      <w:pPr>
        <w:pStyle w:val="Compact"/>
        <w:numPr>
          <w:ilvl w:val="0"/>
          <w:numId w:val="1003"/>
        </w:numPr>
      </w:pPr>
      <w:r>
        <w:rPr>
          <w:b/>
          <w:bCs/>
        </w:rPr>
        <w:t xml:space="preserve">m04</w:t>
      </w:r>
      <w:r>
        <w:t xml:space="preserve"> </w:t>
      </w:r>
      <w:r>
        <w:t xml:space="preserve">— GHK-Cu regulatory status — FDA's May 14, 2026 category document records the April 22, 2026 withdrawal, the May 5 partial reinstatement (non-injectable routes) and a PCAC consultation intended before end of February 2027; both guides should date-stamp 'Category 1 (non-injectable)'.</w:t>
      </w:r>
    </w:p>
    <w:p>
      <w:pPr>
        <w:pStyle w:val="Compact"/>
        <w:numPr>
          <w:ilvl w:val="0"/>
          <w:numId w:val="1003"/>
        </w:numPr>
      </w:pPr>
      <w:r>
        <w:rPr>
          <w:b/>
          <w:bCs/>
        </w:rPr>
        <w:t xml:space="preserve">m04</w:t>
      </w:r>
      <w:r>
        <w:t xml:space="preserve"> </w:t>
      </w:r>
      <w:r>
        <w:t xml:space="preserve">— Grade disagreement between the guides — A&amp;RE ch.5 rates Argireline and Matrixyl-type peptides GRADE C; the Pocket Guide rates Argireline, Leuphasyl, Matrixyl 3000 and Palmitoyl Tripeptide-1 GRADE D. The course grades pal-KTTKS and Argireline C (RCTs incl. an independent 2023 trial) and the blends/Leuphasyl D, and names the disagreement.</w:t>
      </w:r>
    </w:p>
    <w:p>
      <w:pPr>
        <w:pStyle w:val="Compact"/>
        <w:numPr>
          <w:ilvl w:val="0"/>
          <w:numId w:val="1003"/>
        </w:numPr>
      </w:pPr>
      <w:r>
        <w:rPr>
          <w:b/>
          <w:bCs/>
        </w:rPr>
        <w:t xml:space="preserve">m04</w:t>
      </w:r>
      <w:r>
        <w:t xml:space="preserve"> </w:t>
      </w:r>
      <w:r>
        <w:t xml:space="preserve">— Oral collagen — Myung &amp; Park 2025 (Am J Med, 23 RCTs) find the benefit only in pharmaceutical-funded and low-quality trials; the author may wish to revisit A&amp;RE's GRADE C.</w:t>
      </w:r>
    </w:p>
    <w:p>
      <w:pPr>
        <w:pStyle w:val="Compact"/>
        <w:numPr>
          <w:ilvl w:val="0"/>
          <w:numId w:val="1003"/>
        </w:numPr>
      </w:pPr>
      <w:r>
        <w:rPr>
          <w:b/>
          <w:bCs/>
        </w:rPr>
        <w:t xml:space="preserve">m04</w:t>
      </w:r>
      <w:r>
        <w:t xml:space="preserve"> </w:t>
      </w:r>
      <w:r>
        <w:t xml:space="preserve">— SNAP-8 is in neither guide; the course adds it from the literature (Errante 2020 review; two combination-product studies).</w:t>
      </w:r>
    </w:p>
    <w:p>
      <w:pPr>
        <w:pStyle w:val="Compact"/>
        <w:numPr>
          <w:ilvl w:val="0"/>
          <w:numId w:val="1003"/>
        </w:numPr>
      </w:pPr>
      <w:r>
        <w:rPr>
          <w:b/>
          <w:bCs/>
        </w:rPr>
        <w:t xml:space="preserve">m04</w:t>
      </w:r>
      <w:r>
        <w:t xml:space="preserve"> </w:t>
      </w:r>
      <w:r>
        <w:t xml:space="preserve">— Not in either guide, worth adding — Miller 2006 (the one indexed RCT of topical GHK-Cu), Aruan 2023 (independent RCT, Argireline vs pal-KTTKS), Esposito 2012 (TB-500 characterized as the Tβ4 17–23 fragment), the two 2026 BPC-157 trial registrations, and the two independent 2025–26 BPC-157 reviews.</w:t>
      </w:r>
    </w:p>
    <w:p>
      <w:pPr>
        <w:pStyle w:val="Compact"/>
        <w:numPr>
          <w:ilvl w:val="0"/>
          <w:numId w:val="1003"/>
        </w:numPr>
      </w:pPr>
      <w:r>
        <w:rPr>
          <w:b/>
          <w:bCs/>
        </w:rPr>
        <w:t xml:space="preserve">m04</w:t>
      </w:r>
      <w:r>
        <w:t xml:space="preserve"> </w:t>
      </w:r>
      <w:r>
        <w:t xml:space="preserve">— Trial-registry integrity (2026-09-24): ClinicalTrials.gov sponsor 'Hudson Biotech' lists eight 'recruiting' records covering BPC-157, TB-500, MOTS-c, GHK-Cu, Melanotan II, tesamorelin, tirzepatide ('SURMOUNT-1', Lilly's published trial title) and LY3437943, including one titled '(Mock Study)'. The course no longer cites any of them. Recommend neither Hormonaly guide cite registrations from this sponsor, and that the foundry's source check flag registrations whose sponsor holds mock or duplicated records.</w:t>
      </w:r>
    </w:p>
    <w:p>
      <w:pPr>
        <w:pStyle w:val="Compact"/>
        <w:numPr>
          <w:ilvl w:val="0"/>
          <w:numId w:val="1003"/>
        </w:numPr>
      </w:pPr>
      <w:r>
        <w:rPr>
          <w:b/>
          <w:bCs/>
        </w:rPr>
        <w:t xml:space="preserve">m04</w:t>
      </w:r>
      <w:r>
        <w:t xml:space="preserve"> </w:t>
      </w:r>
      <w:r>
        <w:t xml:space="preserve">— Leuphasyl (2026-09-24, from the claim-support check): an independent university volunteer study exists (Dragomirescu 2014, Cosmetics, not PubMed-indexed; three concentrations, wrinkle imaging, no randomized control described). The course now says 'no randomized controlled trial' instead of 'no independent human trial'; the grade stays D. Worth adding to the Pocket Guide's Leuphasyl entry.</w:t>
      </w:r>
    </w:p>
    <w:p>
      <w:pPr>
        <w:pStyle w:val="Compact"/>
        <w:numPr>
          <w:ilvl w:val="0"/>
          <w:numId w:val="1003"/>
        </w:numPr>
      </w:pPr>
      <w:r>
        <w:rPr>
          <w:b/>
          <w:bCs/>
        </w:rPr>
        <w:t xml:space="preserve">m05</w:t>
      </w:r>
      <w:r>
        <w:t xml:space="preserve"> </w:t>
      </w:r>
      <w:r>
        <w:t xml:space="preserve">— Grade disagreement between the guides — Melanotan II is GRADE C in the Pocket Guide and GRADE D ('harms &gt; benefit') in A&amp;RE ch.15. The only controlled human data are Dorr 1996 (single-blind, alternating-day pilot in three men, not randomized) and Wessells 1998 (ten-man erectile-dysfunction crossover); no trial has tested tanning. The course states both grades and teaches D for cosmetic use; the Pocket Guide may wish to align.</w:t>
      </w:r>
    </w:p>
    <w:p>
      <w:pPr>
        <w:pStyle w:val="Compact"/>
        <w:numPr>
          <w:ilvl w:val="0"/>
          <w:numId w:val="1003"/>
        </w:numPr>
      </w:pPr>
      <w:r>
        <w:rPr>
          <w:b/>
          <w:bCs/>
        </w:rPr>
        <w:t xml:space="preserve">m05</w:t>
      </w:r>
      <w:r>
        <w:t xml:space="preserve"> </w:t>
      </w:r>
      <w:r>
        <w:t xml:space="preserve">— PPG-Aug Melanotan II references — 'Multiple case reports … (see TGA/MHRA warnings) [not indexed]': the case reports are indexed. The course adds Habbema 2017 (A&amp;RE ch.15 ref 8), Cardones 2009, Paurobally 2013, Hjuler 2014, Mang 2012, Mallory 2021 and Nelson 2012, and the live regulator records: FDA's compounding safety page (current as of 22 Apr 2026), MHRA FOI 24/274 (17 Apr 2024) and TGA's safety advisory (17 Aug 2026). The Dorr 1996 reference carries no PMID in the guide (PMID 8637402).</w:t>
      </w:r>
    </w:p>
    <w:p>
      <w:pPr>
        <w:pStyle w:val="Compact"/>
        <w:numPr>
          <w:ilvl w:val="0"/>
          <w:numId w:val="1003"/>
        </w:numPr>
      </w:pPr>
      <w:r>
        <w:rPr>
          <w:b/>
          <w:bCs/>
        </w:rPr>
        <w:t xml:space="preserve">m05</w:t>
      </w:r>
      <w:r>
        <w:t xml:space="preserve"> </w:t>
      </w:r>
      <w:r>
        <w:t xml:space="preserve">— A&amp;RE ch.15 — Melanotan II 'unapproved by the FDA and by regulators in the UK, EU, and Australia': UK and Australia verified (MHRA 2024; TGA 2026); EU status was not checked against an EMA record, so the course names the US, UK and Australia only. A&amp;RE ch.6 grades Melanotan II D beside 'no quality control'; the TGA 2026 testing (content varying more than twofold across identically labelled bottles) and Breindahl 2015 (43–88% of the labelled amount) are citable support.</w:t>
      </w:r>
    </w:p>
    <w:p>
      <w:pPr>
        <w:pStyle w:val="Compact"/>
        <w:numPr>
          <w:ilvl w:val="0"/>
          <w:numId w:val="1003"/>
        </w:numPr>
      </w:pPr>
      <w:r>
        <w:rPr>
          <w:b/>
          <w:bCs/>
        </w:rPr>
        <w:t xml:space="preserve">m05</w:t>
      </w:r>
      <w:r>
        <w:t xml:space="preserve"> </w:t>
      </w:r>
      <w:r>
        <w:t xml:space="preserve">— PPG-Aug PTD-DBM entry — (a) 'Effective only combined with a Wnt-pathway modulator (typically valproic acid)': Lee 2017's abstract reports that the competitor peptide alone accelerated hair regrowth in mice (valproic acid was studied separately, including in CXXC5-knockout mice); the course teaches no combination claim. (b) The 'hair-shedding phase during early use' adverse reaction has no human source. (c) 'Used in compounding pharmacies': PTD-DBM appears in none of FDA's 503A categories (14 May 2026) and is not on the bulks list (21 CFR 216.23); a dated US status line would help. (d) The corresponding author is affiliated with CK Biotechnology Inc.</w:t>
      </w:r>
    </w:p>
    <w:p>
      <w:pPr>
        <w:pStyle w:val="Compact"/>
        <w:numPr>
          <w:ilvl w:val="0"/>
          <w:numId w:val="1003"/>
        </w:numPr>
      </w:pPr>
      <w:r>
        <w:rPr>
          <w:b/>
          <w:bCs/>
        </w:rPr>
        <w:t xml:space="preserve">m05</w:t>
      </w:r>
      <w:r>
        <w:t xml:space="preserve"> </w:t>
      </w:r>
      <w:r>
        <w:t xml:space="preserve">— PPG-Aug Zinc Thymulin entry — 'Caroleo MC et al. (zinc thymulin hair-loss case series, small) [not indexed]' could not be located on PubMed or by author search. FDA's 14 May 2026 list places thymulin acetate in 503A Category 3 (nominated without adequate support), which the entry's 'compounded for cosmetic hair use' does not mention.</w:t>
      </w:r>
    </w:p>
    <w:p>
      <w:pPr>
        <w:pStyle w:val="Compact"/>
        <w:numPr>
          <w:ilvl w:val="0"/>
          <w:numId w:val="1003"/>
        </w:numPr>
      </w:pPr>
      <w:r>
        <w:rPr>
          <w:b/>
          <w:bCs/>
        </w:rPr>
        <w:t xml:space="preserve">m05</w:t>
      </w:r>
      <w:r>
        <w:t xml:space="preserve"> </w:t>
      </w:r>
      <w:r>
        <w:t xml:space="preserve">— PPG-Aug Afamelanotide entry — 'Three pivotal Phase 3 trials … across 244 EPP adults' and '10-year post-authorization safety data show no new signals' were not verified; the course cites the two published NEJM trials (Langendonk 2015, n=74 and n=94). The current US label (revised Aug 2024) recommends a full-body skin examination twice yearly — worth quoting in the entry's safety line. A&amp;RE ch.6 wording ('approved to reduce phototoxicity in EPP') matches the EMA indication; the US indication is 'to increase pain free light exposure in adult patients with a history of phototoxic reactions from EPP'.</w:t>
      </w:r>
    </w:p>
    <w:p>
      <w:pPr>
        <w:pStyle w:val="Compact"/>
        <w:numPr>
          <w:ilvl w:val="0"/>
          <w:numId w:val="1003"/>
        </w:numPr>
      </w:pPr>
      <w:r>
        <w:rPr>
          <w:b/>
          <w:bCs/>
        </w:rPr>
        <w:t xml:space="preserve">m05</w:t>
      </w:r>
      <w:r>
        <w:t xml:space="preserve"> </w:t>
      </w:r>
      <w:r>
        <w:t xml:space="preserve">— A&amp;RE hair-loss workup algorithm (p.93) is a figure with no extractable text; the course transcribed it from the rendered page (patterned thinning → AGA; diffuse shed after trigger → telogen effluvium; patchy smooth loss → alopecia areata; androgen excess → hyperandrogenism work-up; always ferritin and TSH, androgens if virilising, scarring → biopsy). Please confirm the transcription.</w:t>
      </w:r>
    </w:p>
    <w:p>
      <w:pPr>
        <w:pStyle w:val="Compact"/>
        <w:numPr>
          <w:ilvl w:val="0"/>
          <w:numId w:val="1003"/>
        </w:numPr>
      </w:pPr>
      <w:r>
        <w:rPr>
          <w:b/>
          <w:bCs/>
        </w:rPr>
        <w:t xml:space="preserve">m05</w:t>
      </w:r>
      <w:r>
        <w:t xml:space="preserve"> </w:t>
      </w:r>
      <w:r>
        <w:t xml:space="preserve">— Not in either guide, worth adding — Adil &amp; Godwin 2017 (RCT meta-analysis for minoxidil and finasteride), Böhm 2025 (MC1R activation review: approved agonists, at least five melanomas with Melanotan II all with other risk factors, skin examination in high-risk people), Laiho &amp; Murray 2022 (receptor map, open access), Breindahl 2015 and Mang 2012 (dermoscopic changes during Melanotan II use).</w:t>
      </w:r>
    </w:p>
    <w:p>
      <w:pPr>
        <w:pStyle w:val="Compact"/>
        <w:numPr>
          <w:ilvl w:val="0"/>
          <w:numId w:val="1003"/>
        </w:numPr>
      </w:pPr>
      <w:r>
        <w:rPr>
          <w:b/>
          <w:bCs/>
        </w:rPr>
        <w:t xml:space="preserve">m05</w:t>
      </w:r>
      <w:r>
        <w:t xml:space="preserve"> </w:t>
      </w:r>
      <w:r>
        <w:t xml:space="preserve">— Trial-registry caution — ClinicalTrials.gov records from the sponsor 'Hudson Biotech' include NCT07437560 (Melanotan II with NB-UVB for vitiligo, 'recruiting' since Feb 2026), whose summary begins 'This example interventional study record describes…', and NCT07481734, titled '(Mock Study)'. The same sponsor holds NCT07437586 (GHK-Cu wound gel) and NCT07437547 (BPC-157 hamstring), which module 04 cites as recruiting trials; they should be re-verified before either guide cites them as real trials. The course does not cite NCT07437560.</w:t>
      </w:r>
    </w:p>
    <w:p>
      <w:pPr>
        <w:pStyle w:val="Compact"/>
        <w:numPr>
          <w:ilvl w:val="0"/>
          <w:numId w:val="1003"/>
        </w:numPr>
      </w:pPr>
      <w:r>
        <w:rPr>
          <w:b/>
          <w:bCs/>
        </w:rPr>
        <w:t xml:space="preserve">m06</w:t>
      </w:r>
      <w:r>
        <w:t xml:space="preserve"> </w:t>
      </w:r>
      <w:r>
        <w:t xml:space="preserve">— A&amp;RE ch.15 table ('CJC-1295 / ipamorelin … Cat. 2 (not in 2026 review)') and the drug-safety page ('503A Category-2'): FDA's Category 2 page (content current 22 April 2026) lists CJC-1295 and ipamorelin among Category 2 nominations that were withdrawn (ipamorelin remains in 503B Category 2), and neither appears in FDA's 503A category list of 14 May 2026. Suggest re-dating the status.</w:t>
      </w:r>
    </w:p>
    <w:p>
      <w:pPr>
        <w:pStyle w:val="Compact"/>
        <w:numPr>
          <w:ilvl w:val="0"/>
          <w:numId w:val="1003"/>
        </w:numPr>
      </w:pPr>
      <w:r>
        <w:rPr>
          <w:b/>
          <w:bCs/>
        </w:rPr>
        <w:t xml:space="preserve">m06</w:t>
      </w:r>
      <w:r>
        <w:t xml:space="preserve"> </w:t>
      </w:r>
      <w:r>
        <w:t xml:space="preserve">— Grade disagreement — A&amp;RE rates CJC-1295/ipamorelin 'GRADE C anecdotal' and the Pocket Guide rates CJC-1295 and ipamorelin C; by the Pocket Guide's own scale 'anecdotal' is D. Their human data are phase 1 hormone-level studies (CJC-1295 with DAC), one negative phase 2 trial (ipamorelin, postoperative ileus) and nothing for CJC-1295 without DAC. The course teaches D for any clinical or skin benefit and names the disagreement.</w:t>
      </w:r>
    </w:p>
    <w:p>
      <w:pPr>
        <w:pStyle w:val="Compact"/>
        <w:numPr>
          <w:ilvl w:val="0"/>
          <w:numId w:val="1003"/>
        </w:numPr>
      </w:pPr>
      <w:r>
        <w:rPr>
          <w:b/>
          <w:bCs/>
        </w:rPr>
        <w:t xml:space="preserve">m06</w:t>
      </w:r>
      <w:r>
        <w:t xml:space="preserve"> </w:t>
      </w:r>
      <w:r>
        <w:t xml:space="preserve">— A&amp;RE ch.14 — 'illegal to prescribe for anti-aging in the US GRADE A' attaches an evidence grade to a legal statement. The statute (21 U.S.C. 333(e)) prohibits knowing distribution for unauthorised uses; the trial evidence (Liu 2007: 18 small RCT populations, 220 treated) grades B on the course rule. The conclusion — GH is not an anti-ageing therapy — is unchanged.</w:t>
      </w:r>
    </w:p>
    <w:p>
      <w:pPr>
        <w:pStyle w:val="Compact"/>
        <w:numPr>
          <w:ilvl w:val="0"/>
          <w:numId w:val="1003"/>
        </w:numPr>
      </w:pPr>
      <w:r>
        <w:rPr>
          <w:b/>
          <w:bCs/>
        </w:rPr>
        <w:t xml:space="preserve">m06</w:t>
      </w:r>
      <w:r>
        <w:t xml:space="preserve"> </w:t>
      </w:r>
      <w:r>
        <w:t xml:space="preserve">— PPG CJC-1295 entry — 'Teichman et al. J Clin Endocrinol Metab 2005;91:799-805' is 2006 (March; epub December 2005), PMID 16352683.</w:t>
      </w:r>
    </w:p>
    <w:p>
      <w:pPr>
        <w:pStyle w:val="Compact"/>
        <w:numPr>
          <w:ilvl w:val="0"/>
          <w:numId w:val="1003"/>
        </w:numPr>
      </w:pPr>
      <w:r>
        <w:rPr>
          <w:b/>
          <w:bCs/>
        </w:rPr>
        <w:t xml:space="preserve">m06</w:t>
      </w:r>
      <w:r>
        <w:t xml:space="preserve"> </w:t>
      </w:r>
      <w:r>
        <w:t xml:space="preserve">— PPG IGF-1 LR3 entry — 'Dominikowski A et al. Peptides marketed for performance and longevity: absence of human studies. 2025 (PMID 42395176)': the PMID resolves to Dominikowski A et al., 'The emerging landscape of performance-enhancing peptides modulating GH-IGF1 axis…', Front Endocrinol 2026;17:1822475 — the title and year differ.</w:t>
      </w:r>
    </w:p>
    <w:p>
      <w:pPr>
        <w:pStyle w:val="Compact"/>
        <w:numPr>
          <w:ilvl w:val="0"/>
          <w:numId w:val="1003"/>
        </w:numPr>
      </w:pPr>
      <w:r>
        <w:rPr>
          <w:b/>
          <w:bCs/>
        </w:rPr>
        <w:t xml:space="preserve">m06</w:t>
      </w:r>
      <w:r>
        <w:t xml:space="preserve"> </w:t>
      </w:r>
      <w:r>
        <w:t xml:space="preserve">— PPG CJC-1295 entry — the 'fatal event in a CJC-1131 trial' within 'related long-acting GHRH-analogue programs': PubMed describes CJC-1131 as a long-acting GLP-1 analogue (Léger 2004, PMID 15357960; Tiessen 2008, PMID 18793574), and no fatal event could be located. The course uses FDA's own summary of CJC-1295 adverse events (increased heart rate, systemic vasodilatory reaction) instead.</w:t>
      </w:r>
    </w:p>
    <w:p>
      <w:pPr>
        <w:pStyle w:val="Compact"/>
        <w:numPr>
          <w:ilvl w:val="0"/>
          <w:numId w:val="1003"/>
        </w:numPr>
      </w:pPr>
      <w:r>
        <w:rPr>
          <w:b/>
          <w:bCs/>
        </w:rPr>
        <w:t xml:space="preserve">m06</w:t>
      </w:r>
      <w:r>
        <w:t xml:space="preserve"> </w:t>
      </w:r>
      <w:r>
        <w:t xml:space="preserve">— PPG sermorelin regulatory line is garbled ('not on not categorized on FDA's 14 May 2026 roster restricted list'). Verified: sermorelin appears in no 503A category (14 May 2026); Geref's approvals were withdrawn in 2009 at the maker's request and FDA's 2013 determination found no safety or effectiveness reason. No FDA document found states the legal basis on which 503A pharmacies compound sermorelin today; the course states only the verified facts and suggests the author address this.</w:t>
      </w:r>
    </w:p>
    <w:p>
      <w:pPr>
        <w:pStyle w:val="Compact"/>
        <w:numPr>
          <w:ilvl w:val="0"/>
          <w:numId w:val="1003"/>
        </w:numPr>
      </w:pPr>
      <w:r>
        <w:rPr>
          <w:b/>
          <w:bCs/>
        </w:rPr>
        <w:t xml:space="preserve">m06</w:t>
      </w:r>
      <w:r>
        <w:t xml:space="preserve"> </w:t>
      </w:r>
      <w:r>
        <w:t xml:space="preserve">— PPG adverse-effects section (pp. 119–120, 'IGF-1 targets' and dose reduction) is titration guidance and stays outside the source lock; module 06 uses only the recognition and referral content. Precision note: the label's figure is IGF-1 above +2 SDS in 47% at 26 weeks (the guide says 'exceeded ULN').</w:t>
      </w:r>
    </w:p>
    <w:p>
      <w:pPr>
        <w:pStyle w:val="Compact"/>
        <w:numPr>
          <w:ilvl w:val="0"/>
          <w:numId w:val="1003"/>
        </w:numPr>
      </w:pPr>
      <w:r>
        <w:rPr>
          <w:b/>
          <w:bCs/>
        </w:rPr>
        <w:t xml:space="preserve">m06</w:t>
      </w:r>
      <w:r>
        <w:t xml:space="preserve"> </w:t>
      </w:r>
      <w:r>
        <w:t xml:space="preserve">— The brief's verification request — Falutz J et al., N Engl J Med 2007;357:2359–70 — resolves to PMID 18057338 (title, first author, journal and year match); A&amp;RE ch.15 ref 2 is correct.</w:t>
      </w:r>
    </w:p>
    <w:p>
      <w:pPr>
        <w:pStyle w:val="Compact"/>
        <w:numPr>
          <w:ilvl w:val="0"/>
          <w:numId w:val="1003"/>
        </w:numPr>
      </w:pPr>
      <w:r>
        <w:rPr>
          <w:b/>
          <w:bCs/>
        </w:rPr>
        <w:t xml:space="preserve">m06</w:t>
      </w:r>
      <w:r>
        <w:t xml:space="preserve"> </w:t>
      </w:r>
      <w:r>
        <w:t xml:space="preserve">— Not in either guide, worth adding — Rudman 1990 (much cited; its skin result missed significance), Lange 2001 (skin in GH deficiency and acromegaly), the 2014 Cochrane review of GH in major burns (the only skin indication with RCTs), Khorram 1997 (the only GHRH-analogue study with a skin outcome), Nass 2008 and Adunsky 2011 (ibutamoren: IGF-1 up, no functional benefit, heart-failure signal), FDA's October 2024 advisory-committee votes on ipamorelin and ibutamoren, the Egrifta label's IGF-1 figures and the somatropin label's nevus-monitoring warning, and the IGF-1 cancer epidemiology (Renehan 2004, Knuppel 2020, Dal 2018, SAGhE 2017).</w:t>
      </w:r>
    </w:p>
    <w:p>
      <w:pPr>
        <w:pStyle w:val="Compact"/>
        <w:numPr>
          <w:ilvl w:val="0"/>
          <w:numId w:val="1003"/>
        </w:numPr>
      </w:pPr>
      <w:r>
        <w:rPr>
          <w:b/>
          <w:bCs/>
        </w:rPr>
        <w:t xml:space="preserve">m07</w:t>
      </w:r>
      <w:r>
        <w:t xml:space="preserve"> </w:t>
      </w:r>
      <w:r>
        <w:t xml:space="preserve">— Peptide Pocket Guide, 'The FDA's regulatory line' table (peptide fundamentals) — the rows '41–99 alpha amino acids, chemically synthesized: still regulated as a drug' and '≥100: always a protein regardless of synthesis route' reflect FDA's 2018 proposal. The Further Consolidated Appropriations Act 2020 removed the 'chemically synthesized polypeptide' exception, and FDA's final rule (85 FR 10057, effective 23 March 2020) defines any alpha amino acid polymer of more than 40 amino acids as a protein; FDA did not finalize the 41–99 interpretation. Tesamorelin (44 residues, which the guide lists among polypeptides) was itself deemed a biologics licence on 23 March 2020.</w:t>
      </w:r>
    </w:p>
    <w:p>
      <w:pPr>
        <w:pStyle w:val="Compact"/>
        <w:numPr>
          <w:ilvl w:val="0"/>
          <w:numId w:val="1003"/>
        </w:numPr>
      </w:pPr>
      <w:r>
        <w:rPr>
          <w:b/>
          <w:bCs/>
        </w:rPr>
        <w:t xml:space="preserve">m07</w:t>
      </w:r>
      <w:r>
        <w:t xml:space="preserve"> </w:t>
      </w:r>
      <w:r>
        <w:t xml:space="preserve">— Peptide Pocket Guide — 'biologics … are largely ineligible for 503A pharmacy compounding' and, in the Lilly v. FDA case study, '503A compounding of biologics operates under different authority': FDA's March 2020 notice to compounders states that biological products subject to licensure under PHS Act 351 (including deemed BLAs such as hyaluronidase and hCG) are not eligible for the 503A or 503B exemptions. Suggest stating it that plainly.</w:t>
      </w:r>
    </w:p>
    <w:p>
      <w:pPr>
        <w:pStyle w:val="Compact"/>
        <w:numPr>
          <w:ilvl w:val="0"/>
          <w:numId w:val="1003"/>
        </w:numPr>
      </w:pPr>
      <w:r>
        <w:rPr>
          <w:b/>
          <w:bCs/>
        </w:rPr>
        <w:t xml:space="preserve">m07</w:t>
      </w:r>
      <w:r>
        <w:t xml:space="preserve"> </w:t>
      </w:r>
      <w:r>
        <w:t xml:space="preserve">— Aesthetic &amp; Regenerative Endocrinology ch. 3 ref 4 and ch. 20 ref 3 give the PCAC docket as 'FDA-2026-N-2979'; the Federal Register notice (91 FR 20465, doc 2026-07361) is Docket No. FDA-2025-N-6895, as the Peptide Pocket Guide prints.</w:t>
      </w:r>
    </w:p>
    <w:p>
      <w:pPr>
        <w:pStyle w:val="Compact"/>
        <w:numPr>
          <w:ilvl w:val="0"/>
          <w:numId w:val="1003"/>
        </w:numPr>
      </w:pPr>
      <w:r>
        <w:rPr>
          <w:b/>
          <w:bCs/>
        </w:rPr>
        <w:t xml:space="preserve">m07</w:t>
      </w:r>
      <w:r>
        <w:t xml:space="preserve"> </w:t>
      </w:r>
      <w:r>
        <w:t xml:space="preserve">— Aesthetic &amp; Regenerative Endocrinology ch. 15 table, ch. 20 regulatory pearl and the drug-safety table place BPC-157, TB-500, CJC-1295, ipamorelin and epitalon in '503A Category 2'. FDA's safety-risks page (content current 22 April 2026) lists them in the table of withdrawn nominations, in no category (ipamorelin remains in 503B Category 2), and 503A Category 2 holds six substances as of 14 May 2026. The Peptide Pocket Guide (August build) is current on this point.</w:t>
      </w:r>
    </w:p>
    <w:p>
      <w:pPr>
        <w:pStyle w:val="Compact"/>
        <w:numPr>
          <w:ilvl w:val="0"/>
          <w:numId w:val="1003"/>
        </w:numPr>
      </w:pPr>
      <w:r>
        <w:rPr>
          <w:b/>
          <w:bCs/>
        </w:rPr>
        <w:t xml:space="preserve">m07</w:t>
      </w:r>
      <w:r>
        <w:t xml:space="preserve"> </w:t>
      </w:r>
      <w:r>
        <w:t xml:space="preserve">— Aesthetic &amp; Regenerative Endocrinology ch. 3 decision frame and the 'peptide decision framework' algorithm reduce 503A eligibility to 'on the current positive bulks list'. The statute's routes are hierarchical — USP/NF monograph, then component of an approved drug, then the bulks list — with Category 1 enforcement discretion (e.g., non-injectable GHK-Cu) a separate interim posture. The course teaches the statutory order.</w:t>
      </w:r>
    </w:p>
    <w:p>
      <w:pPr>
        <w:pStyle w:val="Compact"/>
        <w:numPr>
          <w:ilvl w:val="0"/>
          <w:numId w:val="1003"/>
        </w:numPr>
      </w:pPr>
      <w:r>
        <w:rPr>
          <w:b/>
          <w:bCs/>
        </w:rPr>
        <w:t xml:space="preserve">m07</w:t>
      </w:r>
      <w:r>
        <w:t xml:space="preserve"> </w:t>
      </w:r>
      <w:r>
        <w:t xml:space="preserve">— Peptide Pocket Guide, 'For research-use-only peptides' (peptide fundamentals) — the steps offered 'if the product is being used outside its labelled purpose' (independent MS and HPLC, an endotoxin test before injectable use, dose-by-dose documentation) read as harm-reduction instructions for human use of products labelled 'Not for use in humans' (21 CFR 312.160), and sit awkwardly beside the guide's own 'the RUO disclaimer provides no legal protection'. The course omits them; suggest reframing as what a clinician records when a patient discloses use.</w:t>
      </w:r>
    </w:p>
    <w:p>
      <w:pPr>
        <w:pStyle w:val="Compact"/>
        <w:numPr>
          <w:ilvl w:val="0"/>
          <w:numId w:val="1003"/>
        </w:numPr>
      </w:pPr>
      <w:r>
        <w:rPr>
          <w:b/>
          <w:bCs/>
        </w:rPr>
        <w:t xml:space="preserve">m07</w:t>
      </w:r>
      <w:r>
        <w:t xml:space="preserve"> </w:t>
      </w:r>
      <w:r>
        <w:t xml:space="preserve">— Peptide Pocket Guide — the two GRADE definition pages disagree: 'How strong is the evidence?' defines D as animal, in-vitro or mechanistic reasoning only and C as including conflicting results; 'Where the GRADE ratings come from' adds 'industry-driven claims' to D. Suggest one definition, mapped explicitly to GRADE's four certainty levels and its five rating-down domains.</w:t>
      </w:r>
    </w:p>
    <w:p>
      <w:pPr>
        <w:pStyle w:val="Compact"/>
        <w:numPr>
          <w:ilvl w:val="0"/>
          <w:numId w:val="1003"/>
        </w:numPr>
      </w:pPr>
      <w:r>
        <w:rPr>
          <w:b/>
          <w:bCs/>
        </w:rPr>
        <w:t xml:space="preserve">m07</w:t>
      </w:r>
      <w:r>
        <w:t xml:space="preserve"> </w:t>
      </w:r>
      <w:r>
        <w:t xml:space="preserve">— Peptide Pocket Guide, jurisdictional snapshot — 'most malpractice policies exclude unapproved-drug claims' carries no citation and could not be verified; the course does not use it.</w:t>
      </w:r>
    </w:p>
    <w:p>
      <w:pPr>
        <w:pStyle w:val="Compact"/>
        <w:numPr>
          <w:ilvl w:val="0"/>
          <w:numId w:val="1003"/>
        </w:numPr>
      </w:pPr>
      <w:r>
        <w:rPr>
          <w:b/>
          <w:bCs/>
        </w:rPr>
        <w:t xml:space="preserve">m07</w:t>
      </w:r>
      <w:r>
        <w:t xml:space="preserve"> </w:t>
      </w:r>
      <w:r>
        <w:t xml:space="preserve">— FDA's July 2026 BPC-157 briefing (fda.gov/media/193343) is primary evidence both guides could cite in their certificate-of-analysis sections: the nominators' certificates were for BPC-157 acetate while the nomination was for the free base, publicly available BPC-157 certificates mostly report purity alone with no impurity limits, and the nominator's certificate reported no endotoxin test. The same document cites a single small exploratory trial in ulcerative colitis reported only as a meeting abstract.</w:t>
      </w:r>
    </w:p>
    <w:p>
      <w:pPr>
        <w:pStyle w:val="Compact"/>
        <w:numPr>
          <w:ilvl w:val="0"/>
          <w:numId w:val="1003"/>
        </w:numPr>
      </w:pPr>
      <w:r>
        <w:rPr>
          <w:b/>
          <w:bCs/>
        </w:rPr>
        <w:t xml:space="preserve">m07</w:t>
      </w:r>
      <w:r>
        <w:t xml:space="preserve"> </w:t>
      </w:r>
      <w:r>
        <w:t xml:space="preserve">— Not in either guide, worth adding — the Core GRADE series (BMJ 2025) as the current GRADE reference; the Cochrane review of industry sponsorship and research outcome (Lundh 2017); FDA's endotoxin Q&amp;A guidance (Edition 2, March 2026) for the dose-and-route basis of endotoxin limits; FDA's 'Is It a Cosmetic, a Drug, or Both?' page, whose drug-claim examples include 'regenerate cells'; and Popławska 2019 (an undocumented GHRP-2 analogue found in a seized vial by high-resolution MS).</w:t>
      </w:r>
    </w:p>
    <w:p>
      <w:r>
        <w:pict>
          <v:rect style="width:0;height:1.5pt" o:hralign="center" o:hrstd="t" o:hr="t"/>
        </w:pict>
      </w:r>
    </w:p>
    <w:bookmarkEnd w:id="12"/>
    <w:bookmarkEnd w:id="13"/>
    <w:bookmarkStart w:id="37" w:name="X459c6597c4fbe9c7ad98338183a8218fee06083"/>
    <w:p>
      <w:pPr>
        <w:pStyle w:val="Heading1"/>
      </w:pPr>
      <w:r>
        <w:t xml:space="preserve">Hormones and Peptides for Skin · Module 01 — review draft</w:t>
      </w:r>
    </w:p>
    <w:p>
      <w:pPr>
        <w:pStyle w:val="FirstParagraph"/>
      </w:pPr>
      <w:r>
        <w:rPr>
          <w:i/>
          <w:iCs/>
        </w:rPr>
        <w:t xml:space="preserve">ai_draft · authored 2026-09-24 · 19 moments, ~25 min + module check · 34 sources · 20 claims</w:t>
      </w:r>
    </w:p>
    <w:p>
      <w:pPr>
        <w:pStyle w:val="BodyText"/>
      </w:pPr>
      <w:r>
        <w:t xml:space="preserve">Every factual sentence traces to the graded registry (</w:t>
      </w:r>
      <w:r>
        <w:rPr>
          <w:rStyle w:val="VerbatimChar"/>
        </w:rPr>
        <w:t xml:space="preserve">citations/m01.md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21" w:name="X64d27931d5b12c697a263d4c760fea076cb2154"/>
    <w:p>
      <w:pPr>
        <w:pStyle w:val="Heading2"/>
      </w:pPr>
      <w:r>
        <w:t xml:space="preserve">Lesson 1.1 · The skin as a steroidogenic, endocrine organ</w:t>
      </w:r>
    </w:p>
    <w:bookmarkStart w:id="14" w:name="the-skin-makes-its-own-hormones."/>
    <w:p>
      <w:pPr>
        <w:pStyle w:val="Heading3"/>
      </w:pPr>
      <w:r>
        <w:t xml:space="preserve">01 / 19 · The skin makes its own hormones.</w:t>
      </w:r>
    </w:p>
    <w:p>
      <w:pPr>
        <w:pStyle w:val="FirstParagraph"/>
      </w:pPr>
      <w:r>
        <w:rPr>
          <w:i/>
          <w:iCs/>
        </w:rPr>
        <w:t xml:space="preserve">Hormones and Peptides for Skin · Module 01 · title</w:t>
      </w:r>
    </w:p>
    <w:p>
      <w:pPr>
        <w:pStyle w:val="BodyText"/>
      </w:pPr>
      <w:r>
        <w:t xml:space="preserve">This course starts with physiology, because every later question about a hormone or peptide for skin rests on it. 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Compact"/>
        <w:numPr>
          <w:ilvl w:val="0"/>
          <w:numId w:val="1004"/>
        </w:numPr>
      </w:pPr>
      <w:r>
        <w:t xml:space="preserve">1.1 The skin as a steroidogenic, endocrine organ</w:t>
      </w:r>
    </w:p>
    <w:p>
      <w:pPr>
        <w:pStyle w:val="Compact"/>
        <w:numPr>
          <w:ilvl w:val="0"/>
          <w:numId w:val="1004"/>
        </w:numPr>
      </w:pPr>
      <w:r>
        <w:t xml:space="preserve">1.2 Receptor maps: what a cell atlas can and cannot show</w:t>
      </w:r>
    </w:p>
    <w:p>
      <w:pPr>
        <w:pStyle w:val="Compact"/>
        <w:numPr>
          <w:ilvl w:val="0"/>
          <w:numId w:val="1004"/>
        </w:numPr>
      </w:pPr>
      <w:r>
        <w:t xml:space="preserve">1.3 Senescence, the SASP and the ageing dermis</w:t>
      </w:r>
    </w:p>
    <w:bookmarkEnd w:id="14"/>
    <w:bookmarkStart w:id="15" w:name="how-will-you-use-this-course"/>
    <w:p>
      <w:pPr>
        <w:pStyle w:val="Heading3"/>
      </w:pPr>
      <w:r>
        <w:t xml:space="preserve">02 / 19 · How will you use this course?</w:t>
      </w:r>
    </w:p>
    <w:p>
      <w:pPr>
        <w:pStyle w:val="FirstParagraph"/>
      </w:pPr>
      <w:r>
        <w:rPr>
          <w:i/>
          <w:iCs/>
        </w:rPr>
        <w:t xml:space="preserve">Set your path · reflection</w:t>
      </w:r>
    </w:p>
    <w:p>
      <w:pPr>
        <w:pStyle w:val="BodyText"/>
      </w:pPr>
      <w:r>
        <w:t xml:space="preserve">The evidence, grades and regulatory facts are the same for everyone. What changes,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5"/>
    <w:bookmarkStart w:id="16" w:name="four-units-one-circuit."/>
    <w:p>
      <w:pPr>
        <w:pStyle w:val="Heading3"/>
      </w:pPr>
      <w:r>
        <w:t xml:space="preserve">03 / 19 · Four units, one circuit.</w:t>
      </w:r>
    </w:p>
    <w:p>
      <w:pPr>
        <w:pStyle w:val="FirstParagraph"/>
      </w:pPr>
      <w:r>
        <w:rPr>
          <w:i/>
          <w:iCs/>
        </w:rPr>
        <w:t xml:space="preserve">Lesson 1.1 · Concept · audio</w:t>
      </w:r>
    </w:p>
    <w:p>
      <w:pPr>
        <w:pStyle w:val="BodyText"/>
      </w:pPr>
      <w:r>
        <w:t xml:space="preserve">Recent reviews describe the skin as a neuro-immuno-endocrine organ built from four units: epidermal, dermal, hypodermal and adnexal (hair follicles and glands). Each holds cells that can make hormones and mount an immune response. They signal to neighbouring cells, through sensory nerves, and through the blood. Most of this picture comes from cell, tissue and animal studies.</w:t>
      </w:r>
    </w:p>
    <w:p>
      <w:pPr>
        <w:pStyle w:val="Compact"/>
        <w:numPr>
          <w:ilvl w:val="0"/>
          <w:numId w:val="1005"/>
        </w:numPr>
      </w:pPr>
      <w:r>
        <w:t xml:space="preserve">Four units: epidermal, dermal, hypodermal, adnexal</w:t>
      </w:r>
    </w:p>
    <w:p>
      <w:pPr>
        <w:pStyle w:val="Compact"/>
        <w:numPr>
          <w:ilvl w:val="0"/>
          <w:numId w:val="1005"/>
        </w:numPr>
      </w:pPr>
      <w:r>
        <w:t xml:space="preserve">Three routes: neighbour to neighbour, nerve, bloodstream</w:t>
      </w:r>
    </w:p>
    <w:p>
      <w:pPr>
        <w:pStyle w:val="Compact"/>
        <w:numPr>
          <w:ilvl w:val="0"/>
          <w:numId w:val="1005"/>
        </w:numPr>
      </w:pPr>
      <w:r>
        <w:t xml:space="preserve">Mechanism register: cell, tissue and animal work</w:t>
      </w:r>
    </w:p>
    <w:p>
      <w:pPr>
        <w:pStyle w:val="FirstParagraph"/>
      </w:pPr>
      <w:r>
        <w:t xml:space="preserve">Narration script</w:t>
      </w:r>
    </w:p>
    <w:p>
      <w:pPr>
        <w:pStyle w:val="BodyText"/>
      </w:pPr>
      <w:r>
        <w:t xml:space="preserve">Think of the skin as a sensing organ with its own hormone supply. Researchers who study it describe four units, epidermal, dermal, hypodermal and adnexal, the last meaning hair follicles and glands. Each unit holds cells that can make hormones and mount an immune response, such as keratinocytes, fibroblasts, sebocytes, fat cells and mast cells. Signals move three ways. Neighbouring cells talk directly, sensory nerves carry messages in and out, and some products enter the blood and reach distant organs. Keep one distinction in view for the whole module. A signal that is made and used inside the skin is a local loop. A hormone that arrives from the blood, or leaves the skin for the rest of the body, is systemic signalling. Much of what follows is mechanism, drawn from cell, tissue and animal studies, and each finding will be labelled that way.</w:t>
      </w:r>
    </w:p>
    <w:p>
      <w:pPr>
        <w:pStyle w:val="BodyText"/>
      </w:pPr>
      <w:r>
        <w:t xml:space="preserve">Sources: Slominski RM 2025 · Slominski A 2000 · Zouboulis CC 2004 · Roosterman D 2006 · Aesthetic &amp; Regenerative Endocrinology — A Clinician's Pocket Guide 2026</w:t>
      </w:r>
    </w:p>
    <w:bookmarkEnd w:id="16"/>
    <w:bookmarkStart w:id="17" w:name="a-steroid-factory-with-local-axes."/>
    <w:p>
      <w:pPr>
        <w:pStyle w:val="Heading3"/>
      </w:pPr>
      <w:r>
        <w:t xml:space="preserve">04 / 19 · A steroid factory with local axes.</w:t>
      </w:r>
    </w:p>
    <w:p>
      <w:pPr>
        <w:pStyle w:val="FirstParagraph"/>
      </w:pPr>
      <w:r>
        <w:rPr>
          <w:i/>
          <w:iCs/>
        </w:rPr>
        <w:t xml:space="preserve">Mechanism · tool</w:t>
      </w:r>
    </w:p>
    <w:p>
      <w:pPr>
        <w:pStyle w:val="BodyText"/>
      </w:pPr>
      <w:r>
        <w:t xml:space="preserve">Skin cells carry the enzymes to build steroids from cholesterol or to activate precursors arriving in the blood, and they run shortened copies of the body's central hormone axes. Each row names the evidence it rests on, because most of it comes from cells, tissue kept alive outside the body, or mice.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Steroid synthesis</w:t>
            </w:r>
          </w:p>
        </w:tc>
        <w:tc>
          <w:tcPr/>
          <w:p>
            <w:pPr>
              <w:pStyle w:val="Compact"/>
            </w:pPr>
            <w:r>
              <w:t xml:space="preserve">Cholesterol to cortisol, androgens and estrogens</w:t>
            </w:r>
          </w:p>
        </w:tc>
        <w:tc>
          <w:tcPr/>
          <w:p>
            <w:pPr>
              <w:pStyle w:val="Compact"/>
            </w:pPr>
            <w:r>
              <w:t xml:space="preserve">CYP11A1 starts the chain; 11β-HSD1, 5α-reductase and aromatase activate precursors from the blood. Cell and tissue studies.</w:t>
            </w:r>
          </w:p>
        </w:tc>
      </w:tr>
      <w:tr>
        <w:tc>
          <w:tcPr/>
          <w:p>
            <w:pPr>
              <w:pStyle w:val="Compact"/>
            </w:pPr>
            <w:r>
              <w:t xml:space="preserve">HPA-like loop</w:t>
            </w:r>
          </w:p>
        </w:tc>
        <w:tc>
          <w:tcPr/>
          <w:p>
            <w:pPr>
              <w:pStyle w:val="Compact"/>
            </w:pPr>
            <w:r>
              <w:t xml:space="preserve">CRH → ACTH → cortisol, with feedback</w:t>
            </w:r>
          </w:p>
        </w:tc>
        <w:tc>
          <w:tcPr/>
          <w:p>
            <w:pPr>
              <w:pStyle w:val="Compact"/>
            </w:pPr>
            <w:r>
              <w:t xml:space="preserve">Human scalp follicles kept alive in culture. Ex vivo, human tissue.</w:t>
            </w:r>
          </w:p>
        </w:tc>
      </w:tr>
      <w:tr>
        <w:tc>
          <w:tcPr/>
          <w:p>
            <w:pPr>
              <w:pStyle w:val="Compact"/>
            </w:pPr>
            <w:r>
              <w:t xml:space="preserve">Keratinocyte glucocorticoids</w:t>
            </w:r>
          </w:p>
        </w:tc>
        <w:tc>
          <w:tcPr/>
          <w:p>
            <w:pPr>
              <w:pStyle w:val="Compact"/>
            </w:pPr>
            <w:r>
              <w:t xml:space="preserve">Set local immune tone</w:t>
            </w:r>
          </w:p>
        </w:tc>
        <w:tc>
          <w:tcPr/>
          <w:p>
            <w:pPr>
              <w:pStyle w:val="Compact"/>
            </w:pPr>
            <w:r>
              <w:t xml:space="preserve">Genetic deletion in mouse keratinocytes. Animal evidence.</w:t>
            </w:r>
          </w:p>
        </w:tc>
      </w:tr>
      <w:tr>
        <w:tc>
          <w:tcPr/>
          <w:p>
            <w:pPr>
              <w:pStyle w:val="Compact"/>
            </w:pPr>
            <w:r>
              <w:t xml:space="preserve">Thyroid-like loop</w:t>
            </w:r>
          </w:p>
        </w:tc>
        <w:tc>
          <w:tcPr/>
          <w:p>
            <w:pPr>
              <w:pStyle w:val="Compact"/>
            </w:pPr>
            <w:r>
              <w:t xml:space="preserve">TRH, TSH and deiodinases → T3</w:t>
            </w:r>
          </w:p>
        </w:tc>
        <w:tc>
          <w:tcPr/>
          <w:p>
            <w:pPr>
              <w:pStyle w:val="Compact"/>
            </w:pPr>
            <w:r>
              <w:t xml:space="preserve">Keratinocyte growth and the hair cycle. Mostly mouse models.</w:t>
            </w:r>
          </w:p>
        </w:tc>
      </w:tr>
      <w:tr>
        <w:tc>
          <w:tcPr/>
          <w:p>
            <w:pPr>
              <w:pStyle w:val="Compact"/>
            </w:pPr>
            <w:r>
              <w:t xml:space="preserve">Somatotropic loop</w:t>
            </w:r>
          </w:p>
        </w:tc>
        <w:tc>
          <w:tcPr/>
          <w:p>
            <w:pPr>
              <w:pStyle w:val="Compact"/>
            </w:pPr>
            <w:r>
              <w:t xml:space="preserve">GH and IGF-1</w:t>
            </w:r>
          </w:p>
        </w:tc>
        <w:tc>
          <w:tcPr/>
          <w:p>
            <w:pPr>
              <w:pStyle w:val="Compact"/>
            </w:pPr>
            <w:r>
              <w:t xml:space="preserve">Human hair follicles, ex vivo.</w:t>
            </w:r>
          </w:p>
        </w:tc>
      </w:tr>
      <w:tr>
        <w:tc>
          <w:tcPr/>
          <w:p>
            <w:pPr>
              <w:pStyle w:val="Compact"/>
            </w:pPr>
            <w:r>
              <w:t xml:space="preserve">Melanocortins</w:t>
            </w:r>
          </w:p>
        </w:tc>
        <w:tc>
          <w:tcPr/>
          <w:p>
            <w:pPr>
              <w:pStyle w:val="Compact"/>
            </w:pPr>
            <w:r>
              <w:t xml:space="preserve">POMC → α-MSH, ACTH, β-endorphin</w:t>
            </w:r>
          </w:p>
        </w:tc>
        <w:tc>
          <w:tcPr/>
          <w:p>
            <w:pPr>
              <w:pStyle w:val="Compact"/>
            </w:pPr>
            <w:r>
              <w:t xml:space="preserve">Pigment, barrier and local immune restraint. Module 05 returns to this.</w:t>
            </w:r>
          </w:p>
        </w:tc>
      </w:tr>
    </w:tbl>
    <w:p>
      <w:pPr>
        <w:pStyle w:val="BodyText"/>
      </w:pPr>
      <w:r>
        <w:rPr>
          <w:b/>
          <w:bCs/>
        </w:rPr>
        <w:t xml:space="preserve">Callout:</w:t>
      </w:r>
      <w:r>
        <w:t xml:space="preserve"> </w:t>
      </w:r>
      <w:r>
        <w:t xml:space="preserve">A local axis explains biology. The Aesthetic &amp; Regenerative Endocrinology guide calls it foundation, not a dosing rationale.</w:t>
      </w:r>
    </w:p>
    <w:p>
      <w:pPr>
        <w:pStyle w:val="BodyText"/>
      </w:pPr>
      <w:r>
        <w:t xml:space="preserve">Sources: Slominski A 2013 · Zouboulis CC 2004 · Ito N 2005 · Phan TS 2021 · Mancino G 2021 · Horesh EJ 2023 · Slominski A 2000 · Aesthetic &amp; Regenerative Endocrinology — A Clinician's Pocket Guide 2026</w:t>
      </w:r>
    </w:p>
    <w:bookmarkEnd w:id="17"/>
    <w:bookmarkStart w:id="18" w:name="three-directions-of-traffic."/>
    <w:p>
      <w:pPr>
        <w:pStyle w:val="Heading3"/>
      </w:pPr>
      <w:r>
        <w:t xml:space="preserve">05 / 19 · Three directions of traffic.</w:t>
      </w:r>
    </w:p>
    <w:p>
      <w:pPr>
        <w:pStyle w:val="FirstParagraph"/>
      </w:pPr>
      <w:r>
        <w:rPr>
          <w:i/>
          <w:iCs/>
        </w:rPr>
        <w:t xml:space="preserve">Local or systemic · tool</w:t>
      </w:r>
    </w:p>
    <w:p>
      <w:pPr>
        <w:pStyle w:val="BodyText"/>
      </w:pPr>
      <w:r>
        <w:t xml:space="preserve">Hormone signals in skin run in three directions. Some are made and used in the same patch of skin. Some arrive from the blood. A few leave the skin and act on the rest of the body. Knowing which one you are looking at decides whether the answer lies in the skin or in a systemic assessment.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Local loop</w:t>
            </w:r>
          </w:p>
        </w:tc>
        <w:tc>
          <w:tcPr/>
          <w:p>
            <w:pPr>
              <w:pStyle w:val="Compact"/>
            </w:pPr>
            <w:r>
              <w:t xml:space="preserve">Made and used in the skin</w:t>
            </w:r>
          </w:p>
        </w:tc>
        <w:tc>
          <w:tcPr/>
          <w:p>
            <w:pPr>
              <w:pStyle w:val="Compact"/>
            </w:pPr>
            <w:r>
              <w:t xml:space="preserve">Between neighbouring cells, back on the same cell, or inside it</w:t>
            </w:r>
          </w:p>
        </w:tc>
      </w:tr>
      <w:tr>
        <w:tc>
          <w:tcPr/>
          <w:p>
            <w:pPr>
              <w:pStyle w:val="Compact"/>
            </w:pPr>
            <w:r>
              <w:t xml:space="preserve">Body to skin</w:t>
            </w:r>
          </w:p>
        </w:tc>
        <w:tc>
          <w:tcPr/>
          <w:p>
            <w:pPr>
              <w:pStyle w:val="Compact"/>
            </w:pPr>
            <w:r>
              <w:t xml:space="preserve">A circulating hormone acting on skin</w:t>
            </w:r>
          </w:p>
        </w:tc>
        <w:tc>
          <w:tcPr/>
          <w:p>
            <w:pPr>
              <w:pStyle w:val="Compact"/>
            </w:pPr>
            <w:r>
              <w:t xml:space="preserve">The skin finding can be the visible sign of a systemic disorder</w:t>
            </w:r>
          </w:p>
        </w:tc>
      </w:tr>
      <w:tr>
        <w:tc>
          <w:tcPr/>
          <w:p>
            <w:pPr>
              <w:pStyle w:val="Compact"/>
            </w:pPr>
            <w:r>
              <w:t xml:space="preserve">Skin to body</w:t>
            </w:r>
          </w:p>
        </w:tc>
        <w:tc>
          <w:tcPr/>
          <w:p>
            <w:pPr>
              <w:pStyle w:val="Compact"/>
            </w:pPr>
            <w:r>
              <w:t xml:space="preserve">A skin product entering the circulation</w:t>
            </w:r>
          </w:p>
        </w:tc>
        <w:tc>
          <w:tcPr/>
          <w:p>
            <w:pPr>
              <w:pStyle w:val="Compact"/>
            </w:pPr>
            <w:r>
              <w:t xml:space="preserve">The skin acting as an endocrine gland for other organs</w:t>
            </w:r>
          </w:p>
        </w:tc>
      </w:tr>
    </w:tbl>
    <w:p>
      <w:pPr>
        <w:pStyle w:val="BodyText"/>
      </w:pPr>
      <w:r>
        <w:rPr>
          <w:b/>
          <w:bCs/>
        </w:rPr>
        <w:t xml:space="preserve">Callout:</w:t>
      </w:r>
      <w:r>
        <w:t xml:space="preserve"> </w:t>
      </w:r>
      <w:r>
        <w:t xml:space="preserve">Before you treat a skin finding, decide which direction it runs.</w:t>
      </w:r>
    </w:p>
    <w:p>
      <w:pPr>
        <w:pStyle w:val="BodyText"/>
      </w:pPr>
      <w:r>
        <w:rPr>
          <w:b/>
          <w:bCs/>
        </w:rPr>
        <w:t xml:space="preserve">Exercise (quickfire) · Which direction?</w:t>
      </w:r>
      <w:r>
        <w:t xml:space="preserve"> </w:t>
      </w:r>
      <w:r>
        <w:t xml:space="preserve">— One finding at a time: which way does the signal run?</w:t>
      </w:r>
      <w:r>
        <w:t xml:space="preserve"> </w:t>
      </w:r>
      <w:r>
        <w:t xml:space="preserve">- Keratinocytes make cortisol that restrains immune cells in the same patch of skin →</w:t>
      </w:r>
      <w:r>
        <w:t xml:space="preserve"> </w:t>
      </w:r>
      <w:r>
        <w:rPr>
          <w:b/>
          <w:bCs/>
        </w:rPr>
        <w:t xml:space="preserve">Local loop</w:t>
      </w:r>
      <w:r>
        <w:t xml:space="preserve"> </w:t>
      </w:r>
      <w:r>
        <w:t xml:space="preserve">—</w:t>
      </w:r>
      <w:r>
        <w:t xml:space="preserve"> </w:t>
      </w:r>
      <w:r>
        <w:rPr>
          <w:i/>
          <w:iCs/>
        </w:rPr>
        <w:t xml:space="preserve">Local loop. Made and used where it is produced; the functional proof comes from mice that cannot make it in keratinocytes and develop skin inflammation.</w:t>
      </w:r>
      <w:r>
        <w:t xml:space="preserve"> </w:t>
      </w:r>
      <w:r>
        <w:t xml:space="preserve">- UVB turns 7-dehydrocholesterol into vitamin D3, which the blood carries to liver and kidney →</w:t>
      </w:r>
      <w:r>
        <w:t xml:space="preserve"> </w:t>
      </w:r>
      <w:r>
        <w:rPr>
          <w:b/>
          <w:bCs/>
        </w:rPr>
        <w:t xml:space="preserve">Skin to body</w:t>
      </w:r>
      <w:r>
        <w:t xml:space="preserve"> </w:t>
      </w:r>
      <w:r>
        <w:t xml:space="preserve">—</w:t>
      </w:r>
      <w:r>
        <w:t xml:space="preserve"> </w:t>
      </w:r>
      <w:r>
        <w:rPr>
          <w:i/>
          <w:iCs/>
        </w:rPr>
        <w:t xml:space="preserve">Skin to body. Vitamin D3 made in the skin is released into the circulation and activated elsewhere. Established human physiology.</w:t>
      </w:r>
      <w:r>
        <w:t xml:space="preserve"> </w:t>
      </w:r>
      <w:r>
        <w:t xml:space="preserve">- Violaceous striae, thin skin and easy bruising in Cushing syndrome →</w:t>
      </w:r>
      <w:r>
        <w:t xml:space="preserve"> </w:t>
      </w:r>
      <w:r>
        <w:rPr>
          <w:b/>
          <w:bCs/>
        </w:rPr>
        <w:t xml:space="preserve">Body to skin</w:t>
      </w:r>
      <w:r>
        <w:t xml:space="preserve"> </w:t>
      </w:r>
      <w:r>
        <w:t xml:space="preserve">—</w:t>
      </w:r>
      <w:r>
        <w:t xml:space="preserve"> </w:t>
      </w:r>
      <w:r>
        <w:rPr>
          <w:i/>
          <w:iCs/>
        </w:rPr>
        <w:t xml:space="preserve">Body to skin. Systemic cortisol excess acting on the dermis. The Aesthetic &amp; Regenerative Endocrinology guide lists suspected Cushing syndrome as a reason to refer promptly.</w:t>
      </w:r>
      <w:r>
        <w:t xml:space="preserve"> </w:t>
      </w:r>
      <w:r>
        <w:t xml:space="preserve">- Scalp hair follicles kept alive in culture secrete cortisol, then switch off their own CRH →</w:t>
      </w:r>
      <w:r>
        <w:t xml:space="preserve"> </w:t>
      </w:r>
      <w:r>
        <w:rPr>
          <w:b/>
          <w:bCs/>
        </w:rPr>
        <w:t xml:space="preserve">Local loop</w:t>
      </w:r>
      <w:r>
        <w:t xml:space="preserve"> </w:t>
      </w:r>
      <w:r>
        <w:t xml:space="preserve">—</w:t>
      </w:r>
      <w:r>
        <w:t xml:space="preserve"> </w:t>
      </w:r>
      <w:r>
        <w:rPr>
          <w:i/>
          <w:iCs/>
        </w:rPr>
        <w:t xml:space="preserve">Local loop, with its own feedback, running with no blood supply or nerves attached. Human tissue, ex vivo.</w:t>
      </w:r>
      <w:r>
        <w:t xml:space="preserve"> </w:t>
      </w:r>
      <w:r>
        <w:t xml:space="preserve">- Skin converts circulating precursors into androgens and estrogens that add to the body's supply →</w:t>
      </w:r>
      <w:r>
        <w:t xml:space="preserve"> </w:t>
      </w:r>
      <w:r>
        <w:rPr>
          <w:b/>
          <w:bCs/>
        </w:rPr>
        <w:t xml:space="preserve">Skin to body</w:t>
      </w:r>
      <w:r>
        <w:t xml:space="preserve"> </w:t>
      </w:r>
      <w:r>
        <w:t xml:space="preserve">—</w:t>
      </w:r>
      <w:r>
        <w:t xml:space="preserve"> </w:t>
      </w:r>
      <w:r>
        <w:rPr>
          <w:i/>
          <w:iCs/>
        </w:rPr>
        <w:t xml:space="preserve">Skin to body. Reviews describe a skin contribution to circulating sex steroids, more so in older people; the evidence is mainly biochemical.</w:t>
      </w:r>
      <w:r>
        <w:t xml:space="preserve"> </w:t>
      </w:r>
      <w:r>
        <w:t xml:space="preserve">- Dry, coarse skin and myxoedema in hypothyroidism →</w:t>
      </w:r>
      <w:r>
        <w:t xml:space="preserve"> </w:t>
      </w:r>
      <w:r>
        <w:rPr>
          <w:b/>
          <w:bCs/>
        </w:rPr>
        <w:t xml:space="preserve">Body to skin</w:t>
      </w:r>
      <w:r>
        <w:t xml:space="preserve"> </w:t>
      </w:r>
      <w:r>
        <w:t xml:space="preserve">—</w:t>
      </w:r>
      <w:r>
        <w:t xml:space="preserve"> </w:t>
      </w:r>
      <w:r>
        <w:rPr>
          <w:i/>
          <w:iCs/>
        </w:rPr>
        <w:t xml:space="preserve">Body to skin. Circulating thyroid hormone sets epidermal turnover and dermal matrix; the skin signs track the systemic deficit.</w:t>
      </w:r>
      <w:r>
        <w:t xml:space="preserve"> </w:t>
      </w:r>
      <w:r>
        <w:t xml:space="preserve">- Scalp follicles convert testosterone to DHT, which shrinks susceptible follicles →</w:t>
      </w:r>
      <w:r>
        <w:t xml:space="preserve"> </w:t>
      </w:r>
      <w:r>
        <w:rPr>
          <w:b/>
          <w:bCs/>
        </w:rPr>
        <w:t xml:space="preserve">Local loop</w:t>
      </w:r>
      <w:r>
        <w:t xml:space="preserve"> </w:t>
      </w:r>
      <w:r>
        <w:t xml:space="preserve">—</w:t>
      </w:r>
      <w:r>
        <w:t xml:space="preserve"> </w:t>
      </w:r>
      <w:r>
        <w:rPr>
          <w:i/>
          <w:iCs/>
        </w:rPr>
        <w:t xml:space="preserve">Local loop. 5α-reductase in the pilosebaceous unit makes DHT where it acts; the guide names it the substrate of acne, androgenetic alopecia and hirsutism.</w:t>
      </w:r>
    </w:p>
    <w:p>
      <w:pPr>
        <w:pStyle w:val="BodyText"/>
      </w:pPr>
      <w:r>
        <w:t xml:space="preserve">Sources: Slominski RM 2025 · Phan TS 2021 · Ito N 2005 · Holick MF 1980 · Bikle DD 2014 · Slominski A 2013 · Zouboulis CC 2004 · Safer JD 2011 · Aesthetic &amp; Regenerative Endocrinology — A Clinician's Pocket Guide 2026</w:t>
      </w:r>
    </w:p>
    <w:bookmarkEnd w:id="18"/>
    <w:bookmarkStart w:id="19" w:name="read-the-skin-before-the-serum."/>
    <w:p>
      <w:pPr>
        <w:pStyle w:val="Heading3"/>
      </w:pPr>
      <w:r>
        <w:t xml:space="preserve">06 / 19 · Read the skin before the serum.</w:t>
      </w:r>
    </w:p>
    <w:p>
      <w:pPr>
        <w:pStyle w:val="FirstParagraph"/>
      </w:pPr>
      <w:r>
        <w:rPr>
          <w:i/>
          <w:iCs/>
        </w:rPr>
        <w:t xml:space="preserve">What changes in practice · audio</w:t>
      </w:r>
    </w:p>
    <w:p>
      <w:pPr>
        <w:pStyle w:val="BodyText"/>
      </w:pPr>
      <w:r>
        <w:t xml:space="preserve">The Aesthetic &amp; Regenerative Endocrinology guide treats the aesthetic exam as a systemic screen. Sudden thinning and easy bruising suggest cortisol excess; coarse, dry, cool skin suggests hypothyroidism; new acanthosis nigricans flags insulin resistance. It lists violaceous striae with new hypertension or diabetes, and rapidly progressive virilisation, among reasons to refer promptly to endocrinology. Local skin biology explains how skin behaves; it does not justify prescribing a hormone.</w:t>
      </w:r>
    </w:p>
    <w:p>
      <w:pPr>
        <w:pStyle w:val="Compact"/>
        <w:numPr>
          <w:ilvl w:val="0"/>
          <w:numId w:val="1006"/>
        </w:numPr>
      </w:pPr>
      <w:r>
        <w:t xml:space="preserve">A skin sign can be the first sign of a systemic disorder</w:t>
      </w:r>
    </w:p>
    <w:p>
      <w:pPr>
        <w:pStyle w:val="Compact"/>
        <w:numPr>
          <w:ilvl w:val="0"/>
          <w:numId w:val="1006"/>
        </w:numPr>
      </w:pPr>
      <w:r>
        <w:t xml:space="preserve">Some patterns need prompt endocrine referral</w:t>
      </w:r>
    </w:p>
    <w:p>
      <w:pPr>
        <w:pStyle w:val="Compact"/>
        <w:numPr>
          <w:ilvl w:val="0"/>
          <w:numId w:val="1006"/>
        </w:numPr>
      </w:pPr>
      <w:r>
        <w:t xml:space="preserve">Local loops explain biology; they do not justify treatment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skin pattern suggests a systemic disorder, assess or refer before any cosmetic plan, and record that you considered it. Local skin biology is no basis for prescribing a hormone for appearance.</w:t>
      </w:r>
      <w:r>
        <w:t xml:space="preserve"> </w:t>
      </w:r>
      <w:r>
        <w:t xml:space="preserve">-</w:t>
      </w:r>
      <w:r>
        <w:t xml:space="preserve"> </w:t>
      </w:r>
      <w:r>
        <w:rPr>
          <w:i/>
          <w:iCs/>
        </w:rPr>
        <w:t xml:space="preserve">Clinical staff:</w:t>
      </w:r>
      <w:r>
        <w:t xml:space="preserve"> </w:t>
      </w:r>
      <w:r>
        <w:t xml:space="preserve">If you see new striae, rapid bruising, sudden hair change or signs of virilisation, record them and raise them with the prescriber before the next treatment.</w:t>
      </w:r>
      <w:r>
        <w:t xml:space="preserve"> </w:t>
      </w:r>
      <w:r>
        <w:t xml:space="preserve">-</w:t>
      </w:r>
      <w:r>
        <w:t xml:space="preserve"> </w:t>
      </w:r>
      <w:r>
        <w:rPr>
          <w:i/>
          <w:iCs/>
        </w:rPr>
        <w:t xml:space="preserve">Advisor:</w:t>
      </w:r>
      <w:r>
        <w:t xml:space="preserve"> </w:t>
      </w:r>
      <w:r>
        <w:t xml:space="preserve">If a client's skin change comes with new systemic symptoms, suggest they see a prescriber before trying another product. A serum cannot answer a systemic question.</w:t>
      </w:r>
    </w:p>
    <w:p>
      <w:pPr>
        <w:pStyle w:val="BodyText"/>
      </w:pPr>
      <w:r>
        <w:t xml:space="preserve">Narration script</w:t>
      </w:r>
    </w:p>
    <w:p>
      <w:pPr>
        <w:pStyle w:val="BodyText"/>
      </w:pPr>
      <w:r>
        <w:t xml:space="preserve">Picture the consultation where a patient asks about thinning, bruising skin. The Aesthetic and Regenerative Endocrinology guide asks you to read that skin as a window on the whole endocrine system before reaching for a serum. Sudden thinning with easy bruising suggests cortisol excess. Coarse, dry, cool skin suggests an underactive thyroid. New acanthosis nigricans points to insulin resistance. The guide lists violaceous striae with new hypertension or diabetes, rapidly progressive virilisation, and signs of an endocrine tumour as reasons to refer promptly to endocrinology. The local loops from the last two moments explain how skin behaves day to day. They are foundation biology, and the guide is explicit that they are no rationale for dosing anyone with a hormone. Whatever your role, a systemic pattern in the skin gets a systemic answer.</w:t>
      </w:r>
    </w:p>
    <w:p>
      <w:pPr>
        <w:pStyle w:val="BodyText"/>
      </w:pPr>
      <w:r>
        <w:t xml:space="preserve">Sources: Aesthetic &amp; Regenerative Endocrinology — A Clinician's Pocket Guide 2026 · Safer JD 2011 · Slominski A 2013</w:t>
      </w:r>
    </w:p>
    <w:bookmarkEnd w:id="19"/>
    <w:bookmarkStart w:id="20" w:name="my-skin-makes-its-own-cortisol."/>
    <w:p>
      <w:pPr>
        <w:pStyle w:val="Heading3"/>
      </w:pPr>
      <w:r>
        <w:t xml:space="preserve">07 / 19 · 'My skin makes its own cortisol.'</w:t>
      </w:r>
    </w:p>
    <w:p>
      <w:pPr>
        <w:pStyle w:val="FirstParagraph"/>
      </w:pPr>
      <w:r>
        <w:rPr>
          <w:i/>
          <w:iCs/>
        </w:rPr>
        <w:t xml:space="preserve">Your turn · quiz</w:t>
      </w:r>
    </w:p>
    <w:p>
      <w:pPr>
        <w:pStyle w:val="BodyText"/>
      </w:pPr>
      <w:r>
        <w:t xml:space="preserve">One question to close lesson 1.1.</w:t>
      </w:r>
    </w:p>
    <w:p>
      <w:pPr>
        <w:pStyle w:val="BodyText"/>
      </w:pPr>
      <w:r>
        <w:rPr>
          <w:b/>
          <w:bCs/>
        </w:rPr>
        <w:t xml:space="preserve">Q.</w:t>
      </w:r>
      <w:r>
        <w:t xml:space="preserve"> </w:t>
      </w:r>
      <w:r>
        <w:t xml:space="preserve">Fictional case. A 52-year-old has new thin, easily bruised skin on her forearms, new violaceous striae and newly raised blood pressure. She has read that skin makes its own cortisol and asks whether a cream could calm it. Which reading is right?</w:t>
      </w:r>
      <w:r>
        <w:t xml:space="preserve"> </w:t>
      </w:r>
      <w:r>
        <w:t xml:space="preserve">- ✗ Her skin's own cortisol explains the picture, so the answer is local. —</w:t>
      </w:r>
      <w:r>
        <w:t xml:space="preserve"> </w:t>
      </w:r>
      <w:r>
        <w:rPr>
          <w:i/>
          <w:iCs/>
        </w:rPr>
        <w:t xml:space="preserve">Local skin cortisol tunes immune activity where it is made. It does not explain new striae together with new hypertension.</w:t>
      </w:r>
      <w:r>
        <w:t xml:space="preserve"> </w:t>
      </w:r>
      <w:r>
        <w:t xml:space="preserve">- ✔ The combination is a systemic pattern; the guide lists it as a reason for prompt endocrine referral before any skin treatment. —</w:t>
      </w:r>
      <w:r>
        <w:t xml:space="preserve"> </w:t>
      </w:r>
      <w:r>
        <w:rPr>
          <w:i/>
          <w:iCs/>
        </w:rPr>
        <w:t xml:space="preserve">Correct. Striae, bruising and new hypertension together point to possible systemic cortisol excess: a body-to-skin signal.</w:t>
      </w:r>
      <w:r>
        <w:t xml:space="preserve"> </w:t>
      </w:r>
      <w:r>
        <w:t xml:space="preserve">- ✗ Local and systemic cortisol are interchangeable, so either explanation fits. —</w:t>
      </w:r>
      <w:r>
        <w:t xml:space="preserve"> </w:t>
      </w:r>
      <w:r>
        <w:rPr>
          <w:i/>
          <w:iCs/>
        </w:rPr>
        <w:t xml:space="preserve">Local synthesis acts within the skin and runs its own feedback; a systemic syndrome needs a systemic assessment.</w:t>
      </w:r>
    </w:p>
    <w:bookmarkEnd w:id="20"/>
    <w:bookmarkEnd w:id="21"/>
    <w:bookmarkStart w:id="27" w:name="X163a9157c42eed0dedf14ceb585962490d63980"/>
    <w:p>
      <w:pPr>
        <w:pStyle w:val="Heading2"/>
      </w:pPr>
      <w:r>
        <w:t xml:space="preserve">Lesson 1.2 · The Hormone Cell Atlas: receptor maps and what they prove</w:t>
      </w:r>
    </w:p>
    <w:bookmarkStart w:id="22" w:name="a-map-of-fourteen-million-cells."/>
    <w:p>
      <w:pPr>
        <w:pStyle w:val="Heading3"/>
      </w:pPr>
      <w:r>
        <w:t xml:space="preserve">08 / 19 · A map of fourteen million cells.</w:t>
      </w:r>
    </w:p>
    <w:p>
      <w:pPr>
        <w:pStyle w:val="FirstParagraph"/>
      </w:pPr>
      <w:r>
        <w:rPr>
          <w:i/>
          <w:iCs/>
        </w:rPr>
        <w:t xml:space="preserve">Lesson 1.2 · Concept · audio</w:t>
      </w:r>
    </w:p>
    <w:p>
      <w:pPr>
        <w:pStyle w:val="BodyText"/>
      </w:pPr>
      <w:r>
        <w:t xml:space="preserve">The Hormone Cell Atlas, published in Science in 2026, read the RNA for 379 hormone and receptor genes in about 14 million single cells and nuclei from 47 human tissues, skin among them. From that RNA it predicted which cell types could make a hormone and which could respond to one. It is a map of predicted capacity; it did not measure hormone release.</w:t>
      </w:r>
    </w:p>
    <w:p>
      <w:pPr>
        <w:pStyle w:val="Compact"/>
        <w:numPr>
          <w:ilvl w:val="0"/>
          <w:numId w:val="1007"/>
        </w:numPr>
      </w:pPr>
      <w:r>
        <w:t xml:space="preserve">RNA for 379 hormone and receptor genes</w:t>
      </w:r>
    </w:p>
    <w:p>
      <w:pPr>
        <w:pStyle w:val="Compact"/>
        <w:numPr>
          <w:ilvl w:val="0"/>
          <w:numId w:val="1007"/>
        </w:numPr>
      </w:pPr>
      <w:r>
        <w:t xml:space="preserve">About 14 million cells and nuclei, 47 tissues</w:t>
      </w:r>
    </w:p>
    <w:p>
      <w:pPr>
        <w:pStyle w:val="Compact"/>
        <w:numPr>
          <w:ilvl w:val="0"/>
          <w:numId w:val="1007"/>
        </w:numPr>
      </w:pPr>
      <w:r>
        <w:t xml:space="preserve">Output: predicted producers and receivers</w:t>
      </w:r>
    </w:p>
    <w:p>
      <w:pPr>
        <w:pStyle w:val="FirstParagraph"/>
      </w:pPr>
      <w:r>
        <w:t xml:space="preserve">Narration script</w:t>
      </w:r>
    </w:p>
    <w:p>
      <w:pPr>
        <w:pStyle w:val="BodyText"/>
      </w:pPr>
      <w:r>
        <w:t xml:space="preserve">Fourteen million cells is the scale of the Hormone Cell Atlas, a Cambridge-led study published in Science in 2026. The team read the RNA for 379 hormone and receptor genes in single cells and nuclei from forty-seven human tissues, skin included. From those readings they scored each cell type for its predicted capacity to make or to receive a hormone, and they flagged unexpected sites, such as RNA for the gut hormone secretin in a type of immune cell. The Aesthetic and Regenerative Endocrinology guide uses the atlas to argue that the skin, built from every major cell lineage, is plausibly one of the body's largest distributed signalling networks. The word plausibly matters. Everything in the atlas starts from RNA, and RNA tells you what a cell could make. Whether the cell actually makes and releases the hormone is the question the rest of this lesson answers.</w:t>
      </w:r>
    </w:p>
    <w:p>
      <w:pPr>
        <w:pStyle w:val="BodyText"/>
      </w:pPr>
      <w:r>
        <w:t xml:space="preserve">Sources: Fei L 2026 · Hormone Cell Atlas team (Farooqi and Teichmann groups) 2026 · Aesthetic &amp; Regenerative Endocrinology — A Clinician's Pocket Guide 2026</w:t>
      </w:r>
    </w:p>
    <w:bookmarkEnd w:id="22"/>
    <w:bookmarkStart w:id="23" w:name="prediction-in-the-authors-own-words."/>
    <w:p>
      <w:pPr>
        <w:pStyle w:val="Heading3"/>
      </w:pPr>
      <w:r>
        <w:t xml:space="preserve">09 / 19 · Prediction, in the authors' own words.</w:t>
      </w:r>
    </w:p>
    <w:p>
      <w:pPr>
        <w:pStyle w:val="FirstParagraph"/>
      </w:pPr>
      <w:r>
        <w:rPr>
          <w:i/>
          <w:iCs/>
        </w:rPr>
        <w:t xml:space="preserve">What the atlas is · stat</w:t>
      </w:r>
    </w:p>
    <w:p>
      <w:pPr>
        <w:pStyle w:val="BodyText"/>
      </w:pPr>
      <w:r>
        <w:t xml:space="preserve">The atlas's own portal describes its scores as 'putative and hypothesis-generating'. A few predictions were tested in cells in the paper itself; the rest are left for users to validate. Across biology, the amount of RNA for a gene is often a poor guide to how much protein a cell makes, and protein is still a step short of secretion.</w:t>
      </w:r>
    </w:p>
    <w:p>
      <w:pPr>
        <w:pStyle w:val="BodyText"/>
      </w:pPr>
      <w:r>
        <w:rPr>
          <w:b/>
          <w:bCs/>
        </w:rPr>
        <w:t xml:space="preserve">379</w:t>
      </w:r>
      <w:r>
        <w:t xml:space="preserve"> </w:t>
      </w:r>
      <w:r>
        <w:t xml:space="preserve">— hormone and receptor genes read as RNA, cell by cell (Fei, Huang-Doran et al., Science 2026 · about 14 million cells and nuclei · 47 human tissues)</w:t>
      </w:r>
      <w:r>
        <w:br/>
      </w:r>
      <w:r>
        <w:rPr>
          <w:i/>
          <w:iCs/>
        </w:rPr>
        <w:t xml:space="preserve">Means:</w:t>
      </w:r>
      <w:r>
        <w:t xml:space="preserve"> </w:t>
      </w:r>
      <w:r>
        <w:t xml:space="preserve">The atlas shows which skin cells carry the RNA to make or sense a hormone. That is a well-founded hypothesis about where to look.</w:t>
      </w:r>
      <w:r>
        <w:br/>
      </w:r>
      <w:r>
        <w:rPr>
          <w:i/>
          <w:iCs/>
        </w:rPr>
        <w:t xml:space="preserve">Does not mean:</w:t>
      </w:r>
      <w:r>
        <w:t xml:space="preserve"> </w:t>
      </w:r>
      <w:r>
        <w:t xml:space="preserve">It does not show that a skin cell secretes a hormone, how much, or that the hormone acts there. A receptor gene on the map is not evidence that a product aimed at it works.</w:t>
      </w:r>
    </w:p>
    <w:p>
      <w:pPr>
        <w:pStyle w:val="BodyText"/>
      </w:pPr>
      <w:r>
        <w:t xml:space="preserve">Sources: Fei L 2026 · Hormone Cell Atlas team (Farooqi and Teichmann groups) 2026 · Liu Y 2016 · Aesthetic &amp; Regenerative Endocrinology — A Clinician's Pocket Guide 2026</w:t>
      </w:r>
    </w:p>
    <w:bookmarkEnd w:id="23"/>
    <w:bookmarkStart w:id="24" w:name="transcript-tissue-or-person"/>
    <w:p>
      <w:pPr>
        <w:pStyle w:val="Heading3"/>
      </w:pPr>
      <w:r>
        <w:t xml:space="preserve">10 / 19 · Transcript, tissue or person?</w:t>
      </w:r>
    </w:p>
    <w:p>
      <w:pPr>
        <w:pStyle w:val="FirstParagraph"/>
      </w:pPr>
      <w:r>
        <w:rPr>
          <w:i/>
          <w:iCs/>
        </w:rPr>
        <w:t xml:space="preserve">Sort the evidence · tool</w:t>
      </w:r>
    </w:p>
    <w:p>
      <w:pPr>
        <w:pStyle w:val="BodyText"/>
      </w:pPr>
      <w:r>
        <w:t xml:space="preserve">Findings about skin as an endocrine organ sit on different rungs of the same ladder. Before you see the answers, decide how far up each one reaches.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Transcript</w:t>
            </w:r>
          </w:p>
        </w:tc>
        <w:tc>
          <w:tcPr/>
          <w:p>
            <w:pPr>
              <w:pStyle w:val="Compact"/>
            </w:pPr>
            <w:r>
              <w:t xml:space="preserve">The cell carries the RNA</w:t>
            </w:r>
          </w:p>
        </w:tc>
        <w:tc>
          <w:tcPr/>
          <w:p>
            <w:pPr>
              <w:pStyle w:val="Compact"/>
            </w:pPr>
            <w:r>
              <w:t xml:space="preserve">Single-cell atlases; a prediction to confirm</w:t>
            </w:r>
          </w:p>
        </w:tc>
      </w:tr>
      <w:tr>
        <w:tc>
          <w:tcPr/>
          <w:p>
            <w:pPr>
              <w:pStyle w:val="Compact"/>
            </w:pPr>
            <w:r>
              <w:t xml:space="preserve">Function in tissue or animals</w:t>
            </w:r>
          </w:p>
        </w:tc>
        <w:tc>
          <w:tcPr/>
          <w:p>
            <w:pPr>
              <w:pStyle w:val="Compact"/>
            </w:pPr>
            <w:r>
              <w:t xml:space="preserve">The pathway works</w:t>
            </w:r>
          </w:p>
        </w:tc>
        <w:tc>
          <w:tcPr/>
          <w:p>
            <w:pPr>
              <w:pStyle w:val="Compact"/>
            </w:pPr>
            <w:r>
              <w:t xml:space="preserve">Human tissue kept alive in culture, or animal models</w:t>
            </w:r>
          </w:p>
        </w:tc>
      </w:tr>
      <w:tr>
        <w:tc>
          <w:tcPr/>
          <w:p>
            <w:pPr>
              <w:pStyle w:val="Compact"/>
            </w:pPr>
            <w:r>
              <w:t xml:space="preserve">Human, in vivo</w:t>
            </w:r>
          </w:p>
        </w:tc>
        <w:tc>
          <w:tcPr/>
          <w:p>
            <w:pPr>
              <w:pStyle w:val="Compact"/>
            </w:pPr>
            <w:r>
              <w:t xml:space="preserve">It happens in living people</w:t>
            </w:r>
          </w:p>
        </w:tc>
        <w:tc>
          <w:tcPr/>
          <w:p>
            <w:pPr>
              <w:pStyle w:val="Compact"/>
            </w:pPr>
            <w:r>
              <w:t xml:space="preserve">Measured in people, in the body</w:t>
            </w:r>
          </w:p>
        </w:tc>
      </w:tr>
    </w:tbl>
    <w:p>
      <w:pPr>
        <w:pStyle w:val="BodyText"/>
      </w:pPr>
      <w:r>
        <w:rPr>
          <w:b/>
          <w:bCs/>
        </w:rPr>
        <w:t xml:space="preserve">Callout:</w:t>
      </w:r>
      <w:r>
        <w:t xml:space="preserve"> </w:t>
      </w:r>
      <w:r>
        <w:t xml:space="preserve">Each rung needs the one below it, and advice to a patient needs the top one.</w:t>
      </w:r>
    </w:p>
    <w:p>
      <w:pPr>
        <w:pStyle w:val="BodyText"/>
      </w:pPr>
      <w:r>
        <w:rPr>
          <w:b/>
          <w:bCs/>
        </w:rPr>
        <w:t xml:space="preserve">Exercise (classify) · How far up?</w:t>
      </w:r>
      <w:r>
        <w:t xml:space="preserve"> </w:t>
      </w:r>
      <w:r>
        <w:t xml:space="preserve">— Tap the highest rung each finding reaches.</w:t>
      </w:r>
      <w:r>
        <w:t xml:space="preserve"> </w:t>
      </w:r>
      <w:r>
        <w:t xml:space="preserve">- A skin cell type scores high as a hormone producer in a single-cell RNA atlas →</w:t>
      </w:r>
      <w:r>
        <w:t xml:space="preserve"> </w:t>
      </w:r>
      <w:r>
        <w:rPr>
          <w:b/>
          <w:bCs/>
        </w:rPr>
        <w:t xml:space="preserve">Transcript prediction</w:t>
      </w:r>
      <w:r>
        <w:t xml:space="preserve"> </w:t>
      </w:r>
      <w:r>
        <w:t xml:space="preserve">—</w:t>
      </w:r>
      <w:r>
        <w:t xml:space="preserve"> </w:t>
      </w:r>
      <w:r>
        <w:rPr>
          <w:i/>
          <w:iCs/>
        </w:rPr>
        <w:t xml:space="preserve">Transcript. The score comes from RNA; the atlas's authors call such predictions putative until validated.</w:t>
      </w:r>
      <w:r>
        <w:t xml:space="preserve"> </w:t>
      </w:r>
      <w:r>
        <w:t xml:space="preserve">- Scalp hair follicles kept alive in culture secrete cortisol and switch off their own CRH →</w:t>
      </w:r>
      <w:r>
        <w:t xml:space="preserve"> </w:t>
      </w:r>
      <w:r>
        <w:rPr>
          <w:b/>
          <w:bCs/>
        </w:rPr>
        <w:t xml:space="preserve">Function in tissue or animals</w:t>
      </w:r>
      <w:r>
        <w:t xml:space="preserve"> </w:t>
      </w:r>
      <w:r>
        <w:t xml:space="preserve">—</w:t>
      </w:r>
      <w:r>
        <w:t xml:space="preserve"> </w:t>
      </w:r>
      <w:r>
        <w:rPr>
          <w:i/>
          <w:iCs/>
        </w:rPr>
        <w:t xml:space="preserve">Function in human tissue. The loop works ex vivo; whether it shapes hair growth in a living scalp is a further step.</w:t>
      </w:r>
      <w:r>
        <w:t xml:space="preserve"> </w:t>
      </w:r>
      <w:r>
        <w:t xml:space="preserve">- A brochure says skin 'has receptors for' a hormone, citing an RNA atlas →</w:t>
      </w:r>
      <w:r>
        <w:t xml:space="preserve"> </w:t>
      </w:r>
      <w:r>
        <w:rPr>
          <w:b/>
          <w:bCs/>
        </w:rPr>
        <w:t xml:space="preserve">Transcript prediction</w:t>
      </w:r>
      <w:r>
        <w:t xml:space="preserve"> </w:t>
      </w:r>
      <w:r>
        <w:t xml:space="preserve">—</w:t>
      </w:r>
      <w:r>
        <w:t xml:space="preserve"> </w:t>
      </w:r>
      <w:r>
        <w:rPr>
          <w:i/>
          <w:iCs/>
        </w:rPr>
        <w:t xml:space="preserve">Transcript. A receptor gene on a map is where the question starts, and where this brochure stops.</w:t>
      </w:r>
      <w:r>
        <w:t xml:space="preserve"> </w:t>
      </w:r>
      <w:r>
        <w:t xml:space="preserve">- Mice unable to make glucocorticoids in keratinocytes develop skin inflammation →</w:t>
      </w:r>
      <w:r>
        <w:t xml:space="preserve"> </w:t>
      </w:r>
      <w:r>
        <w:rPr>
          <w:b/>
          <w:bCs/>
        </w:rPr>
        <w:t xml:space="preserve">Function in tissue or animals</w:t>
      </w:r>
      <w:r>
        <w:t xml:space="preserve"> </w:t>
      </w:r>
      <w:r>
        <w:t xml:space="preserve">—</w:t>
      </w:r>
      <w:r>
        <w:t xml:space="preserve"> </w:t>
      </w:r>
      <w:r>
        <w:rPr>
          <w:i/>
          <w:iCs/>
        </w:rPr>
        <w:t xml:space="preserve">Function in animals. Strong evidence that local glucocorticoids matter in mouse skin; in people there is only an association with inflammatory skin disease.</w:t>
      </w:r>
      <w:r>
        <w:t xml:space="preserve"> </w:t>
      </w:r>
      <w:r>
        <w:t xml:space="preserve">- Sunlight on human skin forms vitamin D3 that the blood carries away →</w:t>
      </w:r>
      <w:r>
        <w:t xml:space="preserve"> </w:t>
      </w:r>
      <w:r>
        <w:rPr>
          <w:b/>
          <w:bCs/>
        </w:rPr>
        <w:t xml:space="preserve">Human, in vivo</w:t>
      </w:r>
      <w:r>
        <w:t xml:space="preserve"> </w:t>
      </w:r>
      <w:r>
        <w:t xml:space="preserve">—</w:t>
      </w:r>
      <w:r>
        <w:t xml:space="preserve"> </w:t>
      </w:r>
      <w:r>
        <w:rPr>
          <w:i/>
          <w:iCs/>
        </w:rPr>
        <w:t xml:space="preserve">Human, in vivo. Cutaneous vitamin D3 synthesis and its release into the circulation were shown in human skin and are established physiology.</w:t>
      </w:r>
    </w:p>
    <w:p>
      <w:pPr>
        <w:pStyle w:val="BodyText"/>
      </w:pPr>
      <w:r>
        <w:t xml:space="preserve">Sources: Fei L 2026 · Hormone Cell Atlas team (Farooqi and Teichmann groups) 2026 · Ito N 2005 · Phan TS 2021 · Horesh EJ 2023 · Holick MF 1980 · Bikle DD 2014 · Aesthetic &amp; Regenerative Endocrinology — A Clinician's Pocket Guide 2026</w:t>
      </w:r>
    </w:p>
    <w:bookmarkEnd w:id="24"/>
    <w:bookmarkStart w:id="25" w:name="a-map-to-confirm-then-a-trial."/>
    <w:p>
      <w:pPr>
        <w:pStyle w:val="Heading3"/>
      </w:pPr>
      <w:r>
        <w:t xml:space="preserve">11 / 19 · A map to confirm, then a trial.</w:t>
      </w:r>
    </w:p>
    <w:p>
      <w:pPr>
        <w:pStyle w:val="FirstParagraph"/>
      </w:pPr>
      <w:r>
        <w:rPr>
          <w:i/>
          <w:iCs/>
        </w:rPr>
        <w:t xml:space="preserve">What changes in practice · audio</w:t>
      </w:r>
    </w:p>
    <w:p>
      <w:pPr>
        <w:pStyle w:val="BodyText"/>
      </w:pPr>
      <w:r>
        <w:t xml:space="preserve">Topical and transdermal treatments act through receptors the skin already carries, and the skin's own enzymes change how strongly a hormone acts, so the skin's response need not mirror the dose. A receptor on a map is where an efficacy question starts. The same caution applies to physiology you think you know: the guide says serum vitamin D falls with sunscreen use, yet field trials of daily sunscreen did not lower it.</w:t>
      </w:r>
    </w:p>
    <w:p>
      <w:pPr>
        <w:pStyle w:val="Compact"/>
        <w:numPr>
          <w:ilvl w:val="0"/>
          <w:numId w:val="1008"/>
        </w:numPr>
      </w:pPr>
      <w:r>
        <w:t xml:space="preserve">A receptor on the map is a hypothesis</w:t>
      </w:r>
    </w:p>
    <w:p>
      <w:pPr>
        <w:pStyle w:val="Compact"/>
        <w:numPr>
          <w:ilvl w:val="0"/>
          <w:numId w:val="1008"/>
        </w:numPr>
      </w:pPr>
      <w:r>
        <w:t xml:space="preserve">Local enzymes change potency in skin</w:t>
      </w:r>
    </w:p>
    <w:p>
      <w:pPr>
        <w:pStyle w:val="Compact"/>
        <w:numPr>
          <w:ilvl w:val="0"/>
          <w:numId w:val="1008"/>
        </w:numPr>
      </w:pPr>
      <w:r>
        <w:t xml:space="preserve">Daily-sunscreen field trials did not lower vitamin 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product or protocol is justified by 'skin has receptors for it', ask for the human trial before you prescribe. Assess vitamin D on clinical grounds, and do not advise patients to drop sun protection.</w:t>
      </w:r>
      <w:r>
        <w:t xml:space="preserve"> </w:t>
      </w:r>
      <w:r>
        <w:t xml:space="preserve">-</w:t>
      </w:r>
      <w:r>
        <w:t xml:space="preserve"> </w:t>
      </w:r>
      <w:r>
        <w:rPr>
          <w:i/>
          <w:iCs/>
        </w:rPr>
        <w:t xml:space="preserve">Clinical staff:</w:t>
      </w:r>
      <w:r>
        <w:t xml:space="preserve"> </w:t>
      </w:r>
      <w:r>
        <w:t xml:space="preserve">If a patient says they stopped sunscreen to raise their vitamin D, note it and pass it to the prescriber; the trials do not support stopping.</w:t>
      </w:r>
      <w:r>
        <w:t xml:space="preserve"> </w:t>
      </w:r>
      <w:r>
        <w:t xml:space="preserve">-</w:t>
      </w:r>
      <w:r>
        <w:t xml:space="preserve"> </w:t>
      </w:r>
      <w:r>
        <w:rPr>
          <w:i/>
          <w:iCs/>
        </w:rPr>
        <w:t xml:space="preserve">Advisor:</w:t>
      </w:r>
      <w:r>
        <w:t xml:space="preserve"> </w:t>
      </w:r>
      <w:r>
        <w:t xml:space="preserve">Describe receptor-based product claims as hypotheses unless a human trial backs them, keep sun-protection advice unchanged, and send vitamin D questions to a prescriber.</w:t>
      </w:r>
    </w:p>
    <w:p>
      <w:pPr>
        <w:pStyle w:val="BodyText"/>
      </w:pPr>
      <w:r>
        <w:t xml:space="preserve">Narration script</w:t>
      </w:r>
    </w:p>
    <w:p>
      <w:pPr>
        <w:pStyle w:val="BodyText"/>
      </w:pPr>
      <w:r>
        <w:t xml:space="preserve">Two habits follow from the atlas. The first concerns product claims. Topical and transdermal treatments act through receptors the skin already carries, and the skin's own enzymes change how strongly a hormone acts once it arrives, so the response in skin can differ from what the dose predicts. A receptor on a map is where an efficacy question starts, and the answer still needs a trial. The second habit concerns the physiology you think you know. The guide's testing pearl says serum vitamin D falls with sunscreen use, which the biology predicts. An independent review found that in real-life field trials, daily sunscreen did not lower blood levels, although the sunscreens tested were moderate and today's high-protection products have never been trialled. Keep recommending sun protection, and treat vitamin D as its own question.</w:t>
      </w:r>
    </w:p>
    <w:p>
      <w:pPr>
        <w:pStyle w:val="BodyText"/>
      </w:pPr>
      <w:r>
        <w:t xml:space="preserve">Sources: Aesthetic &amp; Regenerative Endocrinology — A Clinician's Pocket Guide 2026 · Neale RE 2019 · Fei L 2026 · Bikle DD 2014</w:t>
      </w:r>
    </w:p>
    <w:bookmarkEnd w:id="25"/>
    <w:bookmarkStart w:id="26" w:name="your-skin-has-receptors-for-it."/>
    <w:p>
      <w:pPr>
        <w:pStyle w:val="Heading3"/>
      </w:pPr>
      <w:r>
        <w:t xml:space="preserve">12 / 19 · 'Your skin has receptors for it.'</w:t>
      </w:r>
    </w:p>
    <w:p>
      <w:pPr>
        <w:pStyle w:val="FirstParagraph"/>
      </w:pPr>
      <w:r>
        <w:rPr>
          <w:i/>
          <w:iCs/>
        </w:rPr>
        <w:t xml:space="preserve">Your turn · quiz</w:t>
      </w:r>
    </w:p>
    <w:p>
      <w:pPr>
        <w:pStyle w:val="BodyText"/>
      </w:pPr>
      <w:r>
        <w:t xml:space="preserve">One question to close lesson 1.2.</w:t>
      </w:r>
    </w:p>
    <w:p>
      <w:pPr>
        <w:pStyle w:val="BodyText"/>
      </w:pPr>
      <w:r>
        <w:rPr>
          <w:b/>
          <w:bCs/>
        </w:rPr>
        <w:t xml:space="preserve">Q.</w:t>
      </w:r>
      <w:r>
        <w:t xml:space="preserve"> </w:t>
      </w:r>
      <w:r>
        <w:t xml:space="preserve">A brochure for a hormone-containing serum cites a single-cell atlas showing that dermal fibroblasts carry the RNA for that hormone's receptor. What does that finding establish?</w:t>
      </w:r>
      <w:r>
        <w:t xml:space="preserve"> </w:t>
      </w:r>
      <w:r>
        <w:t xml:space="preserve">- ✗ That the serum reaches those fibroblasts and improves the skin. —</w:t>
      </w:r>
      <w:r>
        <w:t xml:space="preserve"> </w:t>
      </w:r>
      <w:r>
        <w:rPr>
          <w:i/>
          <w:iCs/>
        </w:rPr>
        <w:t xml:space="preserve">That needs penetration data and a clinical trial; an RNA map provides neither.</w:t>
      </w:r>
      <w:r>
        <w:t xml:space="preserve"> </w:t>
      </w:r>
      <w:r>
        <w:t xml:space="preserve">- ✗ That skin secretes the hormone and needs it replaced when levels fall. —</w:t>
      </w:r>
      <w:r>
        <w:t xml:space="preserve"> </w:t>
      </w:r>
      <w:r>
        <w:rPr>
          <w:i/>
          <w:iCs/>
        </w:rPr>
        <w:t xml:space="preserve">The finding concerns a receptor, and RNA says nothing about secretion or deficiency.</w:t>
      </w:r>
      <w:r>
        <w:t xml:space="preserve"> </w:t>
      </w:r>
      <w:r>
        <w:t xml:space="preserve">- ✔ That fibroblasts may respond to the hormone: a hypothesis to confirm at the protein, function and clinical level. —</w:t>
      </w:r>
      <w:r>
        <w:t xml:space="preserve"> </w:t>
      </w:r>
      <w:r>
        <w:rPr>
          <w:i/>
          <w:iCs/>
        </w:rPr>
        <w:t xml:space="preserve">Correct. The atlas's authors call such predictions putative and hypothesis-generating.</w:t>
      </w:r>
    </w:p>
    <w:bookmarkEnd w:id="26"/>
    <w:bookmarkEnd w:id="27"/>
    <w:bookmarkStart w:id="35" w:name="Xc582465ba047e265e03a696be656ff222aa8e4b"/>
    <w:p>
      <w:pPr>
        <w:pStyle w:val="Heading2"/>
      </w:pPr>
      <w:r>
        <w:t xml:space="preserve">Lesson 1.3 · Senescence, the SASP and the ageing dermis</w:t>
      </w:r>
    </w:p>
    <w:bookmarkStart w:id="28" w:name="X5e5d283e486a86df208598b551a716d555a08d2"/>
    <w:p>
      <w:pPr>
        <w:pStyle w:val="Heading3"/>
      </w:pPr>
      <w:r>
        <w:t xml:space="preserve">13 / 19 · Cells that stop dividing and keep talking.</w:t>
      </w:r>
    </w:p>
    <w:p>
      <w:pPr>
        <w:pStyle w:val="FirstParagraph"/>
      </w:pPr>
      <w:r>
        <w:rPr>
          <w:i/>
          <w:iCs/>
        </w:rPr>
        <w:t xml:space="preserve">Lesson 1.3 · Concept · audio</w:t>
      </w:r>
    </w:p>
    <w:p>
      <w:pPr>
        <w:pStyle w:val="BodyText"/>
      </w:pPr>
      <w:r>
        <w:t xml:space="preserve">A senescent cell has stopped dividing for good but stays metabolically active, releasing cytokines, matrix-degrading enzymes and growth factors: the senescence-associated secretory phenotype, or SASP. The SASP was characterised in cultured cells. In human skin, cells carrying the senescence marker p16INK4a become more common with age in both epidermis and dermis.</w:t>
      </w:r>
    </w:p>
    <w:p>
      <w:pPr>
        <w:pStyle w:val="Compact"/>
        <w:numPr>
          <w:ilvl w:val="0"/>
          <w:numId w:val="1009"/>
        </w:numPr>
      </w:pPr>
      <w:r>
        <w:t xml:space="preserve">Senescent: permanent arrest, still secreting</w:t>
      </w:r>
    </w:p>
    <w:p>
      <w:pPr>
        <w:pStyle w:val="Compact"/>
        <w:numPr>
          <w:ilvl w:val="0"/>
          <w:numId w:val="1009"/>
        </w:numPr>
      </w:pPr>
      <w:r>
        <w:t xml:space="preserve">SASP (IL-6, IL-8, MMPs, growth factors): defined in culture</w:t>
      </w:r>
    </w:p>
    <w:p>
      <w:pPr>
        <w:pStyle w:val="Compact"/>
        <w:numPr>
          <w:ilvl w:val="0"/>
          <w:numId w:val="1009"/>
        </w:numPr>
      </w:pPr>
      <w:r>
        <w:t xml:space="preserve">Human skin: p16-positive cells rise with age</w:t>
      </w:r>
    </w:p>
    <w:p>
      <w:pPr>
        <w:pStyle w:val="FirstParagraph"/>
      </w:pPr>
      <w:r>
        <w:t xml:space="preserve">Narration script</w:t>
      </w:r>
    </w:p>
    <w:p>
      <w:pPr>
        <w:pStyle w:val="BodyText"/>
      </w:pPr>
      <w:r>
        <w:t xml:space="preserve">Senescence begins as a safety mechanism. A cell that has taken enough damage stops dividing for good, which helps guard against cancer and is useful during wound repair. The problem is what the cell does next. It stays alive and metabolically busy and releases a mixture of inflammatory cytokines such as interleukin six and eight, enzymes that break down matrix, and growth factors. This secretory profile, the SASP, was characterised in human cells grown in the laboratory after DNA damage. In living human skin, the evidence is observational. Skin samples from older people contain more cells carrying the senescence marker p16, in both the epidermis and the dermis, and fibroblasts, keratinocytes and melanocytes can all become senescent. Researchers also caution that no single marker identifies a senescent cell with certainty, so counts depend on the marker chosen.</w:t>
      </w:r>
    </w:p>
    <w:p>
      <w:pPr>
        <w:pStyle w:val="BodyText"/>
      </w:pPr>
      <w:r>
        <w:t xml:space="preserve">Sources: Coppé JP 2008 · Ressler S 2006 · Ho CY 2021 · Wang AS 2018 · Haykal D 2026 · Baker DJ 2016 · Aesthetic &amp; Regenerative Endocrinology — A Clinician's Pocket Guide 2026</w:t>
      </w:r>
    </w:p>
    <w:bookmarkEnd w:id="28"/>
    <w:bookmarkStart w:id="29" w:name="three-years-of-perceived-age."/>
    <w:p>
      <w:pPr>
        <w:pStyle w:val="Heading3"/>
      </w:pPr>
      <w:r>
        <w:t xml:space="preserve">14 / 19 · Three years of perceived age.</w:t>
      </w:r>
    </w:p>
    <w:p>
      <w:pPr>
        <w:pStyle w:val="FirstParagraph"/>
      </w:pPr>
      <w:r>
        <w:rPr>
          <w:i/>
          <w:iCs/>
        </w:rPr>
        <w:t xml:space="preserve">Human evidence · stat</w:t>
      </w:r>
    </w:p>
    <w:p>
      <w:pPr>
        <w:pStyle w:val="BodyText"/>
      </w:pPr>
      <w:r>
        <w:t xml:space="preserve">In a Dutch cohort, people with more p16-positive cells in sun-protected arm skin had more ageing-type elastic fibres, more facial wrinkles and looked older, after allowing for their actual age. The epidermal p16-positive cells were mostly melanocytes. The study was publicly funded; one co-author worked for Unilever.</w:t>
      </w:r>
    </w:p>
    <w:p>
      <w:pPr>
        <w:pStyle w:val="BodyText"/>
      </w:pPr>
      <w:r>
        <w:rPr>
          <w:b/>
          <w:bCs/>
        </w:rPr>
        <w:t xml:space="preserve">3 years</w:t>
      </w:r>
      <w:r>
        <w:t xml:space="preserve"> </w:t>
      </w:r>
      <w:r>
        <w:t xml:space="preserve">— younger-looking: fewest versus most p16-positive epidermal cells, at the same chronological age (Waaijer et al., 2016 — 178 adults aged 45–81, Leiden Longevity Study, sun-protected arm biopsies)</w:t>
      </w:r>
      <w:r>
        <w:br/>
      </w:r>
      <w:r>
        <w:rPr>
          <w:i/>
          <w:iCs/>
        </w:rPr>
        <w:t xml:space="preserve">Means:</w:t>
      </w:r>
      <w:r>
        <w:t xml:space="preserve"> </w:t>
      </w:r>
      <w:r>
        <w:t xml:space="preserve">Senescent-cell burden in human skin tracks visible ageing, even in skin that sees little sun.</w:t>
      </w:r>
      <w:r>
        <w:br/>
      </w:r>
      <w:r>
        <w:rPr>
          <w:i/>
          <w:iCs/>
        </w:rPr>
        <w:t xml:space="preserve">Does not mean:</w:t>
      </w:r>
      <w:r>
        <w:t xml:space="preserve"> </w:t>
      </w:r>
      <w:r>
        <w:t xml:space="preserve">It does not show that senescent cells cause wrinkles, or that removing them would reverse any. One observational cohort shows an association.</w:t>
      </w:r>
    </w:p>
    <w:p>
      <w:pPr>
        <w:pStyle w:val="BodyText"/>
      </w:pPr>
      <w:r>
        <w:t xml:space="preserve">Sources: Waaijer ME 2016 · Ressler S 2006</w:t>
      </w:r>
    </w:p>
    <w:bookmarkEnd w:id="29"/>
    <w:bookmarkStart w:id="30" w:name="human-mouse-or-dish"/>
    <w:p>
      <w:pPr>
        <w:pStyle w:val="Heading3"/>
      </w:pPr>
      <w:r>
        <w:t xml:space="preserve">15 / 19 · Human, mouse or dish?</w:t>
      </w:r>
    </w:p>
    <w:p>
      <w:pPr>
        <w:pStyle w:val="FirstParagraph"/>
      </w:pPr>
      <w:r>
        <w:rPr>
          <w:i/>
          <w:iCs/>
        </w:rPr>
        <w:t xml:space="preserve">Four registers · tool</w:t>
      </w:r>
    </w:p>
    <w:p>
      <w:pPr>
        <w:pStyle w:val="BodyText"/>
      </w:pPr>
      <w:r>
        <w:t xml:space="preserve">Senescence research mixes human tissue, mice and cultured cells. For the ageing dermis the four answers point in different directions, which is why they belong in separate sentences.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 collagen-fragmentation loop</w:t>
            </w:r>
          </w:p>
        </w:tc>
        <w:tc>
          <w:tcPr/>
          <w:p>
            <w:pPr>
              <w:pStyle w:val="Compact"/>
            </w:pPr>
            <w:r>
              <w:t xml:space="preserve">Skin collagen falls with age. Aged human dermis shows more fibroblast MMP-1 and fragmented collagen; in culture, fragmentation raises MMP-1 further. That senescent cells drive this in living skin is plausible, not shown.</w:t>
            </w:r>
          </w:p>
        </w:tc>
      </w:tr>
      <w:tr>
        <w:tc>
          <w:tcPr/>
          <w:p>
            <w:pPr>
              <w:pStyle w:val="Compact"/>
            </w:pPr>
            <w:r>
              <w:t xml:space="preserve">Human evidence</w:t>
            </w:r>
          </w:p>
        </w:tc>
        <w:tc>
          <w:tcPr/>
          <w:p>
            <w:pPr>
              <w:pStyle w:val="Compact"/>
            </w:pPr>
            <w:r>
              <w:t xml:space="preserve">Association</w:t>
            </w:r>
          </w:p>
        </w:tc>
        <w:tc>
          <w:tcPr/>
          <w:p>
            <w:pPr>
              <w:pStyle w:val="Compact"/>
            </w:pPr>
            <w:r>
              <w:t xml:space="preserve">p16-positive cells rise with age and track with wrinkles and perceived age</w:t>
            </w:r>
          </w:p>
        </w:tc>
      </w:tr>
      <w:tr>
        <w:tc>
          <w:tcPr/>
          <w:p>
            <w:pPr>
              <w:pStyle w:val="Compact"/>
            </w:pPr>
            <w:r>
              <w:t xml:space="preserve">Animal evidence</w:t>
            </w:r>
          </w:p>
        </w:tc>
        <w:tc>
          <w:tcPr/>
          <w:p>
            <w:pPr>
              <w:pStyle w:val="Compact"/>
            </w:pPr>
            <w:r>
              <w:t xml:space="preserve">Causation, in mice</w:t>
            </w:r>
          </w:p>
        </w:tc>
        <w:tc>
          <w:tcPr/>
          <w:p>
            <w:pPr>
              <w:pStyle w:val="Compact"/>
            </w:pPr>
            <w:r>
              <w:t xml:space="preserve">Clearing p16-positive cells, or giving senolytic drugs, extends healthy lifespan in mice. Skin was checked only for safety, and clearing these cells during healing slowed wound closure.</w:t>
            </w:r>
          </w:p>
        </w:tc>
      </w:tr>
      <w:tr>
        <w:tc>
          <w:tcPr/>
          <w:p>
            <w:pPr>
              <w:pStyle w:val="Compact"/>
            </w:pPr>
            <w:r>
              <w:t xml:space="preserve">Open question</w:t>
            </w:r>
          </w:p>
        </w:tc>
        <w:tc>
          <w:tcPr/>
          <w:p>
            <w:pPr>
              <w:pStyle w:val="Compact"/>
            </w:pPr>
            <w:r>
              <w:t xml:space="preserve">Do senotherapies change human skin?</w:t>
            </w:r>
          </w:p>
        </w:tc>
        <w:tc>
          <w:tcPr/>
          <w:p>
            <w:pPr>
              <w:pStyle w:val="Compact"/>
            </w:pPr>
            <w:r>
              <w:t xml:space="preserve">Small pilots measuring tissue markers. One exploratory randomized trial of topical rapamycin (36 enrolled, 19 dropped out) lowered skin p16, and clinical change was only described. No adequately sized trial with clinical skin-ageing outcomes was found (September 2026).</w:t>
            </w:r>
          </w:p>
        </w:tc>
      </w:tr>
    </w:tbl>
    <w:p>
      <w:pPr>
        <w:pStyle w:val="BodyText"/>
      </w:pPr>
      <w:r>
        <w:rPr>
          <w:b/>
          <w:bCs/>
        </w:rPr>
        <w:t xml:space="preserve">Callout:</w:t>
      </w:r>
      <w:r>
        <w:t xml:space="preserve"> </w:t>
      </w:r>
      <w:r>
        <w:t xml:space="preserve">A mouse lifespan result is not a skin treatment.</w:t>
      </w:r>
    </w:p>
    <w:p>
      <w:pPr>
        <w:pStyle w:val="BodyText"/>
      </w:pPr>
      <w:r>
        <w:t xml:space="preserve">Sources: Shuster S 1975 · Varani J 2006 · Fisher GJ 2009 · Waaijer ME 2016 · Baker DJ 2016 · Xu M 2018 · Hickson LJ 2019 · Chung CL 2019 · Haykal D 2026 · Aesthetic &amp; Regenerative Endocrinology — A Clinician's Pocket Guide 2026</w:t>
      </w:r>
    </w:p>
    <w:bookmarkEnd w:id="30"/>
    <w:bookmarkStart w:id="31" w:name="the-levers-with-trials-behind-them."/>
    <w:p>
      <w:pPr>
        <w:pStyle w:val="Heading3"/>
      </w:pPr>
      <w:r>
        <w:t xml:space="preserve">16 / 19 · The levers with trials behind them.</w:t>
      </w:r>
    </w:p>
    <w:p>
      <w:pPr>
        <w:pStyle w:val="FirstParagraph"/>
      </w:pPr>
      <w:r>
        <w:rPr>
          <w:i/>
          <w:iCs/>
        </w:rPr>
        <w:t xml:space="preserve">Where the evidence is strongest · audio</w:t>
      </w:r>
    </w:p>
    <w:p>
      <w:pPr>
        <w:pStyle w:val="BodyText"/>
      </w:pPr>
      <w:r>
        <w:t xml:space="preserve">Two ways of protecting or rebuilding the dermal matrix have randomized human trials. In a community trial of 903 adults, daily sunscreen for four and a half years slowed photoageing compared with discretionary use (GRADE B). Topical tretinoin improves photoageing consistently across randomized trials, and the Aesthetic &amp; Regenerative Endocrinology guide rates topical retinoids first-line, GRADE A. Retinol improved fine wrinkles in very old skin in a small trial (C), and within a week it raised collagen synthesis and lowered MMPs in biopsies of aged human skin.</w:t>
      </w:r>
    </w:p>
    <w:p>
      <w:pPr>
        <w:pStyle w:val="Compact"/>
        <w:numPr>
          <w:ilvl w:val="0"/>
          <w:numId w:val="1010"/>
        </w:numPr>
      </w:pPr>
      <w:r>
        <w:t xml:space="preserve">Daily sunscreen: one large RCT (B)</w:t>
      </w:r>
    </w:p>
    <w:p>
      <w:pPr>
        <w:pStyle w:val="Compact"/>
        <w:numPr>
          <w:ilvl w:val="0"/>
          <w:numId w:val="1010"/>
        </w:numPr>
      </w:pPr>
      <w:r>
        <w:t xml:space="preserve">Topical retinoids for photoageing: GRADE A</w:t>
      </w:r>
    </w:p>
    <w:p>
      <w:pPr>
        <w:pStyle w:val="Compact"/>
        <w:numPr>
          <w:ilvl w:val="0"/>
          <w:numId w:val="1010"/>
        </w:numPr>
      </w:pPr>
      <w:r>
        <w:t xml:space="preserve">Senolytics for skin: no clinical-outcome trials yet</w:t>
      </w:r>
    </w:p>
    <w:p>
      <w:pPr>
        <w:pStyle w:val="FirstParagraph"/>
      </w:pPr>
      <w:r>
        <w:t xml:space="preserve">Narration script</w:t>
      </w:r>
    </w:p>
    <w:p>
      <w:pPr>
        <w:pStyle w:val="BodyText"/>
      </w:pPr>
      <w:r>
        <w:t xml:space="preserve">Set the senescence story beside the interventions that have been tested in people. In Nambour, Australia, a publicly funded trial randomised 903 adults to daily or discretionary sunscreen, and over four and a half years skin ageing was about a quarter lower with daily use. Topical tretinoin has a run of randomised trials in photoaged skin that agree with one another, and the Aesthetic and Regenerative Endocrinology guide rates topical retinoids first-line, grade A. Retinol has smaller trials, including one in residents in their late eighties whose fine wrinkling improved and whose biopsies showed more procollagen. Both levers protect or rebuild the dermal matrix that ultraviolet light and, it is thought, the SASP erode, and both have human outcome data. Senolytics for skin have no such data yet. Keep that order in mind when a patient asks what actually works.</w:t>
      </w:r>
    </w:p>
    <w:p>
      <w:pPr>
        <w:pStyle w:val="BodyText"/>
      </w:pPr>
      <w:r>
        <w:t xml:space="preserve">Sources: Hughes MC 2013 · Sitohang IBS 2022 · Kafi R 2007 · Varani J 2000 · Fisher GJ 2002 · Aesthetic &amp; Regenerative Endocrinology — A Clinician's Pocket Guide 2026</w:t>
      </w:r>
    </w:p>
    <w:bookmarkEnd w:id="31"/>
    <w:bookmarkStart w:id="32" w:name="can-a-senolytic-fix-my-skin"/>
    <w:p>
      <w:pPr>
        <w:pStyle w:val="Heading3"/>
      </w:pPr>
      <w:r>
        <w:t xml:space="preserve">17 / 19 · 'Can a senolytic fix my skin?'</w:t>
      </w:r>
    </w:p>
    <w:p>
      <w:pPr>
        <w:pStyle w:val="FirstParagraph"/>
      </w:pPr>
      <w:r>
        <w:rPr>
          <w:i/>
          <w:iCs/>
        </w:rPr>
        <w:t xml:space="preserve">Fictional case · audio</w:t>
      </w:r>
    </w:p>
    <w:p>
      <w:pPr>
        <w:pStyle w:val="BodyText"/>
      </w:pPr>
      <w:r>
        <w:t xml:space="preserve">A 58-year-old patient has read that senolytic supplements 'clear zombie cells' and reverse skin ageing, and asks whether to start one she found online. She does not use sunscreen daily. The case is fictional and built from the lesson's evidence; decide your first move.</w:t>
      </w:r>
    </w:p>
    <w:p>
      <w:pPr>
        <w:pStyle w:val="Compact"/>
        <w:numPr>
          <w:ilvl w:val="0"/>
          <w:numId w:val="1011"/>
        </w:numPr>
      </w:pPr>
      <w:r>
        <w:t xml:space="preserve">Senescent cells in human skin: real, and linked with visible ageing</w:t>
      </w:r>
    </w:p>
    <w:p>
      <w:pPr>
        <w:pStyle w:val="Compact"/>
        <w:numPr>
          <w:ilvl w:val="0"/>
          <w:numId w:val="1011"/>
        </w:numPr>
      </w:pPr>
      <w:r>
        <w:t xml:space="preserve">Clearing them: mouse evidence and small human biomarker pilots</w:t>
      </w:r>
    </w:p>
    <w:p>
      <w:pPr>
        <w:pStyle w:val="Compact"/>
        <w:numPr>
          <w:ilvl w:val="0"/>
          <w:numId w:val="1011"/>
        </w:numPr>
      </w:pPr>
      <w:r>
        <w:t xml:space="preserve">Sunscreen and retinoids: randomized human trials</w:t>
      </w:r>
    </w:p>
    <w:p>
      <w:pPr>
        <w:pStyle w:val="FirstParagraph"/>
      </w:pPr>
      <w:r>
        <w:rPr>
          <w:b/>
          <w:bCs/>
        </w:rPr>
        <w:t xml:space="preserve">Exercise (scenario) · What do you do first?</w:t>
      </w:r>
      <w:r>
        <w:t xml:space="preserve"> </w:t>
      </w:r>
      <w:r>
        <w:t xml:space="preserve">—</w:t>
      </w:r>
    </w:p>
    <w:p>
      <w:pPr>
        <w:pStyle w:val="BodyText"/>
      </w:pPr>
      <w:r>
        <w:t xml:space="preserve">A 58-year-old patient has read that senolytic supplements 'clear zombie cells' and reverse skin ageing, and asks whether to start one she found online. She does not use sunscreen daily.</w:t>
      </w:r>
    </w:p>
    <w:p>
      <w:pPr>
        <w:pStyle w:val="Compact"/>
        <w:numPr>
          <w:ilvl w:val="0"/>
          <w:numId w:val="1012"/>
        </w:numPr>
      </w:pPr>
      <w:r>
        <w:t xml:space="preserve">✗ Support a trial of the supplement: senescent cells clearly age skin, so clearing them should help. —</w:t>
      </w:r>
      <w:r>
        <w:t xml:space="preserve"> </w:t>
      </w:r>
      <w:r>
        <w:rPr>
          <w:i/>
          <w:iCs/>
        </w:rPr>
        <w:t xml:space="preserve">The human evidence is an association and the clearing evidence is in mice. No trial has tested senolytics on skin-ageing outcomes.</w:t>
      </w:r>
    </w:p>
    <w:p>
      <w:pPr>
        <w:pStyle w:val="Compact"/>
        <w:numPr>
          <w:ilvl w:val="0"/>
          <w:numId w:val="1012"/>
        </w:numPr>
      </w:pPr>
      <w:r>
        <w:t xml:space="preserve">✔ Explain what is known in people and what only in mice, point her to the measures with trials (daily sunscreen, and a topical retinoid discussed with a prescriber), and mention that senolytics are being studied in trials. —</w:t>
      </w:r>
      <w:r>
        <w:t xml:space="preserve"> </w:t>
      </w:r>
      <w:r>
        <w:rPr>
          <w:i/>
          <w:iCs/>
        </w:rPr>
        <w:t xml:space="preserve">Right. It keeps the registers apart and moves her toward the levers with human outcome data. The guide advises that senolytics generally be confined to clinical trials.</w:t>
      </w:r>
    </w:p>
    <w:p>
      <w:pPr>
        <w:pStyle w:val="Compact"/>
        <w:numPr>
          <w:ilvl w:val="0"/>
          <w:numId w:val="1012"/>
        </w:numPr>
      </w:pPr>
      <w:r>
        <w:t xml:space="preserve">✗ Tell her senescence is a mouse phenomenon with no relevance to human skin. —</w:t>
      </w:r>
      <w:r>
        <w:t xml:space="preserve"> </w:t>
      </w:r>
      <w:r>
        <w:rPr>
          <w:i/>
          <w:iCs/>
        </w:rPr>
        <w:t xml:space="preserve">Senescent cells are measurable in human skin and track with wrinkles and perceived age. The biology is real; the treatment evidence is what is missing.</w:t>
      </w:r>
    </w:p>
    <w:p>
      <w:pPr>
        <w:pStyle w:val="FirstParagraph"/>
      </w:pPr>
      <w:r>
        <w:t xml:space="preserve">Follow-up: Then record what she was considering and what you advised, including any product she has already bought.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weigh a prescription retinoid against her skin and history, document the discussion, and explain that senolytics are still at the pilot-study stage and belong in trials.</w:t>
      </w:r>
      <w:r>
        <w:t xml:space="preserve"> </w:t>
      </w:r>
      <w:r>
        <w:t xml:space="preserve">-</w:t>
      </w:r>
      <w:r>
        <w:t xml:space="preserve"> </w:t>
      </w:r>
      <w:r>
        <w:rPr>
          <w:i/>
          <w:iCs/>
        </w:rPr>
        <w:t xml:space="preserve">Clinical staff:</w:t>
      </w:r>
      <w:r>
        <w:t xml:space="preserve"> </w:t>
      </w:r>
      <w:r>
        <w:t xml:space="preserve">You record what she plans to buy and anything she already takes, share the evidence summary, and pass the retinoid question to the prescriber.</w:t>
      </w:r>
      <w:r>
        <w:t xml:space="preserve"> </w:t>
      </w:r>
      <w:r>
        <w:t xml:space="preserve">-</w:t>
      </w:r>
      <w:r>
        <w:t xml:space="preserve"> </w:t>
      </w:r>
      <w:r>
        <w:rPr>
          <w:i/>
          <w:iCs/>
        </w:rPr>
        <w:t xml:space="preserve">Advisor:</w:t>
      </w:r>
      <w:r>
        <w:t xml:space="preserve"> </w:t>
      </w:r>
      <w:r>
        <w:t xml:space="preserve">You explain the difference between mouse and human evidence, reinforce daily sunscreen, and suggest a prescriber for a retinoid or if she wants to explore a trial.</w:t>
      </w:r>
    </w:p>
    <w:p>
      <w:pPr>
        <w:pStyle w:val="BodyText"/>
      </w:pPr>
      <w:r>
        <w:t xml:space="preserve">Narration script</w:t>
      </w:r>
    </w:p>
    <w:p>
      <w:pPr>
        <w:pStyle w:val="BodyText"/>
      </w:pPr>
      <w:r>
        <w:t xml:space="preserve">Consider a fifty-eight-year-old patient, fictional and built from this lesson's evidence. She has read that senolytic supplements clear so-called zombie cells and reverse skin ageing, and she asks whether to start one she found online. She does not wear sunscreen every day. Three facts frame the conversation. Senescent cells really do accumulate in human skin, and their number tracks with wrinkles and with how old a person looks. The evidence that clearing them helps comes from mice, and the human studies so far are small pilots measuring markers in tissue. Daily sunscreen and topical retinoids, by contrast, have randomised trials with visible skin outcomes. The Aesthetic and Regenerative Endocrinology guide advises keeping senolytics within clinical trials. Decide what you say first.</w:t>
      </w:r>
    </w:p>
    <w:p>
      <w:pPr>
        <w:pStyle w:val="BodyText"/>
      </w:pPr>
      <w:r>
        <w:t xml:space="preserve">Sources: Waaijer ME 2016 · Baker DJ 2016 · Hickson LJ 2019 · Hughes MC 2013 · Sitohang IBS 2022 · Aesthetic &amp; Regenerative Endocrinology — A Clinician's Pocket Guide 2026</w:t>
      </w:r>
    </w:p>
    <w:bookmarkEnd w:id="32"/>
    <w:bookmarkStart w:id="33" w:name="mouse-human-or-both"/>
    <w:p>
      <w:pPr>
        <w:pStyle w:val="Heading3"/>
      </w:pPr>
      <w:r>
        <w:t xml:space="preserve">18 / 19 · Mouse, human, or both?</w:t>
      </w:r>
    </w:p>
    <w:p>
      <w:pPr>
        <w:pStyle w:val="FirstParagraph"/>
      </w:pPr>
      <w:r>
        <w:rPr>
          <w:i/>
          <w:iCs/>
        </w:rPr>
        <w:t xml:space="preserve">Your turn · quiz</w:t>
      </w:r>
    </w:p>
    <w:p>
      <w:pPr>
        <w:pStyle w:val="BodyText"/>
      </w:pPr>
      <w:r>
        <w:t xml:space="preserve">One question to close lesson 1.3.</w:t>
      </w:r>
    </w:p>
    <w:p>
      <w:pPr>
        <w:pStyle w:val="BodyText"/>
      </w:pPr>
      <w:r>
        <w:rPr>
          <w:b/>
          <w:bCs/>
        </w:rPr>
        <w:t xml:space="preserve">Q.</w:t>
      </w:r>
      <w:r>
        <w:t xml:space="preserve"> </w:t>
      </w:r>
      <w:r>
        <w:t xml:space="preserve">Which statement about senescence and skin ageing matches the evidence?</w:t>
      </w:r>
      <w:r>
        <w:t xml:space="preserve"> </w:t>
      </w:r>
      <w:r>
        <w:t xml:space="preserve">- ✗ Randomized trials show that senolytics reverse human skin ageing. —</w:t>
      </w:r>
      <w:r>
        <w:t xml:space="preserve"> </w:t>
      </w:r>
      <w:r>
        <w:rPr>
          <w:i/>
          <w:iCs/>
        </w:rPr>
        <w:t xml:space="preserve">No randomized trial of a senolytic with clinical skin-ageing outcomes was found. Human data are small pilots measuring tissue markers.</w:t>
      </w:r>
      <w:r>
        <w:t xml:space="preserve"> </w:t>
      </w:r>
      <w:r>
        <w:t xml:space="preserve">- ✗ Senescence has been seen only in mice and cultured cells. —</w:t>
      </w:r>
      <w:r>
        <w:t xml:space="preserve"> </w:t>
      </w:r>
      <w:r>
        <w:rPr>
          <w:i/>
          <w:iCs/>
        </w:rPr>
        <w:t xml:space="preserve">p16-positive cells are measurable in human skin and become more common with age.</w:t>
      </w:r>
      <w:r>
        <w:t xml:space="preserve"> </w:t>
      </w:r>
      <w:r>
        <w:t xml:space="preserve">- ✔ In human skin, senescent cells increase with age and track with wrinkles; the evidence that clearing them improves ageing comes from mice. —</w:t>
      </w:r>
      <w:r>
        <w:t xml:space="preserve"> </w:t>
      </w:r>
      <w:r>
        <w:rPr>
          <w:i/>
          <w:iCs/>
        </w:rPr>
        <w:t xml:space="preserve">Correct. Human association, mouse causation: two registers, kept apart.</w:t>
      </w:r>
    </w:p>
    <w:bookmarkEnd w:id="33"/>
    <w:bookmarkStart w:id="34" w:name="X249e418c3bc13f80c7fc26eda827b1eca17049e"/>
    <w:p>
      <w:pPr>
        <w:pStyle w:val="Heading3"/>
      </w:pPr>
      <w:r>
        <w:t xml:space="preserve">19 / 19 · Before my next skin-and-hormone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skin-physiology checklist</w:t>
      </w:r>
      <w:r>
        <w:t xml:space="preserve"> </w:t>
      </w:r>
      <w:r>
        <w:t xml:space="preserve">— Tap everything you will do. Choose as many as you like.</w:t>
      </w:r>
      <w:r>
        <w:t xml:space="preserve"> </w:t>
      </w:r>
      <w:r>
        <w:rPr>
          <w:i/>
          <w:iCs/>
        </w:rPr>
        <w:t xml:space="preserve">Before my next skin-and-hormone conversation I will …</w:t>
      </w:r>
      <w:r>
        <w:t xml:space="preserve"> </w:t>
      </w:r>
      <w:r>
        <w:t xml:space="preserve">decide whether the finding is local or systemic · read the skin as a screen for systemic endocrine disease · send striae with new hypertension, or rapid virilisation, for prompt assessment · ask which rung the evidence reaches: RNA, tissue, animal or person · say whether a senescence finding comes from people or mice · start ageing conversations with sunscreen and retinoid evidence</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systemic screen: a skin sign that points to an endocrine disorder is assessed or referred before any cosmetic plan.</w:t>
      </w:r>
      <w:r>
        <w:t xml:space="preserve"> </w:t>
      </w:r>
      <w:r>
        <w:t xml:space="preserve">-</w:t>
      </w:r>
      <w:r>
        <w:t xml:space="preserve"> </w:t>
      </w:r>
      <w:r>
        <w:rPr>
          <w:i/>
          <w:iCs/>
        </w:rPr>
        <w:t xml:space="preserve">Clinical staff:</w:t>
      </w:r>
      <w:r>
        <w:t xml:space="preserve"> </w:t>
      </w:r>
      <w:r>
        <w:t xml:space="preserve">Your checklist ends with escalation: new striae, rapid bruising, virilisation or sudden hair change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systemic signs and prescription questions go to a prescriber.</w:t>
      </w:r>
    </w:p>
    <w:p>
      <w:pPr>
        <w:pStyle w:val="BodyText"/>
      </w:pPr>
      <w:r>
        <w:t xml:space="preserve">Sources: Aesthetic &amp; Regenerative Endocrinology — A Clinician's Pocket Guide 2026 · Hughes MC 2013 · Sitohang IBS 2022</w:t>
      </w:r>
    </w:p>
    <w:bookmarkEnd w:id="34"/>
    <w:bookmarkEnd w:id="35"/>
    <w:bookmarkStart w:id="36" w:name="module-check"/>
    <w:p>
      <w:pPr>
        <w:pStyle w:val="Heading2"/>
      </w:pPr>
      <w:r>
        <w:t xml:space="preserve">Module check</w:t>
      </w:r>
    </w:p>
    <w:p>
      <w:pPr>
        <w:pStyle w:val="FirstParagraph"/>
      </w:pPr>
      <w:r>
        <w:rPr>
          <w:b/>
          <w:bCs/>
        </w:rPr>
        <w:t xml:space="preserve">Q.</w:t>
      </w:r>
      <w:r>
        <w:t xml:space="preserve"> </w:t>
      </w:r>
      <w:r>
        <w:t xml:space="preserve">Closing Module 1 (fictional case). A 41-year-old with a low serum 25-hydroxyvitamin D says she will stop sunscreen because 'skin makes vitamin D'. Which reply keeps the physiology and the evidence straight?</w:t>
      </w:r>
      <w:r>
        <w:t xml:space="preserve"> </w:t>
      </w:r>
      <w:r>
        <w:t xml:space="preserve">- ✗ Vitamin D made in skin stays in the skin, so sunscreen cannot affect her blood level. —</w:t>
      </w:r>
      <w:r>
        <w:t xml:space="preserve"> </w:t>
      </w:r>
      <w:r>
        <w:rPr>
          <w:i/>
          <w:iCs/>
        </w:rPr>
        <w:t xml:space="preserve">Skin-made vitamin D3 enters the circulation: the skin is acting as an endocrine gland for the whole body.</w:t>
      </w:r>
      <w:r>
        <w:t xml:space="preserve"> </w:t>
      </w:r>
      <w:r>
        <w:t xml:space="preserve">- ✔ Skin synthesis does feed her blood level, but field trials of daily sunscreen did not lower 25-hydroxyvitamin D; keep sun protection and treat the low level as its own clinical question. —</w:t>
      </w:r>
      <w:r>
        <w:t xml:space="preserve"> </w:t>
      </w:r>
      <w:r>
        <w:rPr>
          <w:i/>
          <w:iCs/>
        </w:rPr>
        <w:t xml:space="preserve">Correct. The signal runs skin to body, and the human trials, not the mechanism alone, set the advice.</w:t>
      </w:r>
      <w:r>
        <w:t xml:space="preserve"> </w:t>
      </w:r>
      <w:r>
        <w:t xml:space="preserve">- ✗ The guide says sunscreen lowers vitamin D, so stopping it is reasonable. —</w:t>
      </w:r>
      <w:r>
        <w:t xml:space="preserve"> </w:t>
      </w:r>
      <w:r>
        <w:rPr>
          <w:i/>
          <w:iCs/>
        </w:rPr>
        <w:t xml:space="preserve">Real-life trials did not show a fall, and the guide itself says this biology never licenses unprotected sun exposure.</w:t>
      </w:r>
    </w:p>
    <w:p>
      <w:r>
        <w:pict>
          <v:rect style="width:0;height:1.5pt" o:hralign="center" o:hrstd="t" o:hr="t"/>
        </w:pict>
      </w:r>
    </w:p>
    <w:bookmarkEnd w:id="36"/>
    <w:bookmarkEnd w:id="37"/>
    <w:bookmarkStart w:id="61" w:name="X9d378679b2850582c0ef5cef2cc27853f87de70"/>
    <w:p>
      <w:pPr>
        <w:pStyle w:val="Heading1"/>
      </w:pPr>
      <w:r>
        <w:t xml:space="preserve">Hormones and Peptides for Skin · Module 02 — review draft</w:t>
      </w:r>
    </w:p>
    <w:p>
      <w:pPr>
        <w:pStyle w:val="FirstParagraph"/>
      </w:pPr>
      <w:r>
        <w:rPr>
          <w:i/>
          <w:iCs/>
        </w:rPr>
        <w:t xml:space="preserve">ai_draft · authored 2026-09-24 · 19 moments, ~26 min + module check · 33 sources · 20 claims</w:t>
      </w:r>
    </w:p>
    <w:p>
      <w:pPr>
        <w:pStyle w:val="BodyText"/>
      </w:pPr>
      <w:r>
        <w:t xml:space="preserve">Every factual sentence traces to the graded registry (</w:t>
      </w:r>
      <w:r>
        <w:rPr>
          <w:rStyle w:val="VerbatimChar"/>
        </w:rPr>
        <w:t xml:space="preserve">citations/m02.md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45" w:name="X0db7e593f471ca4c0db89b6ee8fa97dfaea9f33"/>
    <w:p>
      <w:pPr>
        <w:pStyle w:val="Heading2"/>
      </w:pPr>
      <w:r>
        <w:t xml:space="preserve">Lesson 2.1 · Cortisol signatures: local 11β-HSD1 and Cushing's syndrome</w:t>
      </w:r>
    </w:p>
    <w:bookmarkStart w:id="38" w:name="the-face-that-might-be-a-diagnosis."/>
    <w:p>
      <w:pPr>
        <w:pStyle w:val="Heading3"/>
      </w:pPr>
      <w:r>
        <w:t xml:space="preserve">01 / 19 · The face that might be a diagnosis.</w:t>
      </w:r>
    </w:p>
    <w:p>
      <w:pPr>
        <w:pStyle w:val="FirstParagraph"/>
      </w:pPr>
      <w:r>
        <w:rPr>
          <w:i/>
          <w:iCs/>
        </w:rPr>
        <w:t xml:space="preserve">Module 02 · Hormones written on the skin · title</w:t>
      </w:r>
    </w:p>
    <w:p>
      <w:pPr>
        <w:pStyle w:val="BodyText"/>
      </w:pPr>
      <w:r>
        <w:t xml:space="preserve">Most skin changes you see are ageing or lifestyle. A few are the first visible sign of endocrine disease. In three lessons you will separate them: what local and systemic hormones do to skin, what hormone therapy can and cannot do for it, and which signs belong with an endocrinologist.</w:t>
      </w:r>
    </w:p>
    <w:p>
      <w:pPr>
        <w:pStyle w:val="Compact"/>
        <w:numPr>
          <w:ilvl w:val="0"/>
          <w:numId w:val="1013"/>
        </w:numPr>
      </w:pPr>
      <w:r>
        <w:t xml:space="preserve">2.1 Cortisol on the skin: local 11β-HSD1 and Cushing's syndrome</w:t>
      </w:r>
    </w:p>
    <w:p>
      <w:pPr>
        <w:pStyle w:val="Compact"/>
        <w:numPr>
          <w:ilvl w:val="0"/>
          <w:numId w:val="1013"/>
        </w:numPr>
      </w:pPr>
      <w:r>
        <w:t xml:space="preserve">2.2 Estrogen, menopause and collagen: what the trials show</w:t>
      </w:r>
    </w:p>
    <w:p>
      <w:pPr>
        <w:pStyle w:val="Compact"/>
        <w:numPr>
          <w:ilvl w:val="0"/>
          <w:numId w:val="1013"/>
        </w:numPr>
      </w:pPr>
      <w:r>
        <w:t xml:space="preserve">2.3 Skin signs that need an endocrinologist</w:t>
      </w:r>
    </w:p>
    <w:bookmarkEnd w:id="38"/>
    <w:bookmarkStart w:id="39" w:name="the-skin-regenerates-its-own-cortisol."/>
    <w:p>
      <w:pPr>
        <w:pStyle w:val="Heading3"/>
      </w:pPr>
      <w:r>
        <w:t xml:space="preserve">02 / 19 · The skin regenerates its own cortisol.</w:t>
      </w:r>
    </w:p>
    <w:p>
      <w:pPr>
        <w:pStyle w:val="FirstParagraph"/>
      </w:pPr>
      <w:r>
        <w:rPr>
          <w:i/>
          <w:iCs/>
        </w:rPr>
        <w:t xml:space="preserve">Mechanism · audio</w:t>
      </w:r>
    </w:p>
    <w:p>
      <w:pPr>
        <w:pStyle w:val="BodyText"/>
      </w:pPr>
      <w:r>
        <w:t xml:space="preserve">Skin expresses the machinery of a local stress axis, including CRH and POMC with its product ACTH. Keratinocytes and dermal fibroblasts also carry 11β-HSD1, the enzyme that turns inactive cortisone back into active cortisol inside the cell. In human skin samples its activity is higher with age and in sun-exposed skin, and local cortisol availability is set independently of blood levels. Cortisol slows collagen production in dermal fibroblasts, and mice lacking the enzyme kept their dermal thickness with age.</w:t>
      </w:r>
    </w:p>
    <w:p>
      <w:pPr>
        <w:pStyle w:val="Compact"/>
        <w:numPr>
          <w:ilvl w:val="0"/>
          <w:numId w:val="1014"/>
        </w:numPr>
      </w:pPr>
      <w:r>
        <w:t xml:space="preserve">Local axis: CRH, POMC and ACTH are made in skin</w:t>
      </w:r>
    </w:p>
    <w:p>
      <w:pPr>
        <w:pStyle w:val="Compact"/>
        <w:numPr>
          <w:ilvl w:val="0"/>
          <w:numId w:val="1014"/>
        </w:numPr>
      </w:pPr>
      <w:r>
        <w:t xml:space="preserve">11β-HSD1 regenerates cortisol inside skin cells</w:t>
      </w:r>
    </w:p>
    <w:p>
      <w:pPr>
        <w:pStyle w:val="Compact"/>
        <w:numPr>
          <w:ilvl w:val="0"/>
          <w:numId w:val="1014"/>
        </w:numPr>
      </w:pPr>
      <w:r>
        <w:t xml:space="preserve">Mechanism register: human samples, cultured cells and mice</w:t>
      </w:r>
    </w:p>
    <w:p>
      <w:pPr>
        <w:pStyle w:val="FirstParagraph"/>
      </w:pPr>
      <w:r>
        <w:t xml:space="preserve">Narration script</w:t>
      </w:r>
    </w:p>
    <w:p>
      <w:pPr>
        <w:pStyle w:val="BodyText"/>
      </w:pPr>
      <w:r>
        <w:t xml:space="preserve">Picture the skin as a small endocrine organ with its own stress axis. Skin cells make CRH and ACTH, the same signals that drive the adrenal glands, and they carry the receptors to respond to them. They also carry an enzyme called eleven beta HSD one, which turns inactive cortisone back into active cortisol inside the cell. In human skin samples that enzyme works harder with age and in sun-exposed skin, and it sets local cortisol independently of the level in the blood. Cortisol slows collagen production in dermal fibroblasts, and mice bred without the enzyme kept their dermal thickness as they aged. Hold all of this in the mechanism register. It comes from biopsies, cultured cells and mice, and it says nothing yet about how a patient's face will age.</w:t>
      </w:r>
    </w:p>
    <w:p>
      <w:pPr>
        <w:pStyle w:val="BodyText"/>
      </w:pPr>
      <w:r>
        <w:t xml:space="preserve">Sources: Slominski A 2000 · Tiganescu A 2011 · Tiganescu A 2013 · Aesthetic &amp; Regenerative Endocrinology — A Clinician's Pocket Guide 2026</w:t>
      </w:r>
    </w:p>
    <w:bookmarkEnd w:id="39"/>
    <w:bookmarkStart w:id="40" w:name="β-hsd1-four-separate-answers."/>
    <w:p>
      <w:pPr>
        <w:pStyle w:val="Heading3"/>
      </w:pPr>
      <w:r>
        <w:t xml:space="preserve">03 / 19 · 11β-HSD1: four separate answers.</w:t>
      </w:r>
    </w:p>
    <w:p>
      <w:pPr>
        <w:pStyle w:val="FirstParagraph"/>
      </w:pPr>
      <w:r>
        <w:rPr>
          <w:i/>
          <w:iCs/>
        </w:rPr>
        <w:t xml:space="preserve">Four registers · tool</w:t>
      </w:r>
    </w:p>
    <w:p>
      <w:pPr>
        <w:pStyle w:val="BodyText"/>
      </w:pPr>
      <w:r>
        <w:t xml:space="preserve">Local cortisol regeneration is a real and interesting mechanism. Each register below answers a different question, and blending them produces the line you will hear online: that blocking cortisol in the skin reverses ageing.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Enzyme activity rises with age and sun exposure in human skin samples; knockout mice resist age-related dermal thinning</w:t>
            </w:r>
          </w:p>
        </w:tc>
      </w:tr>
      <w:tr>
        <w:tc>
          <w:tcPr/>
          <w:p>
            <w:pPr>
              <w:pStyle w:val="Compact"/>
            </w:pPr>
            <w:r>
              <w:t xml:space="preserve">Human evidence</w:t>
            </w:r>
          </w:p>
        </w:tc>
        <w:tc>
          <w:tcPr/>
          <w:p>
            <w:pPr>
              <w:pStyle w:val="Compact"/>
            </w:pPr>
            <w:r>
              <w:t xml:space="preserve">One pilot RCT · GRADE C</w:t>
            </w:r>
          </w:p>
        </w:tc>
        <w:tc>
          <w:tcPr/>
          <w:p>
            <w:pPr>
              <w:pStyle w:val="Compact"/>
            </w:pPr>
            <w:r>
              <w:t xml:space="preserve">28 adults with type 2 diabetes took an oral inhibitor: the primary outcome was missed, wounds closed faster in an exploratory analysis, and barrier function was modestly worse</w:t>
            </w:r>
          </w:p>
        </w:tc>
      </w:tr>
      <w:tr>
        <w:tc>
          <w:tcPr/>
          <w:p>
            <w:pPr>
              <w:pStyle w:val="Compact"/>
            </w:pPr>
            <w:r>
              <w:t xml:space="preserve">Regulatory status (US, 24 September 2026)</w:t>
            </w:r>
          </w:p>
        </w:tc>
        <w:tc>
          <w:tcPr/>
          <w:p>
            <w:pPr>
              <w:pStyle w:val="Compact"/>
            </w:pPr>
            <w:r>
              <w:t xml:space="preserve">Investigational only</w:t>
            </w:r>
          </w:p>
        </w:tc>
        <w:tc>
          <w:tcPr/>
          <w:p>
            <w:pPr>
              <w:pStyle w:val="Compact"/>
            </w:pPr>
            <w:r>
              <w:t xml:space="preserve">The inhibitor tested in human skin is a research compound with no FDA approval</w:t>
            </w:r>
          </w:p>
        </w:tc>
      </w:tr>
      <w:tr>
        <w:tc>
          <w:tcPr/>
          <w:p>
            <w:pPr>
              <w:pStyle w:val="Compact"/>
            </w:pPr>
            <w:r>
              <w:t xml:space="preserve">Open question</w:t>
            </w:r>
          </w:p>
        </w:tc>
        <w:tc>
          <w:tcPr/>
          <w:p>
            <w:pPr>
              <w:pStyle w:val="Compact"/>
            </w:pPr>
            <w:r>
              <w:t xml:space="preserve">Does it drive visible ageing?</w:t>
            </w:r>
          </w:p>
        </w:tc>
        <w:tc>
          <w:tcPr/>
          <w:p>
            <w:pPr>
              <w:pStyle w:val="Compact"/>
            </w:pPr>
            <w:r>
              <w:t xml:space="preserve">No registered trial tests an 11β-HSD1 inhibitor for skin ageing (ClinicalTrials.gov, 24 September 2026)</w:t>
            </w:r>
          </w:p>
        </w:tc>
      </w:tr>
    </w:tbl>
    <w:p>
      <w:pPr>
        <w:pStyle w:val="BodyText"/>
      </w:pPr>
      <w:r>
        <w:rPr>
          <w:b/>
          <w:bCs/>
        </w:rPr>
        <w:t xml:space="preserve">Callout:</w:t>
      </w:r>
      <w:r>
        <w:t xml:space="preserve"> </w:t>
      </w:r>
      <w:r>
        <w:t xml:space="preserve">Local cortisol is set inside the skin, so a blood, saliva or hair cortisol cannot read it.</w:t>
      </w:r>
    </w:p>
    <w:p>
      <w:pPr>
        <w:pStyle w:val="BodyText"/>
      </w:pPr>
      <w:r>
        <w:t xml:space="preserve">Sources: Tiganescu A 2011 · Tiganescu A 2013 · Ajjan RA 2022 · University of Leeds 2018 · Aesthetic &amp; Regenerative Endocrinology — A Clinician's Pocket Guide 2026</w:t>
      </w:r>
    </w:p>
    <w:bookmarkEnd w:id="40"/>
    <w:bookmarkStart w:id="41" w:name="which-features-point-to-cushings"/>
    <w:p>
      <w:pPr>
        <w:pStyle w:val="Heading3"/>
      </w:pPr>
      <w:r>
        <w:t xml:space="preserve">04 / 19 · Which features point to Cushing's?</w:t>
      </w:r>
    </w:p>
    <w:p>
      <w:pPr>
        <w:pStyle w:val="FirstParagraph"/>
      </w:pPr>
      <w:r>
        <w:rPr>
          <w:i/>
          <w:iCs/>
        </w:rPr>
        <w:t xml:space="preserve">Sort the signs · tool</w:t>
      </w:r>
    </w:p>
    <w:p>
      <w:pPr>
        <w:pStyle w:val="BodyText"/>
      </w:pPr>
      <w:r>
        <w:t xml:space="preserve">Cushing's syndrome shares most of its features with ordinary weight gain, poor sleep and stress. The Endocrine Society's diagnostic guideline separates the few that discriminate from the many that are common. Before you see its verdicts, sort these eight.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Easy bruising</w:t>
            </w:r>
          </w:p>
        </w:tc>
        <w:tc>
          <w:tcPr/>
          <w:p>
            <w:pPr>
              <w:pStyle w:val="Compact"/>
            </w:pPr>
            <w:r>
              <w:t xml:space="preserve">Skin</w:t>
            </w:r>
          </w:p>
        </w:tc>
        <w:tc>
          <w:tcPr/>
          <w:p>
            <w:pPr>
              <w:pStyle w:val="Compact"/>
            </w:pPr>
            <w:r>
              <w:t xml:space="preserve">Bruises without an obvious injury</w:t>
            </w:r>
          </w:p>
        </w:tc>
      </w:tr>
      <w:tr>
        <w:tc>
          <w:tcPr/>
          <w:p>
            <w:pPr>
              <w:pStyle w:val="Compact"/>
            </w:pPr>
            <w:r>
              <w:t xml:space="preserve">Facial plethora</w:t>
            </w:r>
          </w:p>
        </w:tc>
        <w:tc>
          <w:tcPr/>
          <w:p>
            <w:pPr>
              <w:pStyle w:val="Compact"/>
            </w:pPr>
            <w:r>
              <w:t xml:space="preserve">Face</w:t>
            </w:r>
          </w:p>
        </w:tc>
        <w:tc>
          <w:tcPr/>
          <w:p>
            <w:pPr>
              <w:pStyle w:val="Compact"/>
            </w:pPr>
            <w:r>
              <w:t xml:space="preserve">A persistently red, full-blooded complexion</w:t>
            </w:r>
          </w:p>
        </w:tc>
      </w:tr>
      <w:tr>
        <w:tc>
          <w:tcPr/>
          <w:p>
            <w:pPr>
              <w:pStyle w:val="Compact"/>
            </w:pPr>
            <w:r>
              <w:t xml:space="preserve">Proximal muscle weakness</w:t>
            </w:r>
          </w:p>
        </w:tc>
        <w:tc>
          <w:tcPr/>
          <w:p>
            <w:pPr>
              <w:pStyle w:val="Compact"/>
            </w:pPr>
            <w:r>
              <w:t xml:space="preserve">History and examination</w:t>
            </w:r>
          </w:p>
        </w:tc>
        <w:tc>
          <w:tcPr/>
          <w:p>
            <w:pPr>
              <w:pStyle w:val="Compact"/>
            </w:pPr>
            <w:r>
              <w:t xml:space="preserve">Trouble rising from a chair or climbing stairs</w:t>
            </w:r>
          </w:p>
        </w:tc>
      </w:tr>
      <w:tr>
        <w:tc>
          <w:tcPr/>
          <w:p>
            <w:pPr>
              <w:pStyle w:val="Compact"/>
            </w:pPr>
            <w:r>
              <w:t xml:space="preserve">Striae</w:t>
            </w:r>
          </w:p>
        </w:tc>
        <w:tc>
          <w:tcPr/>
          <w:p>
            <w:pPr>
              <w:pStyle w:val="Compact"/>
            </w:pPr>
            <w:r>
              <w:t xml:space="preserve">Abdomen, flanks, thighs</w:t>
            </w:r>
          </w:p>
        </w:tc>
        <w:tc>
          <w:tcPr/>
          <w:p>
            <w:pPr>
              <w:pStyle w:val="Compact"/>
            </w:pPr>
            <w:r>
              <w:t xml:space="preserve">Reddish-purple and wider than 1 cm</w:t>
            </w:r>
          </w:p>
        </w:tc>
      </w:tr>
      <w:tr>
        <w:tc>
          <w:tcPr/>
          <w:p>
            <w:pPr>
              <w:pStyle w:val="Compact"/>
            </w:pPr>
            <w:r>
              <w:t xml:space="preserve">Facial fullness</w:t>
            </w:r>
          </w:p>
        </w:tc>
        <w:tc>
          <w:tcPr/>
          <w:p>
            <w:pPr>
              <w:pStyle w:val="Compact"/>
            </w:pPr>
            <w:r>
              <w:t xml:space="preserve">Face</w:t>
            </w:r>
          </w:p>
        </w:tc>
        <w:tc>
          <w:tcPr/>
          <w:p>
            <w:pPr>
              <w:pStyle w:val="Compact"/>
            </w:pPr>
            <w:r>
              <w:t xml:space="preserve">A rounder face than a year ago</w:t>
            </w:r>
          </w:p>
        </w:tc>
      </w:tr>
      <w:tr>
        <w:tc>
          <w:tcPr/>
          <w:p>
            <w:pPr>
              <w:pStyle w:val="Compact"/>
            </w:pPr>
            <w:r>
              <w:t xml:space="preserve">Weight gain</w:t>
            </w:r>
          </w:p>
        </w:tc>
        <w:tc>
          <w:tcPr/>
          <w:p>
            <w:pPr>
              <w:pStyle w:val="Compact"/>
            </w:pPr>
            <w:r>
              <w:t xml:space="preserve">History</w:t>
            </w:r>
          </w:p>
        </w:tc>
        <w:tc>
          <w:tcPr/>
          <w:p>
            <w:pPr>
              <w:pStyle w:val="Compact"/>
            </w:pPr>
            <w:r>
              <w:t xml:space="preserve">Gradual gain over several years</w:t>
            </w:r>
          </w:p>
        </w:tc>
      </w:tr>
      <w:tr>
        <w:tc>
          <w:tcPr/>
          <w:p>
            <w:pPr>
              <w:pStyle w:val="Compact"/>
            </w:pPr>
            <w:r>
              <w:t xml:space="preserve">Acne or hirsutism</w:t>
            </w:r>
          </w:p>
        </w:tc>
        <w:tc>
          <w:tcPr/>
          <w:p>
            <w:pPr>
              <w:pStyle w:val="Compact"/>
            </w:pPr>
            <w:r>
              <w:t xml:space="preserve">Skin</w:t>
            </w:r>
          </w:p>
        </w:tc>
        <w:tc>
          <w:tcPr/>
          <w:p>
            <w:pPr>
              <w:pStyle w:val="Compact"/>
            </w:pPr>
            <w:r>
              <w:t xml:space="preserve">New or persistent</w:t>
            </w:r>
          </w:p>
        </w:tc>
      </w:tr>
      <w:tr>
        <w:tc>
          <w:tcPr/>
          <w:p>
            <w:pPr>
              <w:pStyle w:val="Compact"/>
            </w:pPr>
            <w:r>
              <w:t xml:space="preserve">Fatigue and poor sleep</w:t>
            </w:r>
          </w:p>
        </w:tc>
        <w:tc>
          <w:tcPr/>
          <w:p>
            <w:pPr>
              <w:pStyle w:val="Compact"/>
            </w:pPr>
            <w:r>
              <w:t xml:space="preserve">History</w:t>
            </w:r>
          </w:p>
        </w:tc>
        <w:tc>
          <w:tcPr/>
          <w:p>
            <w:pPr>
              <w:pStyle w:val="Compact"/>
            </w:pPr>
            <w:r>
              <w:t xml:space="preserve">Tired, sleeping badly</w:t>
            </w:r>
          </w:p>
        </w:tc>
      </w:tr>
    </w:tbl>
    <w:p>
      <w:pPr>
        <w:pStyle w:val="BodyText"/>
      </w:pPr>
      <w:r>
        <w:rPr>
          <w:b/>
          <w:bCs/>
        </w:rPr>
        <w:t xml:space="preserve">Callout:</w:t>
      </w:r>
      <w:r>
        <w:t xml:space="preserve"> </w:t>
      </w:r>
      <w:r>
        <w:t xml:space="preserve">Few features of Cushing's syndrome are unique. Some discriminate far better than others.</w:t>
      </w:r>
    </w:p>
    <w:p>
      <w:pPr>
        <w:pStyle w:val="BodyText"/>
      </w:pPr>
      <w:r>
        <w:rPr>
          <w:b/>
          <w:bCs/>
        </w:rPr>
        <w:t xml:space="preserve">Exercise (classify) · Discriminating or common?</w:t>
      </w:r>
      <w:r>
        <w:t xml:space="preserve"> </w:t>
      </w:r>
      <w:r>
        <w:t xml:space="preserve">— Tap where each feature belongs.</w:t>
      </w:r>
      <w:r>
        <w:t xml:space="preserve"> </w:t>
      </w:r>
      <w:r>
        <w:t xml:space="preserve">- Easy bruising →</w:t>
      </w:r>
      <w:r>
        <w:t xml:space="preserve"> </w:t>
      </w:r>
      <w:r>
        <w:rPr>
          <w:b/>
          <w:bCs/>
        </w:rPr>
        <w:t xml:space="preserve">Best discriminates Cushing's</w:t>
      </w:r>
      <w:r>
        <w:t xml:space="preserve"> </w:t>
      </w:r>
      <w:r>
        <w:t xml:space="preserve">—</w:t>
      </w:r>
      <w:r>
        <w:t xml:space="preserve"> </w:t>
      </w:r>
      <w:r>
        <w:rPr>
          <w:i/>
          <w:iCs/>
        </w:rPr>
        <w:t xml:space="preserve">One of the four features the guideline lists as best discriminating, particularly bruising with no obvious trauma.</w:t>
      </w:r>
      <w:r>
        <w:t xml:space="preserve"> </w:t>
      </w:r>
      <w:r>
        <w:t xml:space="preserve">- Facial plethora →</w:t>
      </w:r>
      <w:r>
        <w:t xml:space="preserve"> </w:t>
      </w:r>
      <w:r>
        <w:rPr>
          <w:b/>
          <w:bCs/>
        </w:rPr>
        <w:t xml:space="preserve">Best discriminates Cushing's</w:t>
      </w:r>
      <w:r>
        <w:t xml:space="preserve"> </w:t>
      </w:r>
      <w:r>
        <w:t xml:space="preserve">—</w:t>
      </w:r>
      <w:r>
        <w:t xml:space="preserve"> </w:t>
      </w:r>
      <w:r>
        <w:rPr>
          <w:i/>
          <w:iCs/>
        </w:rPr>
        <w:t xml:space="preserve">Listed among the best discriminators. Most of the four have low sensitivity, so their absence does not exclude the syndrome.</w:t>
      </w:r>
      <w:r>
        <w:t xml:space="preserve"> </w:t>
      </w:r>
      <w:r>
        <w:t xml:space="preserve">- Proximal muscle weakness →</w:t>
      </w:r>
      <w:r>
        <w:t xml:space="preserve"> </w:t>
      </w:r>
      <w:r>
        <w:rPr>
          <w:b/>
          <w:bCs/>
        </w:rPr>
        <w:t xml:space="preserve">Best discriminates Cushing's</w:t>
      </w:r>
      <w:r>
        <w:t xml:space="preserve"> </w:t>
      </w:r>
      <w:r>
        <w:t xml:space="preserve">—</w:t>
      </w:r>
      <w:r>
        <w:t xml:space="preserve"> </w:t>
      </w:r>
      <w:r>
        <w:rPr>
          <w:i/>
          <w:iCs/>
        </w:rPr>
        <w:t xml:space="preserve">Proximal myopathy is one of the four; ask about stairs and getting up from a low chair.</w:t>
      </w:r>
      <w:r>
        <w:t xml:space="preserve"> </w:t>
      </w:r>
      <w:r>
        <w:t xml:space="preserve">- Striae →</w:t>
      </w:r>
      <w:r>
        <w:t xml:space="preserve"> </w:t>
      </w:r>
      <w:r>
        <w:rPr>
          <w:b/>
          <w:bCs/>
        </w:rPr>
        <w:t xml:space="preserve">Best discriminates Cushing's</w:t>
      </w:r>
      <w:r>
        <w:t xml:space="preserve"> </w:t>
      </w:r>
      <w:r>
        <w:t xml:space="preserve">—</w:t>
      </w:r>
      <w:r>
        <w:t xml:space="preserve"> </w:t>
      </w:r>
      <w:r>
        <w:rPr>
          <w:i/>
          <w:iCs/>
        </w:rPr>
        <w:t xml:space="preserve">The guideline singles out striae that are reddish-purple and wider than 1 cm.</w:t>
      </w:r>
      <w:r>
        <w:t xml:space="preserve"> </w:t>
      </w:r>
      <w:r>
        <w:t xml:space="preserve">- Facial fullness →</w:t>
      </w:r>
      <w:r>
        <w:t xml:space="preserve"> </w:t>
      </w:r>
      <w:r>
        <w:rPr>
          <w:b/>
          <w:bCs/>
        </w:rPr>
        <w:t xml:space="preserve">Common, less discriminating</w:t>
      </w:r>
      <w:r>
        <w:t xml:space="preserve"> </w:t>
      </w:r>
      <w:r>
        <w:t xml:space="preserve">—</w:t>
      </w:r>
      <w:r>
        <w:t xml:space="preserve"> </w:t>
      </w:r>
      <w:r>
        <w:rPr>
          <w:i/>
          <w:iCs/>
        </w:rPr>
        <w:t xml:space="preserve">The guideline lists facial fullness, like the dorsocervical fat pad, among features that are common in the general population. A round face alone is a weak signal.</w:t>
      </w:r>
      <w:r>
        <w:t xml:space="preserve"> </w:t>
      </w:r>
      <w:r>
        <w:t xml:space="preserve">- Weight gain →</w:t>
      </w:r>
      <w:r>
        <w:t xml:space="preserve"> </w:t>
      </w:r>
      <w:r>
        <w:rPr>
          <w:b/>
          <w:bCs/>
        </w:rPr>
        <w:t xml:space="preserve">Common, less discriminating</w:t>
      </w:r>
      <w:r>
        <w:t xml:space="preserve"> </w:t>
      </w:r>
      <w:r>
        <w:t xml:space="preserve">—</w:t>
      </w:r>
      <w:r>
        <w:t xml:space="preserve"> </w:t>
      </w:r>
      <w:r>
        <w:rPr>
          <w:i/>
          <w:iCs/>
        </w:rPr>
        <w:t xml:space="preserve">Common and less discriminatory on its own; many features of cortisol excess are shared with ordinary obesity.</w:t>
      </w:r>
      <w:r>
        <w:t xml:space="preserve"> </w:t>
      </w:r>
      <w:r>
        <w:t xml:space="preserve">- Acne or hirsutism →</w:t>
      </w:r>
      <w:r>
        <w:t xml:space="preserve"> </w:t>
      </w:r>
      <w:r>
        <w:rPr>
          <w:b/>
          <w:bCs/>
        </w:rPr>
        <w:t xml:space="preserve">Common, less discriminating</w:t>
      </w:r>
      <w:r>
        <w:t xml:space="preserve"> </w:t>
      </w:r>
      <w:r>
        <w:t xml:space="preserve">—</w:t>
      </w:r>
      <w:r>
        <w:t xml:space="preserve"> </w:t>
      </w:r>
      <w:r>
        <w:rPr>
          <w:i/>
          <w:iCs/>
        </w:rPr>
        <w:t xml:space="preserve">Both sit on the guideline's common, less discriminatory list; persistent hirsutism more often points to androgen excess (lesson 2.3).</w:t>
      </w:r>
      <w:r>
        <w:t xml:space="preserve"> </w:t>
      </w:r>
      <w:r>
        <w:t xml:space="preserve">- Fatigue and poor sleep →</w:t>
      </w:r>
      <w:r>
        <w:t xml:space="preserve"> </w:t>
      </w:r>
      <w:r>
        <w:rPr>
          <w:b/>
          <w:bCs/>
        </w:rPr>
        <w:t xml:space="preserve">Common, less discriminating</w:t>
      </w:r>
      <w:r>
        <w:t xml:space="preserve"> </w:t>
      </w:r>
      <w:r>
        <w:t xml:space="preserve">—</w:t>
      </w:r>
      <w:r>
        <w:t xml:space="preserve"> </w:t>
      </w:r>
      <w:r>
        <w:rPr>
          <w:i/>
          <w:iCs/>
        </w:rPr>
        <w:t xml:space="preserve">Fatigue, insomnia and poor concentration are common and less discriminatory.</w:t>
      </w:r>
    </w:p>
    <w:p>
      <w:pPr>
        <w:pStyle w:val="BodyText"/>
      </w:pPr>
      <w:r>
        <w:t xml:space="preserve">Sources: Nieman LK 2008 · Aesthetic &amp; Regenerative Endocrinology — A Clinician's Pocket Guide 2026</w:t>
      </w:r>
    </w:p>
    <w:bookmarkEnd w:id="41"/>
    <w:bookmarkStart w:id="42" w:name="rare-and-usually-from-a-prescription."/>
    <w:p>
      <w:pPr>
        <w:pStyle w:val="Heading3"/>
      </w:pPr>
      <w:r>
        <w:t xml:space="preserve">05 / 19 · Rare, and usually from a prescription.</w:t>
      </w:r>
    </w:p>
    <w:p>
      <w:pPr>
        <w:pStyle w:val="FirstParagraph"/>
      </w:pPr>
      <w:r>
        <w:rPr>
          <w:i/>
          <w:iCs/>
        </w:rPr>
        <w:t xml:space="preserve">The evidence · stat</w:t>
      </w:r>
    </w:p>
    <w:p>
      <w:pPr>
        <w:pStyle w:val="BodyText"/>
      </w:pPr>
      <w:r>
        <w:t xml:space="preserve">Endogenous Cushing's syndrome is uncommon: European population studies put it at two to three new cases per million people a year. The commonest cause of Cushing's syndrome is iatrogenic, from glucocorticoids given as medicine. The Endocrine Society therefore asks for a drug history first, covering tablets, inhalers, injections and creams, including skin-bleaching products, and recommends testing when features are multiple and progressive.</w:t>
      </w:r>
    </w:p>
    <w:p>
      <w:pPr>
        <w:pStyle w:val="BodyText"/>
      </w:pPr>
      <w:r>
        <w:rPr>
          <w:b/>
          <w:bCs/>
        </w:rPr>
        <w:t xml:space="preserve">2–3</w:t>
      </w:r>
      <w:r>
        <w:t xml:space="preserve"> </w:t>
      </w:r>
      <w:r>
        <w:t xml:space="preserve">— new cases of endogenous Cushing's syndrome per million people per year (European population studies) (As cited in the Endocrine Society diagnostic guideline, 2008)</w:t>
      </w:r>
      <w:r>
        <w:br/>
      </w:r>
      <w:r>
        <w:rPr>
          <w:i/>
          <w:iCs/>
        </w:rPr>
        <w:t xml:space="preserve">Means:</w:t>
      </w:r>
      <w:r>
        <w:t xml:space="preserve"> </w:t>
      </w:r>
      <w:r>
        <w:t xml:space="preserve">A round, puffy face in an aesthetic clinic is almost always something other than Cushing's syndrome, and when cortisol excess is real it most often comes from a glucocorticoid the patient is already using.</w:t>
      </w:r>
      <w:r>
        <w:br/>
      </w:r>
      <w:r>
        <w:rPr>
          <w:i/>
          <w:iCs/>
        </w:rPr>
        <w:t xml:space="preserve">Does not mean:</w:t>
      </w:r>
      <w:r>
        <w:t xml:space="preserve"> </w:t>
      </w:r>
      <w:r>
        <w:t xml:space="preserve">It does not mean you can dismiss it. The guideline recommends testing when discriminating features are multiple and progressive or unusual for age, and some groups, such as people with poorly controlled diabetes, carry a higher rate.</w:t>
      </w:r>
    </w:p>
    <w:p>
      <w:pPr>
        <w:pStyle w:val="BodyText"/>
      </w:pPr>
      <w:r>
        <w:t xml:space="preserve">Sources: Nieman LK 2008 · Aesthetic &amp; Regenerative Endocrinology — A Clinician's Pocket Guide 2026</w:t>
      </w:r>
    </w:p>
    <w:bookmarkEnd w:id="42"/>
    <w:bookmarkStart w:id="43" w:name="reassure-the-many-refer-the-few."/>
    <w:p>
      <w:pPr>
        <w:pStyle w:val="Heading3"/>
      </w:pPr>
      <w:r>
        <w:t xml:space="preserve">06 / 19 · Reassure the many, refer the few.</w:t>
      </w:r>
    </w:p>
    <w:p>
      <w:pPr>
        <w:pStyle w:val="FirstParagraph"/>
      </w:pPr>
      <w:r>
        <w:rPr>
          <w:i/>
          <w:iCs/>
        </w:rPr>
        <w:t xml:space="preserve">What changes in practice · audio</w:t>
      </w:r>
    </w:p>
    <w:p>
      <w:pPr>
        <w:pStyle w:val="BodyText"/>
      </w:pPr>
      <w:r>
        <w:t xml:space="preserve">When a patient asks about 'cortisol face', start with the drug history: steroid creams, skin-lighteners, herbal tonics and injections. Then look for the discriminating features. Without them, the Aesthetic &amp; Regenerative Endocrinology guide reads most puffiness as sleep, alcohol, salt and fluid, and the Endocrine Society recommends against widespread testing. With them, especially when they are progressing, the next step is formal testing and an endocrinologist. A cortisol supplement or a consumer cortisol panel answers the wrong question.</w:t>
      </w:r>
    </w:p>
    <w:p>
      <w:pPr>
        <w:pStyle w:val="Compact"/>
        <w:numPr>
          <w:ilvl w:val="0"/>
          <w:numId w:val="1015"/>
        </w:numPr>
      </w:pPr>
      <w:r>
        <w:t xml:space="preserve">Drug history first, including creams and injections</w:t>
      </w:r>
    </w:p>
    <w:p>
      <w:pPr>
        <w:pStyle w:val="Compact"/>
        <w:numPr>
          <w:ilvl w:val="0"/>
          <w:numId w:val="1015"/>
        </w:numPr>
      </w:pPr>
      <w:r>
        <w:t xml:space="preserve">Look for bruising, plethora, proximal weakness, wide purple striae</w:t>
      </w:r>
    </w:p>
    <w:p>
      <w:pPr>
        <w:pStyle w:val="Compact"/>
        <w:numPr>
          <w:ilvl w:val="0"/>
          <w:numId w:val="1015"/>
        </w:numPr>
      </w:pPr>
      <w:r>
        <w:t xml:space="preserve">Refer for testing; skip supplements and consumer panels</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If discriminating features are present, arrange one of the guideline's first-line tests or refer directly to endocrinology, and document the drug history, including creams and injections. An abnormal result goes to an endocrinologist.</w:t>
      </w:r>
      <w:r>
        <w:t xml:space="preserve"> </w:t>
      </w:r>
      <w:r>
        <w:t xml:space="preserve">-</w:t>
      </w:r>
      <w:r>
        <w:t xml:space="preserve"> </w:t>
      </w:r>
      <w:r>
        <w:rPr>
          <w:i/>
          <w:iCs/>
        </w:rPr>
        <w:t xml:space="preserve">Clinical staff:</w:t>
      </w:r>
      <w:r>
        <w:t xml:space="preserve"> </w:t>
      </w:r>
      <w:r>
        <w:t xml:space="preserve">Record any steroid creams, skin-lighteners or injections the patient mentions, note bruising or wide purple striae you see, and bring it to the prescriber before the next treatment.</w:t>
      </w:r>
      <w:r>
        <w:t xml:space="preserve"> </w:t>
      </w:r>
      <w:r>
        <w:t xml:space="preserve">-</w:t>
      </w:r>
      <w:r>
        <w:t xml:space="preserve"> </w:t>
      </w:r>
      <w:r>
        <w:rPr>
          <w:i/>
          <w:iCs/>
        </w:rPr>
        <w:t xml:space="preserve">Advisor:</w:t>
      </w:r>
      <w:r>
        <w:t xml:space="preserve"> </w:t>
      </w:r>
      <w:r>
        <w:t xml:space="preserve">Do not recommend 'cortisol-lowering' supplements or consumer cortisol kits. If a patient describes easy bruising, muscle weakness or new wide purple stretch marks, point them to a prescriber.</w:t>
      </w:r>
    </w:p>
    <w:p>
      <w:pPr>
        <w:pStyle w:val="BodyText"/>
      </w:pPr>
      <w:r>
        <w:t xml:space="preserve">Narration script</w:t>
      </w:r>
    </w:p>
    <w:p>
      <w:pPr>
        <w:pStyle w:val="BodyText"/>
      </w:pPr>
      <w:r>
        <w:t xml:space="preserve">Here is how that plays out when a patient asks about cortisol face. Begin with a drug history, because the commonest cause of cortisol excess is a glucocorticoid someone is already using. The guideline names the easy ones to miss, such as skin-bleaching creams, herbal tonics, and joint or nerve injections. Then look for the four features that shift the odds, meaning easy bruising, a plethoric face, weakness in the hips and shoulders, and wide reddish-purple striae. Without them, the Aesthetic and Regenerative Endocrinology guide reads most puffiness as sleep, alcohol, salt and fluid, and the Endocrine Society advises against testing everyone. With them, and especially when they are progressing, the patient needs formal testing and an endocrinologist. A cortisol supplement or a mail-order saliva panel answers the wrong question.</w:t>
      </w:r>
    </w:p>
    <w:p>
      <w:pPr>
        <w:pStyle w:val="BodyText"/>
      </w:pPr>
      <w:r>
        <w:t xml:space="preserve">Sources: Nieman LK 2008 · Aesthetic &amp; Regenerative Endocrinology — A Clinician's Pocket Guide 2026</w:t>
      </w:r>
    </w:p>
    <w:bookmarkEnd w:id="43"/>
    <w:bookmarkStart w:id="44" w:name="is-this-cortisol-face"/>
    <w:p>
      <w:pPr>
        <w:pStyle w:val="Heading3"/>
      </w:pPr>
      <w:r>
        <w:t xml:space="preserve">07 / 19 · 'Is this cortisol face?'</w:t>
      </w:r>
    </w:p>
    <w:p>
      <w:pPr>
        <w:pStyle w:val="FirstParagraph"/>
      </w:pPr>
      <w:r>
        <w:rPr>
          <w:i/>
          <w:iCs/>
        </w:rPr>
        <w:t xml:space="preserve">Your turn · quiz</w:t>
      </w:r>
    </w:p>
    <w:p>
      <w:pPr>
        <w:pStyle w:val="BodyText"/>
      </w:pPr>
      <w:r>
        <w:t xml:space="preserve">One question to close lesson 2.1.</w:t>
      </w:r>
    </w:p>
    <w:p>
      <w:pPr>
        <w:pStyle w:val="BodyText"/>
      </w:pPr>
      <w:r>
        <w:rPr>
          <w:b/>
          <w:bCs/>
        </w:rPr>
        <w:t xml:space="preserve">Q.</w:t>
      </w:r>
      <w:r>
        <w:t xml:space="preserve"> </w:t>
      </w:r>
      <w:r>
        <w:t xml:space="preserve">A 38-year-old asks whether her puffy morning face is 'cortisol face'. She sleeps badly and drinks most evenings. What is the best next step?</w:t>
      </w:r>
      <w:r>
        <w:t xml:space="preserve"> </w:t>
      </w:r>
      <w:r>
        <w:t xml:space="preserve">- ✗ Recommend a consumer saliva cortisol panel to check her levels. —</w:t>
      </w:r>
      <w:r>
        <w:t xml:space="preserve"> </w:t>
      </w:r>
      <w:r>
        <w:rPr>
          <w:i/>
          <w:iCs/>
        </w:rPr>
        <w:t xml:space="preserve">Testing is for multiple, progressive discriminating features; the guideline advises against widespread testing and random cortisol measures, and the guide calls consumer panels poorly validated.</w:t>
      </w:r>
      <w:r>
        <w:t xml:space="preserve"> </w:t>
      </w:r>
      <w:r>
        <w:t xml:space="preserve">- ✔ Take a drug history, including creams and injections, and examine for bruising, plethora, proximal weakness and wide purple striae; refer if they are present. —</w:t>
      </w:r>
      <w:r>
        <w:t xml:space="preserve"> </w:t>
      </w:r>
      <w:r>
        <w:rPr>
          <w:i/>
          <w:iCs/>
        </w:rPr>
        <w:t xml:space="preserve">Correct. Exclude exogenous glucocorticoids, then look for the discriminating features before anyone orders a test.</w:t>
      </w:r>
      <w:r>
        <w:t xml:space="preserve"> </w:t>
      </w:r>
      <w:r>
        <w:t xml:space="preserve">- ✗ Reassure her that Cushing's syndrome is too rare to consider. —</w:t>
      </w:r>
      <w:r>
        <w:t xml:space="preserve"> </w:t>
      </w:r>
      <w:r>
        <w:rPr>
          <w:i/>
          <w:iCs/>
        </w:rPr>
        <w:t xml:space="preserve">It is rare, but the guideline asks you to consider it when discriminating features cluster; reassurance comes after the history and examination.</w:t>
      </w:r>
    </w:p>
    <w:bookmarkEnd w:id="44"/>
    <w:bookmarkEnd w:id="45"/>
    <w:bookmarkStart w:id="51" w:name="X6f40ad31070981954e50d105e3c41a28edcfbe2"/>
    <w:p>
      <w:pPr>
        <w:pStyle w:val="Heading2"/>
      </w:pPr>
      <w:r>
        <w:t xml:space="preserve">Lesson 2.2 · Estrogen, menopause and dermal collagen</w:t>
      </w:r>
    </w:p>
    <w:bookmarkStart w:id="46" w:name="estrogen-and-the-dermis."/>
    <w:p>
      <w:pPr>
        <w:pStyle w:val="Heading3"/>
      </w:pPr>
      <w:r>
        <w:t xml:space="preserve">08 / 19 · Estrogen and the dermis.</w:t>
      </w:r>
    </w:p>
    <w:p>
      <w:pPr>
        <w:pStyle w:val="FirstParagraph"/>
      </w:pPr>
      <w:r>
        <w:rPr>
          <w:i/>
          <w:iCs/>
        </w:rPr>
        <w:t xml:space="preserve">Lesson 2.2 · Concept · audio</w:t>
      </w:r>
    </w:p>
    <w:p>
      <w:pPr>
        <w:pStyle w:val="BodyText"/>
      </w:pPr>
      <w:r>
        <w:t xml:space="preserve">Skin carries estrogen receptors (ERα, ERβ and the membrane receptor GPER) in both sun-protected and sun-damaged sites. In postmenopausal women, two weeks of topical estradiol raised collagen production in sun-protected hip skin; photoaged facial skin showed no such response. After menopause, small biopsy studies found skin collagen and thickness falling year by year, following years since menopause more closely than age. That is mechanism and natural history. What hormone therapy does to a face is a separate question.</w:t>
      </w:r>
    </w:p>
    <w:p>
      <w:pPr>
        <w:pStyle w:val="Compact"/>
        <w:numPr>
          <w:ilvl w:val="0"/>
          <w:numId w:val="1016"/>
        </w:numPr>
      </w:pPr>
      <w:r>
        <w:t xml:space="preserve">Receptors: ERα, ERβ and GPER in aged and photoaged skin</w:t>
      </w:r>
    </w:p>
    <w:p>
      <w:pPr>
        <w:pStyle w:val="Compact"/>
        <w:numPr>
          <w:ilvl w:val="0"/>
          <w:numId w:val="1016"/>
        </w:numPr>
      </w:pPr>
      <w:r>
        <w:t xml:space="preserve">Topical estradiol raises collagen in sun-protected skin only</w:t>
      </w:r>
    </w:p>
    <w:p>
      <w:pPr>
        <w:pStyle w:val="Compact"/>
        <w:numPr>
          <w:ilvl w:val="0"/>
          <w:numId w:val="1016"/>
        </w:numPr>
      </w:pPr>
      <w:r>
        <w:t xml:space="preserve">Collagen loss follows years since menopause</w:t>
      </w:r>
    </w:p>
    <w:p>
      <w:pPr>
        <w:pStyle w:val="FirstParagraph"/>
      </w:pPr>
      <w:r>
        <w:t xml:space="preserve">Narration script</w:t>
      </w:r>
    </w:p>
    <w:p>
      <w:pPr>
        <w:pStyle w:val="BodyText"/>
      </w:pPr>
      <w:r>
        <w:t xml:space="preserve">Estrogen is the hormone the guide says dominates the visible ageing of women's skin, so start with what it does in the dermis. Skin carries estrogen receptors in sun-protected and sun-damaged sites alike. In a vehicle-controlled study, two weeks of topical estradiol raised collagen production in the hip skin of postmenopausal women; in photoaged forearm and facial skin, the same treatment made no measurable difference. Small biopsy studies from the nineteen eighties and nineties found that skin collagen and thickness fall after menopause, and that the fall follows years since the last period more closely than birthdays. Keep two questions apart as you go. One is what estrogen does in the dermis. The other is whether giving it changes how a face ages, and those answers come from different trials.</w:t>
      </w:r>
    </w:p>
    <w:p>
      <w:pPr>
        <w:pStyle w:val="BodyText"/>
      </w:pPr>
      <w:r>
        <w:t xml:space="preserve">Sources: Rittié L 2008 · Thornton MJ 2013 · Brincat M 1985 · Affinito P 1999 · Aesthetic &amp; Regenerative Endocrinology — A Clinician's Pocket Guide 2026</w:t>
      </w:r>
    </w:p>
    <w:bookmarkEnd w:id="46"/>
    <w:bookmarkStart w:id="47" w:name="one-to-two-per-cent-a-year."/>
    <w:p>
      <w:pPr>
        <w:pStyle w:val="Heading3"/>
      </w:pPr>
      <w:r>
        <w:t xml:space="preserve">09 / 19 · One to two per cent a year.</w:t>
      </w:r>
    </w:p>
    <w:p>
      <w:pPr>
        <w:pStyle w:val="FirstParagraph"/>
      </w:pPr>
      <w:r>
        <w:rPr>
          <w:i/>
          <w:iCs/>
        </w:rPr>
        <w:t xml:space="preserve">The evidence · stat</w:t>
      </w:r>
    </w:p>
    <w:p>
      <w:pPr>
        <w:pStyle w:val="BodyText"/>
      </w:pPr>
      <w:r>
        <w:t xml:space="preserve">In small biopsy studies of postmenopausal women, skin collagen content and skin thickness fell by about 1–2% a year, in step with bone mass, and followed years since menopause more than age. Reviews, and the Aesthetic &amp; Regenerative Endocrinology guide, quote a steeper early loss of up to 30% in the first five years. That figure traces to the same small studies, and a check of their abstracts in September 2026 did not find it stated.</w:t>
      </w:r>
    </w:p>
    <w:p>
      <w:pPr>
        <w:pStyle w:val="BodyText"/>
      </w:pPr>
      <w:r>
        <w:rPr>
          <w:b/>
          <w:bCs/>
        </w:rPr>
        <w:t xml:space="preserve">1–2%</w:t>
      </w:r>
      <w:r>
        <w:t xml:space="preserve"> </w:t>
      </w:r>
      <w:r>
        <w:t xml:space="preserve">— fall in skin collagen content and thickness per year after menopause (small biopsy studies) (Brincat et al., 1987 — in parallel with bone mass)</w:t>
      </w:r>
      <w:r>
        <w:br/>
      </w:r>
      <w:r>
        <w:rPr>
          <w:i/>
          <w:iCs/>
        </w:rPr>
        <w:t xml:space="preserve">Means:</w:t>
      </w:r>
      <w:r>
        <w:t xml:space="preserve"> </w:t>
      </w:r>
      <w:r>
        <w:t xml:space="preserve">Estrogen withdrawal is a measurable contributor to dermal thinning, and it follows the menopause clock rather than age alone.</w:t>
      </w:r>
      <w:r>
        <w:br/>
      </w:r>
      <w:r>
        <w:rPr>
          <w:i/>
          <w:iCs/>
        </w:rPr>
        <w:t xml:space="preserve">Does not mean:</w:t>
      </w:r>
      <w:r>
        <w:t xml:space="preserve"> </w:t>
      </w:r>
      <w:r>
        <w:t xml:space="preserve">It does not show that hormone therapy restores a younger-looking face. These are small observational studies, mostly of non-facial skin; the treatment trials come next.</w:t>
      </w:r>
    </w:p>
    <w:p>
      <w:pPr>
        <w:pStyle w:val="BodyText"/>
      </w:pPr>
      <w:r>
        <w:t xml:space="preserve">Sources: Brincat M 1987 · Brincat M 1985 · Affinito P 1999 · Thornton MJ 2013 · Aesthetic &amp; Regenerative Endocrinology — A Clinician's Pocket Guide 2026</w:t>
      </w:r>
    </w:p>
    <w:bookmarkEnd w:id="47"/>
    <w:bookmarkStart w:id="48" w:name="biopsy-gains-mirror-results."/>
    <w:p>
      <w:pPr>
        <w:pStyle w:val="Heading3"/>
      </w:pPr>
      <w:r>
        <w:t xml:space="preserve">10 / 19 · Biopsy gains, mirror results.</w:t>
      </w:r>
    </w:p>
    <w:p>
      <w:pPr>
        <w:pStyle w:val="FirstParagraph"/>
      </w:pPr>
      <w:r>
        <w:rPr>
          <w:i/>
          <w:iCs/>
        </w:rPr>
        <w:t xml:space="preserve">Human evidence · tool</w:t>
      </w:r>
    </w:p>
    <w:p>
      <w:pPr>
        <w:pStyle w:val="BodyText"/>
      </w:pPr>
      <w:r>
        <w:t xml:space="preserve">Hormone therapy has two kinds of trial behind it. Small trials measure the dermis; larger trials measure the face. They point in different directions, so read them separately. The Aesthetic &amp; Regenerative Endocrinology guide grades the skin benefit B; the North American Menopause Society rates the same evidence 'limited or inconsistent'. This course grades the structural gains C and teaches the negative wrinkle trials alongside them.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Systemic HT · skin thickness and collagen</w:t>
            </w:r>
          </w:p>
        </w:tc>
        <w:tc>
          <w:tcPr/>
          <w:p>
            <w:pPr>
              <w:pStyle w:val="Compact"/>
            </w:pPr>
            <w:r>
              <w:t xml:space="preserve">Increased · GRADE C</w:t>
            </w:r>
          </w:p>
        </w:tc>
        <w:tc>
          <w:tcPr/>
          <w:p>
            <w:pPr>
              <w:pStyle w:val="Compact"/>
            </w:pPr>
            <w:r>
              <w:t xml:space="preserve">Two small RCTs (60 and 41 women) measured hip and upper-arm skin</w:t>
            </w:r>
          </w:p>
        </w:tc>
      </w:tr>
      <w:tr>
        <w:tc>
          <w:tcPr/>
          <w:p>
            <w:pPr>
              <w:pStyle w:val="Compact"/>
            </w:pPr>
            <w:r>
              <w:t xml:space="preserve">Systemic HT · facial wrinkles</w:t>
            </w:r>
          </w:p>
        </w:tc>
        <w:tc>
          <w:tcPr/>
          <w:p>
            <w:pPr>
              <w:pStyle w:val="Compact"/>
            </w:pPr>
            <w:r>
              <w:t xml:space="preserve">No difference · GRADE B</w:t>
            </w:r>
          </w:p>
        </w:tc>
        <w:tc>
          <w:tcPr/>
          <w:p>
            <w:pPr>
              <w:pStyle w:val="Compact"/>
            </w:pPr>
            <w:r>
              <w:t xml:space="preserve">485 women for 48 weeks on low-dose therapy; a four-year trial in recently menopausal women also found no difference</w:t>
            </w:r>
          </w:p>
        </w:tc>
      </w:tr>
      <w:tr>
        <w:tc>
          <w:tcPr/>
          <w:p>
            <w:pPr>
              <w:pStyle w:val="Compact"/>
            </w:pPr>
            <w:r>
              <w:t xml:space="preserve">Pooled analysis (2023)</w:t>
            </w:r>
          </w:p>
        </w:tc>
        <w:tc>
          <w:tcPr/>
          <w:p>
            <w:pPr>
              <w:pStyle w:val="Compact"/>
            </w:pPr>
            <w:r>
              <w:t xml:space="preserve">Positive, heterogeneous · GRADE C</w:t>
            </w:r>
          </w:p>
        </w:tc>
        <w:tc>
          <w:tcPr/>
          <w:p>
            <w:pPr>
              <w:pStyle w:val="Compact"/>
            </w:pPr>
            <w:r>
              <w:t xml:space="preserve">Small studies, some non-randomized, varying widely; its authors do not propose hormone therapy as a skin treatment</w:t>
            </w:r>
          </w:p>
        </w:tc>
      </w:tr>
      <w:tr>
        <w:tc>
          <w:tcPr/>
          <w:p>
            <w:pPr>
              <w:pStyle w:val="Compact"/>
            </w:pPr>
            <w:r>
              <w:t xml:space="preserve">Topical estrogen on the face</w:t>
            </w:r>
          </w:p>
        </w:tc>
        <w:tc>
          <w:tcPr/>
          <w:p>
            <w:pPr>
              <w:pStyle w:val="Compact"/>
            </w:pPr>
            <w:r>
              <w:t xml:space="preserve">Small and mixed · GRADE C</w:t>
            </w:r>
          </w:p>
        </w:tc>
        <w:tc>
          <w:tcPr/>
          <w:p>
            <w:pPr>
              <w:pStyle w:val="Compact"/>
            </w:pPr>
            <w:r>
              <w:t xml:space="preserve">One 24-week RCT improved thickness and fine lines; a biopsy study found no collagen response in photoaged facial skin</w:t>
            </w:r>
          </w:p>
        </w:tc>
      </w:tr>
      <w:tr>
        <w:tc>
          <w:tcPr/>
          <w:p>
            <w:pPr>
              <w:pStyle w:val="Compact"/>
            </w:pPr>
            <w:r>
              <w:t xml:space="preserve">Topical estrogen · acute wounds</w:t>
            </w:r>
          </w:p>
        </w:tc>
        <w:tc>
          <w:tcPr/>
          <w:p>
            <w:pPr>
              <w:pStyle w:val="Compact"/>
            </w:pPr>
            <w:r>
              <w:t xml:space="preserve">Faster healing · GRADE C</w:t>
            </w:r>
          </w:p>
        </w:tc>
        <w:tc>
          <w:tcPr/>
          <w:p>
            <w:pPr>
              <w:pStyle w:val="Compact"/>
            </w:pPr>
            <w:r>
              <w:t xml:space="preserve">A small randomized study in healthy older adults</w:t>
            </w:r>
          </w:p>
        </w:tc>
      </w:tr>
    </w:tbl>
    <w:p>
      <w:pPr>
        <w:pStyle w:val="BodyText"/>
      </w:pPr>
      <w:r>
        <w:rPr>
          <w:b/>
          <w:bCs/>
        </w:rPr>
        <w:t xml:space="preserve">Callout:</w:t>
      </w:r>
      <w:r>
        <w:t xml:space="preserve"> </w:t>
      </w:r>
      <w:r>
        <w:t xml:space="preserve">A thicker dermis on biopsy and a younger-looking face are different outcomes. Ask which one a trial measured.</w:t>
      </w:r>
    </w:p>
    <w:p>
      <w:pPr>
        <w:pStyle w:val="BodyText"/>
      </w:pPr>
      <w:r>
        <w:t xml:space="preserve">Sources: Maheux R 1994 · Sauerbronn AV 2000 · Phillips TJ 2008 · Owen CM 2016 · Pivazyan L 2023 · Creidi P 1994 · Rittié L 2008 · Ashcroft GS 1999 · North American Menopause Society (2022 Hormone Therapy Advisory Panel) 2022 · Aesthetic &amp; Regenerative Endocrinology — A Clinician's Pocket Guide 2026</w:t>
      </w:r>
    </w:p>
    <w:bookmarkEnd w:id="48"/>
    <w:bookmarkStart w:id="49" w:name="symptoms-and-bone.-skin-is-a-bystander."/>
    <w:p>
      <w:pPr>
        <w:pStyle w:val="Heading3"/>
      </w:pPr>
      <w:r>
        <w:t xml:space="preserve">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17"/>
        </w:numPr>
      </w:pPr>
      <w:r>
        <w:t xml:space="preserve">Indications: hot flashes, genitourinary symptoms, bone</w:t>
      </w:r>
    </w:p>
    <w:p>
      <w:pPr>
        <w:pStyle w:val="Compact"/>
        <w:numPr>
          <w:ilvl w:val="0"/>
          <w:numId w:val="1017"/>
        </w:numPr>
      </w:pPr>
      <w:r>
        <w:t xml:space="preserve">Low-dose vaginal estrogen for GSM: the one estrogen-for-tissue use</w:t>
      </w:r>
    </w:p>
    <w:p>
      <w:pPr>
        <w:pStyle w:val="Compact"/>
        <w:numPr>
          <w:ilvl w:val="0"/>
          <w:numId w:val="1017"/>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FDA-approved products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w:t>
      </w:r>
    </w:p>
    <w:bookmarkEnd w:id="49"/>
    <w:bookmarkStart w:id="50" w:name="hormones-for-my-skin."/>
    <w:p>
      <w:pPr>
        <w:pStyle w:val="Heading3"/>
      </w:pPr>
      <w:r>
        <w:t xml:space="preserve">12 / 19 · 'Hormones for my skin.'</w:t>
      </w:r>
    </w:p>
    <w:p>
      <w:pPr>
        <w:pStyle w:val="FirstParagraph"/>
      </w:pPr>
      <w:r>
        <w:rPr>
          <w:i/>
          <w:iCs/>
        </w:rPr>
        <w:t xml:space="preserve">Your turn · quiz</w:t>
      </w:r>
    </w:p>
    <w:p>
      <w:pPr>
        <w:pStyle w:val="BodyText"/>
      </w:pPr>
      <w:r>
        <w:t xml:space="preserve">One question to close lesson 2.2.</w:t>
      </w:r>
    </w:p>
    <w:p>
      <w:pPr>
        <w:pStyle w:val="BodyText"/>
      </w:pPr>
      <w:r>
        <w:rPr>
          <w:b/>
          <w:bCs/>
        </w:rPr>
        <w:t xml:space="preserve">Q.</w:t>
      </w:r>
      <w:r>
        <w:t xml:space="preserve"> </w:t>
      </w:r>
      <w:r>
        <w:t xml:space="preserve">A 52-year-old with no hot flashes, no sleep disturbance and no vaginal symptoms asks for estrogen 'to stop my face ageing'. What does the evidence support?</w:t>
      </w:r>
      <w:r>
        <w:t xml:space="preserve"> </w:t>
      </w:r>
      <w:r>
        <w:t xml:space="preserve">- ✗ Estrogen rebuilds collagen, so hormone therapy is a reasonable anti-ageing choice. —</w:t>
      </w:r>
      <w:r>
        <w:t xml:space="preserve"> </w:t>
      </w:r>
      <w:r>
        <w:rPr>
          <w:i/>
          <w:iCs/>
        </w:rPr>
        <w:t xml:space="preserve">That is the mechanism talking. Small trials show thicker skin, the largest trials found no difference in wrinkles, and skin is not an approved indication.</w:t>
      </w:r>
      <w:r>
        <w:t xml:space="preserve"> </w:t>
      </w:r>
      <w:r>
        <w:t xml:space="preserve">- ✗ A compounded 'bioidentical' estrogen face cream avoids the risks of systemic therapy. —</w:t>
      </w:r>
      <w:r>
        <w:t xml:space="preserve"> </w:t>
      </w:r>
      <w:r>
        <w:rPr>
          <w:i/>
          <w:iCs/>
        </w:rPr>
        <w:t xml:space="preserve">Compounded 'bioidentical' preparations lack efficacy and safety data and carry quality concerns; the menopause society says preference alone should not justify them.</w:t>
      </w:r>
      <w:r>
        <w:t xml:space="preserve"> </w:t>
      </w:r>
      <w:r>
        <w:t xml:space="preserve">- ✔ Skin alone is not a reason to start hormone therapy; offer skin-directed care such as daily sunscreen and a retinoid, and revisit therapy if menopausal symptoms appear. —</w:t>
      </w:r>
      <w:r>
        <w:t xml:space="preserve"> </w:t>
      </w:r>
      <w:r>
        <w:rPr>
          <w:i/>
          <w:iCs/>
        </w:rPr>
        <w:t xml:space="preserve">Correct. Symptoms decide hormone therapy. For skin, daily sunscreen has a large trial behind it and one tretinoin cream is FDA-approved as an adjunct for fine wrinkles.</w:t>
      </w:r>
    </w:p>
    <w:bookmarkEnd w:id="50"/>
    <w:bookmarkEnd w:id="51"/>
    <w:bookmarkStart w:id="59" w:name="X02b6753e440693264fe340306b0bfa541165ad3"/>
    <w:p>
      <w:pPr>
        <w:pStyle w:val="Heading2"/>
      </w:pPr>
      <w:r>
        <w:t xml:space="preserve">Lesson 2.3 · Skin hallmarks of inherited and systemic endocrinopathies</w:t>
      </w:r>
    </w:p>
    <w:bookmarkStart w:id="52" w:name="some-syndromes-show-on-the-skin-first."/>
    <w:p>
      <w:pPr>
        <w:pStyle w:val="Heading3"/>
      </w:pPr>
      <w:r>
        <w:t xml:space="preserve">13 / 19 · Some syndromes show on the skin first.</w:t>
      </w:r>
    </w:p>
    <w:p>
      <w:pPr>
        <w:pStyle w:val="FirstParagraph"/>
      </w:pPr>
      <w:r>
        <w:rPr>
          <w:i/>
          <w:iCs/>
        </w:rPr>
        <w:t xml:space="preserve">Lesson 2.3 · Concept · audio</w:t>
      </w:r>
    </w:p>
    <w:p>
      <w:pPr>
        <w:pStyle w:val="BodyText"/>
      </w:pPr>
      <w:r>
        <w:t xml:space="preserve">A handful of inherited endocrine syndromes appear on the skin before the glands declare themselves. In multiple endocrine neoplasia type 1 (MEN1), multiple facial angiofibromas and collagenomas are common. In Carney complex, lentigines on the lips, eyelids and canthi, blue naevi and small skin myxomas sit alongside myxomas of the heart and cortisol-secreting adrenal disease. In MEN2A, an itchy, rippled, pigmented plaque between the shoulder blades can precede medullary thyroid cancer.</w:t>
      </w:r>
    </w:p>
    <w:p>
      <w:pPr>
        <w:pStyle w:val="Compact"/>
        <w:numPr>
          <w:ilvl w:val="0"/>
          <w:numId w:val="1018"/>
        </w:numPr>
      </w:pPr>
      <w:r>
        <w:t xml:space="preserve">MEN1: facial angiofibromas, collagenomas</w:t>
      </w:r>
    </w:p>
    <w:p>
      <w:pPr>
        <w:pStyle w:val="Compact"/>
        <w:numPr>
          <w:ilvl w:val="0"/>
          <w:numId w:val="1018"/>
        </w:numPr>
      </w:pPr>
      <w:r>
        <w:t xml:space="preserve">Carney complex: lip and eyelid lentigines, myxomas</w:t>
      </w:r>
    </w:p>
    <w:p>
      <w:pPr>
        <w:pStyle w:val="Compact"/>
        <w:numPr>
          <w:ilvl w:val="0"/>
          <w:numId w:val="1018"/>
        </w:numPr>
      </w:pPr>
      <w:r>
        <w:t xml:space="preserve">MEN2A: lichen amyloidosis between the shoulder blades</w:t>
      </w:r>
    </w:p>
    <w:p>
      <w:pPr>
        <w:pStyle w:val="FirstParagraph"/>
      </w:pPr>
      <w:r>
        <w:t xml:space="preserve">Narration script</w:t>
      </w:r>
    </w:p>
    <w:p>
      <w:pPr>
        <w:pStyle w:val="BodyText"/>
      </w:pPr>
      <w:r>
        <w:t xml:space="preserve">Some endocrine syndromes are written on the skin years before the glands give them away. In multiple endocrine neoplasia type one, most patients in one careful series had several facial angiofibromas, the same lesions seen in tuberous sclerosis, along with collagenomas on the trunk. In Carney complex, usually caused by inactivating variants in the PRKAR1A gene, freckle-like lentigines cluster on the lips, eyelids and the corners of the eyes, alongside blue naevi and small skin myxomas. The same patients can develop myxomas in the heart and cortisol-secreting adrenal disease. In MEN two A, an itchy, rippled, darkened patch between the shoulder blades, called cutaneous lichen amyloidosis, can appear long before medullary thyroid cancer. Each of these is a referral finding, and none of them is yours to diagnose alone.</w:t>
      </w:r>
    </w:p>
    <w:p>
      <w:pPr>
        <w:pStyle w:val="BodyText"/>
      </w:pPr>
      <w:r>
        <w:t xml:space="preserve">Sources: Darling TN 1997 · Kirschner LS 2000 · Correa R 2015 · Stanescu LS 2024 · Lause M 2017 · Aesthetic &amp; Regenerative Endocrinology — A Clinician's Pocket Guide 2026</w:t>
      </w:r>
    </w:p>
    <w:bookmarkEnd w:id="52"/>
    <w:bookmarkStart w:id="53" w:name="eighty-eight-per-cent."/>
    <w:p>
      <w:pPr>
        <w:pStyle w:val="Heading3"/>
      </w:pPr>
      <w:r>
        <w:t xml:space="preserve">14 / 19 · Eighty-eight per cent.</w:t>
      </w:r>
    </w:p>
    <w:p>
      <w:pPr>
        <w:pStyle w:val="FirstParagraph"/>
      </w:pPr>
      <w:r>
        <w:rPr>
          <w:i/>
          <w:iCs/>
        </w:rPr>
        <w:t xml:space="preserve">The evidence · stat</w:t>
      </w:r>
    </w:p>
    <w:p>
      <w:pPr>
        <w:pStyle w:val="BodyText"/>
      </w:pPr>
      <w:r>
        <w:t xml:space="preserve">In a consecutive series of 32 people with MEN1 examined at the US National Institutes of Health, 88% had multiple facial angiofibromas and 72% had collagenomas. The angiofibromas were clinically and histologically identical to those of tuberous sclerosis. The authors concluded that angiofibromas in someone without tuberous sclerosis call for biochemical testing for MEN1.</w:t>
      </w:r>
    </w:p>
    <w:p>
      <w:pPr>
        <w:pStyle w:val="BodyText"/>
      </w:pPr>
      <w:r>
        <w:rPr>
          <w:b/>
          <w:bCs/>
        </w:rPr>
        <w:t xml:space="preserve">88%</w:t>
      </w:r>
      <w:r>
        <w:t xml:space="preserve"> </w:t>
      </w:r>
      <w:r>
        <w:t xml:space="preserve">— of 32 people with MEN1 had multiple facial angiofibromas (Darling et al., 1997 — collagenomas in 72%)</w:t>
      </w:r>
      <w:r>
        <w:br/>
      </w:r>
      <w:r>
        <w:rPr>
          <w:i/>
          <w:iCs/>
        </w:rPr>
        <w:t xml:space="preserve">Means:</w:t>
      </w:r>
      <w:r>
        <w:t xml:space="preserve"> </w:t>
      </w:r>
      <w:r>
        <w:t xml:space="preserve">Multiple facial angiofibromas are common in MEN1 and can be its first visible sign; in someone without tuberous sclerosis they are a reason for endocrine testing, whatever the cosmetic plan.</w:t>
      </w:r>
      <w:r>
        <w:br/>
      </w:r>
      <w:r>
        <w:rPr>
          <w:i/>
          <w:iCs/>
        </w:rPr>
        <w:t xml:space="preserve">Does not mean:</w:t>
      </w:r>
      <w:r>
        <w:t xml:space="preserve"> </w:t>
      </w:r>
      <w:r>
        <w:t xml:space="preserve">It does not mean a single facial papule is MEN1. This is one small referral-centre series, and angiofibromas have other causes, tuberous sclerosis above all.</w:t>
      </w:r>
    </w:p>
    <w:p>
      <w:pPr>
        <w:pStyle w:val="BodyText"/>
      </w:pPr>
      <w:r>
        <w:t xml:space="preserve">Sources: Darling TN 1997 · Aesthetic &amp; Regenerative Endocrinology — A Clinician's Pocket Guide 2026</w:t>
      </w:r>
    </w:p>
    <w:bookmarkEnd w:id="53"/>
    <w:bookmarkStart w:id="54" w:name="the-everyday-endocrine-signs."/>
    <w:p>
      <w:pPr>
        <w:pStyle w:val="Heading3"/>
      </w:pPr>
      <w:r>
        <w:t xml:space="preserve">15 / 19 · The everyday endocrine signs.</w:t>
      </w:r>
    </w:p>
    <w:p>
      <w:pPr>
        <w:pStyle w:val="FirstParagraph"/>
      </w:pPr>
      <w:r>
        <w:rPr>
          <w:i/>
          <w:iCs/>
        </w:rPr>
        <w:t xml:space="preserve">Concept · audio</w:t>
      </w:r>
    </w:p>
    <w:p>
      <w:pPr>
        <w:pStyle w:val="BodyText"/>
      </w:pPr>
      <w:r>
        <w:t xml:space="preserve">Most endocrine skin signs you meet come from common disease. New generalised darkening, strongest in skin creases, scars, mucosa and sun-exposed skin, can signal primary adrenal insufficiency, which can turn into a life-threatening crisis. Hirsutism that appears fast, keeps progressing, or comes with a deepening voice or clitoromegaly makes an androgen-secreting tumour more likely. Velvety dark plaques of acanthosis nigricans track insulin resistance, pretibial myxoedema points to Graves' disease, and cold, dry skin suggests hypothyroidism.</w:t>
      </w:r>
    </w:p>
    <w:p>
      <w:pPr>
        <w:pStyle w:val="Compact"/>
        <w:numPr>
          <w:ilvl w:val="0"/>
          <w:numId w:val="1019"/>
        </w:numPr>
      </w:pPr>
      <w:r>
        <w:t xml:space="preserve">Darkening in creases, scars and gums: adrenal insufficiency</w:t>
      </w:r>
    </w:p>
    <w:p>
      <w:pPr>
        <w:pStyle w:val="Compact"/>
        <w:numPr>
          <w:ilvl w:val="0"/>
          <w:numId w:val="1019"/>
        </w:numPr>
      </w:pPr>
      <w:r>
        <w:t xml:space="preserve">Rapid hirsutism or virilization: exclude a tumour</w:t>
      </w:r>
    </w:p>
    <w:p>
      <w:pPr>
        <w:pStyle w:val="Compact"/>
        <w:numPr>
          <w:ilvl w:val="0"/>
          <w:numId w:val="1019"/>
        </w:numPr>
      </w:pPr>
      <w:r>
        <w:t xml:space="preserve">Acanthosis, pretibial plaques, dry cool skin: metabolic and thyroid</w:t>
      </w:r>
    </w:p>
    <w:p>
      <w:pPr>
        <w:pStyle w:val="FirstParagraph"/>
      </w:pPr>
      <w:r>
        <w:t xml:space="preserve">Narration script</w:t>
      </w:r>
    </w:p>
    <w:p>
      <w:pPr>
        <w:pStyle w:val="BodyText"/>
      </w:pPr>
      <w:r>
        <w:t xml:space="preserve">Most of the endocrine skin signs you will actually meet come from common conditions. New, generalised darkening, most obvious in skin creases such as the palms, in scars, on the gums and on sun-exposed skin, can be the sign of primary adrenal insufficiency. In a patient who is also unwell, the Endocrine Society recommends testing, and a suspected adrenal crisis is treated before the results come back, because delay raises the risk of death. Hirsutism that arrives quickly, keeps progressing, or comes with a deeper voice or clitoromegaly makes an androgen-secreting tumour more likely, and more than half of those tumours are malignant. Velvety dark plaques in the neck folds track insulin resistance. Firm plaques on the shins point to Graves' disease, and cold, dry, coarse skin suggests an underactive thyroid. The skin shows you which door to knock on.</w:t>
      </w:r>
    </w:p>
    <w:p>
      <w:pPr>
        <w:pStyle w:val="BodyText"/>
      </w:pPr>
      <w:r>
        <w:t xml:space="preserve">Sources: Bornstein SR 2016 · Martin KA 2018 · Lause M 2017 · Aesthetic &amp; Regenerative Endocrinology — A Clinician's Pocket Guide 2026</w:t>
      </w:r>
    </w:p>
    <w:bookmarkEnd w:id="54"/>
    <w:bookmarkStart w:id="55" w:name="where-does-this-skin-finding-go"/>
    <w:p>
      <w:pPr>
        <w:pStyle w:val="Heading3"/>
      </w:pPr>
      <w:r>
        <w:t xml:space="preserve">16 / 19 · Where does this skin finding go?</w:t>
      </w:r>
    </w:p>
    <w:p>
      <w:pPr>
        <w:pStyle w:val="FirstParagraph"/>
      </w:pPr>
      <w:r>
        <w:rPr>
          <w:i/>
          <w:iCs/>
        </w:rPr>
        <w:t xml:space="preserve">Triage · tool</w:t>
      </w:r>
    </w:p>
    <w:p>
      <w:pPr>
        <w:pStyle w:val="BodyText"/>
      </w:pPr>
      <w:r>
        <w:t xml:space="preserve">Seven presentations from an aesthetic list, and three routes. Your job is to route the finding, not to make the diagnosis. The verdict and the source behind each appear as you answer.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Urgent assessment</w:t>
            </w:r>
          </w:p>
        </w:tc>
        <w:tc>
          <w:tcPr/>
          <w:p>
            <w:pPr>
              <w:pStyle w:val="Compact"/>
            </w:pPr>
            <w:r>
              <w:t xml:space="preserve">Before any cosmetic treatment</w:t>
            </w:r>
          </w:p>
        </w:tc>
        <w:tc>
          <w:tcPr/>
          <w:p>
            <w:pPr>
              <w:pStyle w:val="Compact"/>
            </w:pPr>
            <w:r>
              <w:t xml:space="preserve">Findings that suggest a hormone-secreting tumour or an adrenal crisis</w:t>
            </w:r>
          </w:p>
        </w:tc>
      </w:tr>
      <w:tr>
        <w:tc>
          <w:tcPr/>
          <w:p>
            <w:pPr>
              <w:pStyle w:val="Compact"/>
            </w:pPr>
            <w:r>
              <w:t xml:space="preserve">Endocrine referral</w:t>
            </w:r>
          </w:p>
        </w:tc>
        <w:tc>
          <w:tcPr/>
          <w:p>
            <w:pPr>
              <w:pStyle w:val="Compact"/>
            </w:pPr>
            <w:r>
              <w:t xml:space="preserve">Planned work-up</w:t>
            </w:r>
          </w:p>
        </w:tc>
        <w:tc>
          <w:tcPr/>
          <w:p>
            <w:pPr>
              <w:pStyle w:val="Compact"/>
            </w:pPr>
            <w:r>
              <w:t xml:space="preserve">Findings that point to treatable or inherited endocrine disease</w:t>
            </w:r>
          </w:p>
        </w:tc>
      </w:tr>
      <w:tr>
        <w:tc>
          <w:tcPr/>
          <w:p>
            <w:pPr>
              <w:pStyle w:val="Compact"/>
            </w:pPr>
            <w:r>
              <w:t xml:space="preserve">No endocrine flag on this alone</w:t>
            </w:r>
          </w:p>
        </w:tc>
        <w:tc>
          <w:tcPr/>
          <w:p>
            <w:pPr>
              <w:pStyle w:val="Compact"/>
            </w:pPr>
            <w:r>
              <w:t xml:space="preserve">Skin-directed care</w:t>
            </w:r>
          </w:p>
        </w:tc>
        <w:tc>
          <w:tcPr/>
          <w:p>
            <w:pPr>
              <w:pStyle w:val="Compact"/>
            </w:pPr>
            <w:r>
              <w:t xml:space="preserve">Common findings without discriminating features; reassess if others appear</w:t>
            </w:r>
          </w:p>
        </w:tc>
      </w:tr>
    </w:tbl>
    <w:p>
      <w:pPr>
        <w:pStyle w:val="BodyText"/>
      </w:pPr>
      <w:r>
        <w:rPr>
          <w:b/>
          <w:bCs/>
        </w:rPr>
        <w:t xml:space="preserve">Callout:</w:t>
      </w:r>
      <w:r>
        <w:t xml:space="preserve"> </w:t>
      </w:r>
      <w:r>
        <w:t xml:space="preserve">You route; the endocrinologist diagnoses.</w:t>
      </w:r>
    </w:p>
    <w:p>
      <w:pPr>
        <w:pStyle w:val="BodyText"/>
      </w:pPr>
      <w:r>
        <w:rPr>
          <w:b/>
          <w:bCs/>
        </w:rPr>
        <w:t xml:space="preserve">Exercise (quickfire) · Route the finding</w:t>
      </w:r>
      <w:r>
        <w:t xml:space="preserve"> </w:t>
      </w:r>
      <w:r>
        <w:t xml:space="preserve">— One patient at a time: which route does this finding take?</w:t>
      </w:r>
      <w:r>
        <w:t xml:space="preserve"> </w:t>
      </w:r>
      <w:r>
        <w:t xml:space="preserve">- Coarse chin and chest hair over four months; her voice has deepened →</w:t>
      </w:r>
      <w:r>
        <w:t xml:space="preserve"> </w:t>
      </w:r>
      <w:r>
        <w:rPr>
          <w:b/>
          <w:bCs/>
        </w:rPr>
        <w:t xml:space="preserve">Urgent assessment</w:t>
      </w:r>
      <w:r>
        <w:t xml:space="preserve"> </w:t>
      </w:r>
      <w:r>
        <w:t xml:space="preserve">—</w:t>
      </w:r>
      <w:r>
        <w:t xml:space="preserve"> </w:t>
      </w:r>
      <w:r>
        <w:rPr>
          <w:i/>
          <w:iCs/>
        </w:rPr>
        <w:t xml:space="preserve">Rapid progression with virilization raises the likelihood of an androgen-secreting tumour, over half of which are malignant (Endocrine Society, 2018). The guide calls rapid virilization the one finding that demands urgent work-up.</w:t>
      </w:r>
      <w:r>
        <w:t xml:space="preserve"> </w:t>
      </w:r>
      <w:r>
        <w:t xml:space="preserve">- Darkening of palm creases and gums, weight loss, feeling faint on standing →</w:t>
      </w:r>
      <w:r>
        <w:t xml:space="preserve"> </w:t>
      </w:r>
      <w:r>
        <w:rPr>
          <w:b/>
          <w:bCs/>
        </w:rPr>
        <w:t xml:space="preserve">Urgent assessment</w:t>
      </w:r>
      <w:r>
        <w:t xml:space="preserve"> </w:t>
      </w:r>
      <w:r>
        <w:t xml:space="preserve">—</w:t>
      </w:r>
      <w:r>
        <w:t xml:space="preserve"> </w:t>
      </w:r>
      <w:r>
        <w:rPr>
          <w:i/>
          <w:iCs/>
        </w:rPr>
        <w:t xml:space="preserve">Hyperpigmentation with systemic symptoms suggests primary adrenal insufficiency; the guideline recommends testing in unwell patients and treating a suspected crisis without waiting for results.</w:t>
      </w:r>
      <w:r>
        <w:t xml:space="preserve"> </w:t>
      </w:r>
      <w:r>
        <w:t xml:space="preserve">- Wide purple abdominal striae, easy bruising, trouble climbing stairs →</w:t>
      </w:r>
      <w:r>
        <w:t xml:space="preserve"> </w:t>
      </w:r>
      <w:r>
        <w:rPr>
          <w:b/>
          <w:bCs/>
        </w:rPr>
        <w:t xml:space="preserve">Endocrine referral</w:t>
      </w:r>
      <w:r>
        <w:t xml:space="preserve"> </w:t>
      </w:r>
      <w:r>
        <w:t xml:space="preserve">—</w:t>
      </w:r>
      <w:r>
        <w:t xml:space="preserve"> </w:t>
      </w:r>
      <w:r>
        <w:rPr>
          <w:i/>
          <w:iCs/>
        </w:rPr>
        <w:t xml:space="preserve">Several discriminating features together: the guideline recommends testing for Cushing's syndrome, and the guide lists it for prompt endocrine referral.</w:t>
      </w:r>
      <w:r>
        <w:t xml:space="preserve"> </w:t>
      </w:r>
      <w:r>
        <w:t xml:space="preserve">- Several facial angiofibromas, no tuberous sclerosis; her father had parathyroid surgery →</w:t>
      </w:r>
      <w:r>
        <w:t xml:space="preserve"> </w:t>
      </w:r>
      <w:r>
        <w:rPr>
          <w:b/>
          <w:bCs/>
        </w:rPr>
        <w:t xml:space="preserve">Endocrine referral</w:t>
      </w:r>
      <w:r>
        <w:t xml:space="preserve"> </w:t>
      </w:r>
      <w:r>
        <w:t xml:space="preserve">—</w:t>
      </w:r>
      <w:r>
        <w:t xml:space="preserve"> </w:t>
      </w:r>
      <w:r>
        <w:rPr>
          <w:i/>
          <w:iCs/>
        </w:rPr>
        <w:t xml:space="preserve">Angiofibromas outside tuberous sclerosis call for biochemical testing for MEN1, and a relative with parathyroid disease strengthens the case.</w:t>
      </w:r>
      <w:r>
        <w:t xml:space="preserve"> </w:t>
      </w:r>
      <w:r>
        <w:t xml:space="preserve">- Itchy, rippled brown patch between the shoulder blades; an aunt had thyroid cancer →</w:t>
      </w:r>
      <w:r>
        <w:t xml:space="preserve"> </w:t>
      </w:r>
      <w:r>
        <w:rPr>
          <w:b/>
          <w:bCs/>
        </w:rPr>
        <w:t xml:space="preserve">Endocrine referral</w:t>
      </w:r>
      <w:r>
        <w:t xml:space="preserve"> </w:t>
      </w:r>
      <w:r>
        <w:t xml:space="preserve">—</w:t>
      </w:r>
      <w:r>
        <w:t xml:space="preserve"> </w:t>
      </w:r>
      <w:r>
        <w:rPr>
          <w:i/>
          <w:iCs/>
        </w:rPr>
        <w:t xml:space="preserve">Interscapular lichen amyloidosis clusters with RET variants in MEN2A and can precede medullary thyroid cancer; with that family history it needs endocrine and genetic assessment.</w:t>
      </w:r>
      <w:r>
        <w:t xml:space="preserve"> </w:t>
      </w:r>
      <w:r>
        <w:t xml:space="preserve">- Puffy face after late nights; no bruising, striae or weakness →</w:t>
      </w:r>
      <w:r>
        <w:t xml:space="preserve"> </w:t>
      </w:r>
      <w:r>
        <w:rPr>
          <w:b/>
          <w:bCs/>
        </w:rPr>
        <w:t xml:space="preserve">No endocrine flag alone</w:t>
      </w:r>
      <w:r>
        <w:t xml:space="preserve"> </w:t>
      </w:r>
      <w:r>
        <w:t xml:space="preserve">—</w:t>
      </w:r>
      <w:r>
        <w:t xml:space="preserve"> </w:t>
      </w:r>
      <w:r>
        <w:rPr>
          <w:i/>
          <w:iCs/>
        </w:rPr>
        <w:t xml:space="preserve">Facial fullness alone is a common, weakly discriminating feature, and the guideline advises against testing everyone. Reassess if discriminating features appear.</w:t>
      </w:r>
      <w:r>
        <w:t xml:space="preserve"> </w:t>
      </w:r>
      <w:r>
        <w:t xml:space="preserve">- A few coarse hairs on the chin only; regular periods →</w:t>
      </w:r>
      <w:r>
        <w:t xml:space="preserve"> </w:t>
      </w:r>
      <w:r>
        <w:rPr>
          <w:b/>
          <w:bCs/>
        </w:rPr>
        <w:t xml:space="preserve">No endocrine flag alone</w:t>
      </w:r>
      <w:r>
        <w:t xml:space="preserve"> </w:t>
      </w:r>
      <w:r>
        <w:t xml:space="preserve">—</w:t>
      </w:r>
      <w:r>
        <w:t xml:space="preserve"> </w:t>
      </w:r>
      <w:r>
        <w:rPr>
          <w:i/>
          <w:iCs/>
        </w:rPr>
        <w:t xml:space="preserve">The Endocrine Society suggests against androgen testing in women with regular cycles and unwanted local hair without an abnormal hirsutism score. Hair removal is a reasonable cosmetic choice.</w:t>
      </w:r>
    </w:p>
    <w:p>
      <w:pPr>
        <w:pStyle w:val="BodyText"/>
      </w:pPr>
      <w:r>
        <w:t xml:space="preserve">Sources: Martin KA 2018 · Bornstein SR 2016 · Nieman LK 2008 · Darling TN 1997 · Stanescu LS 2024 · Lause M 2017 · Aesthetic &amp; Regenerative Endocrinology — A Clinician's Pocket Guide 2026</w:t>
      </w:r>
    </w:p>
    <w:bookmarkEnd w:id="55"/>
    <w:bookmarkStart w:id="56" w:name="freckles-before-the-wedding."/>
    <w:p>
      <w:pPr>
        <w:pStyle w:val="Heading3"/>
      </w:pPr>
      <w:r>
        <w:t xml:space="preserve">17 / 19 · Freckles before the wedding.</w:t>
      </w:r>
    </w:p>
    <w:p>
      <w:pPr>
        <w:pStyle w:val="FirstParagraph"/>
      </w:pPr>
      <w:r>
        <w:rPr>
          <w:i/>
          <w:iCs/>
        </w:rPr>
        <w:t xml:space="preserve">Fictional case · audio</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 This is a fictional case built from the lesson's evidence; choose the first move that fits it.</w:t>
      </w:r>
    </w:p>
    <w:p>
      <w:pPr>
        <w:pStyle w:val="Compact"/>
        <w:numPr>
          <w:ilvl w:val="0"/>
          <w:numId w:val="1020"/>
        </w:numPr>
      </w:pPr>
      <w:r>
        <w:t xml:space="preserve">Lip and canthal lentigines: typical of Carney complex</w:t>
      </w:r>
    </w:p>
    <w:p>
      <w:pPr>
        <w:pStyle w:val="Compact"/>
        <w:numPr>
          <w:ilvl w:val="0"/>
          <w:numId w:val="1020"/>
        </w:numPr>
      </w:pPr>
      <w:r>
        <w:t xml:space="preserve">Eyelid papule: a possible cutaneous myxoma</w:t>
      </w:r>
    </w:p>
    <w:p>
      <w:pPr>
        <w:pStyle w:val="Compact"/>
        <w:numPr>
          <w:ilvl w:val="0"/>
          <w:numId w:val="1020"/>
        </w:numPr>
      </w:pPr>
      <w:r>
        <w:t xml:space="preserve">A family heart tumour: the reason not to wait</w:t>
      </w:r>
    </w:p>
    <w:p>
      <w:pPr>
        <w:pStyle w:val="FirstParagraph"/>
      </w:pPr>
      <w:r>
        <w:rPr>
          <w:b/>
          <w:bCs/>
        </w:rPr>
        <w:t xml:space="preserve">Exercise (scenario) · What do you do first?</w:t>
      </w:r>
      <w:r>
        <w:t xml:space="preserve"> </w:t>
      </w:r>
      <w:r>
        <w:t xml:space="preserve">—</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w:t>
      </w:r>
    </w:p>
    <w:p>
      <w:pPr>
        <w:pStyle w:val="Compact"/>
        <w:numPr>
          <w:ilvl w:val="0"/>
          <w:numId w:val="1021"/>
        </w:numPr>
      </w:pPr>
      <w:r>
        <w:t xml:space="preserve">✗ Proceed with the laser: lentigines are benign and she has a deadline. —</w:t>
      </w:r>
      <w:r>
        <w:t xml:space="preserve"> </w:t>
      </w:r>
      <w:r>
        <w:rPr>
          <w:i/>
          <w:iCs/>
        </w:rPr>
        <w:t xml:space="preserve">The spots may well be benign. Their distribution, the eyelid papule and the family history are what matter, and together they flag a possible syndrome.</w:t>
      </w:r>
    </w:p>
    <w:p>
      <w:pPr>
        <w:pStyle w:val="Compact"/>
        <w:numPr>
          <w:ilvl w:val="0"/>
          <w:numId w:val="1021"/>
        </w:numPr>
      </w:pPr>
      <w:r>
        <w:t xml:space="preserve">✔ Pause the cosmetic plan, document the findings and family history, and refer her promptly for endocrine and genetic assessment. —</w:t>
      </w:r>
      <w:r>
        <w:t xml:space="preserve"> </w:t>
      </w:r>
      <w:r>
        <w:rPr>
          <w:i/>
          <w:iCs/>
        </w:rPr>
        <w:t xml:space="preserve">Right. Canthal and lip lentigines with a possible myxoma and a family cardiac tumour fit Carney complex, where early echocardiographic screening matters. You route; the specialist diagnoses.</w:t>
      </w:r>
    </w:p>
    <w:p>
      <w:pPr>
        <w:pStyle w:val="Compact"/>
        <w:numPr>
          <w:ilvl w:val="0"/>
          <w:numId w:val="1021"/>
        </w:numPr>
      </w:pPr>
      <w:r>
        <w:t xml:space="preserve">✗ Order a cortisol test to check for Cushing's before deciding. —</w:t>
      </w:r>
      <w:r>
        <w:t xml:space="preserve"> </w:t>
      </w:r>
      <w:r>
        <w:rPr>
          <w:i/>
          <w:iCs/>
        </w:rPr>
        <w:t xml:space="preserve">Cortisol excess is one feature of Carney complex, but a single test neither assesses the syndrome nor its cardiac risk. Referral comes first.</w:t>
      </w:r>
    </w:p>
    <w:p>
      <w:pPr>
        <w:pStyle w:val="FirstParagraph"/>
      </w:pPr>
      <w:r>
        <w:t xml:space="preserve">Follow-up: Then explain why in plain words: the pattern of spots, the eyelid bump and her father's history together deserve a specialist's look, and the laser can wait.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Document the lentigines, the eyelid lesion and the family history, refer to endocrinology or clinical genetics, and leave echocardiography and testing to that assessment. Defer the laser until then.</w:t>
      </w:r>
      <w:r>
        <w:t xml:space="preserve"> </w:t>
      </w:r>
      <w:r>
        <w:t xml:space="preserve">-</w:t>
      </w:r>
      <w:r>
        <w:t xml:space="preserve"> </w:t>
      </w:r>
      <w:r>
        <w:rPr>
          <w:i/>
          <w:iCs/>
        </w:rPr>
        <w:t xml:space="preserve">Clinical staff:</w:t>
      </w:r>
      <w:r>
        <w:t xml:space="preserve"> </w:t>
      </w:r>
      <w:r>
        <w:t xml:space="preserve">Hold the booking, photograph with consent if your setting allows, record the family history in her words, and bring it to the prescriber the same day.</w:t>
      </w:r>
      <w:r>
        <w:t xml:space="preserve"> </w:t>
      </w:r>
      <w:r>
        <w:t xml:space="preserve">-</w:t>
      </w:r>
      <w:r>
        <w:t xml:space="preserve"> </w:t>
      </w:r>
      <w:r>
        <w:rPr>
          <w:i/>
          <w:iCs/>
        </w:rPr>
        <w:t xml:space="preserve">Advisor:</w:t>
      </w:r>
      <w:r>
        <w:t xml:space="preserve"> </w:t>
      </w:r>
      <w:r>
        <w:t xml:space="preserve">Explain that the pattern of spots is worth a specialist's look before any cosmetic treatment, and point her to a prescriber; do not suggest a product to fade them.</w:t>
      </w:r>
    </w:p>
    <w:p>
      <w:pPr>
        <w:pStyle w:val="BodyText"/>
      </w:pPr>
      <w:r>
        <w:t xml:space="preserve">Narration script</w:t>
      </w:r>
    </w:p>
    <w:p>
      <w:pPr>
        <w:pStyle w:val="BodyText"/>
      </w:pPr>
      <w:r>
        <w:t xml:space="preserve">Consider a fictional patient, built from this lesson's evidence. She is twenty-nine and wants the freckles on her lips and at the corners of her eyes lasered before her wedding. While you examine her you notice a soft, skin-coloured bump on one eyelid. She mentions that her father had a heart tumour removed in his thirties. Pigmented spots at the corners of the eyes are seen in Carney complex and Peutz–Jeghers syndrome, and small skin myxomas favour the eyelids and ears. In Carney complex, tumours of the heart cause more than half of the deaths, which is why screening matters once the diagnosis is suspected. The laser itself may be harmless. The question is what the skin is telling you. Choose your first move.</w:t>
      </w:r>
    </w:p>
    <w:p>
      <w:pPr>
        <w:pStyle w:val="BodyText"/>
      </w:pPr>
      <w:r>
        <w:t xml:space="preserve">Sources: Correa R 2015 · Kirschner LS 2000 · Lause M 2017 · Aesthetic &amp; Regenerative Endocrinology — A Clinician's Pocket Guide 2026</w:t>
      </w:r>
    </w:p>
    <w:bookmarkEnd w:id="56"/>
    <w:bookmarkStart w:id="57" w:name="hair-removal-or-referral"/>
    <w:p>
      <w:pPr>
        <w:pStyle w:val="Heading3"/>
      </w:pPr>
      <w:r>
        <w:t xml:space="preserve">18 / 19 · Hair removal, or referral?</w:t>
      </w:r>
    </w:p>
    <w:p>
      <w:pPr>
        <w:pStyle w:val="FirstParagraph"/>
      </w:pPr>
      <w:r>
        <w:rPr>
          <w:i/>
          <w:iCs/>
        </w:rPr>
        <w:t xml:space="preserve">Your turn · quiz</w:t>
      </w:r>
    </w:p>
    <w:p>
      <w:pPr>
        <w:pStyle w:val="BodyText"/>
      </w:pPr>
      <w:r>
        <w:t xml:space="preserve">One question to close lesson 2.3.</w:t>
      </w:r>
    </w:p>
    <w:p>
      <w:pPr>
        <w:pStyle w:val="BodyText"/>
      </w:pPr>
      <w:r>
        <w:rPr>
          <w:b/>
          <w:bCs/>
        </w:rPr>
        <w:t xml:space="preserve">Q.</w:t>
      </w:r>
      <w:r>
        <w:t xml:space="preserve"> </w:t>
      </w:r>
      <w:r>
        <w:t xml:space="preserve">A 31-year-old wants laser hair removal for coarse hair on her chin and chest that appeared over four months. Her voice has deepened. What comes first?</w:t>
      </w:r>
      <w:r>
        <w:t xml:space="preserve"> </w:t>
      </w:r>
      <w:r>
        <w:t xml:space="preserve">- ✗ Start the laser now and review her in three months. —</w:t>
      </w:r>
      <w:r>
        <w:t xml:space="preserve"> </w:t>
      </w:r>
      <w:r>
        <w:rPr>
          <w:i/>
          <w:iCs/>
        </w:rPr>
        <w:t xml:space="preserve">Rapid onset with virilization raises the likelihood of an androgen-secreting tumour; hair removal does nothing about it.</w:t>
      </w:r>
      <w:r>
        <w:t xml:space="preserve"> </w:t>
      </w:r>
      <w:r>
        <w:t xml:space="preserve">- ✔ Urgent endocrine assessment for an androgen-secreting tumour, before any cosmetic treatment. —</w:t>
      </w:r>
      <w:r>
        <w:t xml:space="preserve"> </w:t>
      </w:r>
      <w:r>
        <w:rPr>
          <w:i/>
          <w:iCs/>
        </w:rPr>
        <w:t xml:space="preserve">Correct. Rapid progression and virilization are the red flags in the Endocrine Society guideline, and the guide calls this the one finding that demands urgent work-up.</w:t>
      </w:r>
      <w:r>
        <w:t xml:space="preserve"> </w:t>
      </w:r>
      <w:r>
        <w:t xml:space="preserve">- ✗ Treat it as polycystic ovary syndrome and combine laser with a topical cream. —</w:t>
      </w:r>
      <w:r>
        <w:t xml:space="preserve"> </w:t>
      </w:r>
      <w:r>
        <w:rPr>
          <w:i/>
          <w:iCs/>
        </w:rPr>
        <w:t xml:space="preserve">Rapid onset with a deepening voice is outside the usual picture, and a tumour needs excluding before any label is attached.</w:t>
      </w:r>
    </w:p>
    <w:bookmarkEnd w:id="57"/>
    <w:bookmarkStart w:id="58" w:name="X27eed1c1713062980dee6999a1725a683e683b7"/>
    <w:p>
      <w:pPr>
        <w:pStyle w:val="Heading3"/>
      </w:pPr>
      <w:r>
        <w:t xml:space="preserve">19 / 19 · Before I treat a face that might be hormonal.</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hormone-and-skin checklist</w:t>
      </w:r>
      <w:r>
        <w:t xml:space="preserve"> </w:t>
      </w:r>
      <w:r>
        <w:t xml:space="preserve">— Tap everything you will do. Choose as many as you like.</w:t>
      </w:r>
      <w:r>
        <w:t xml:space="preserve"> </w:t>
      </w:r>
      <w:r>
        <w:rPr>
          <w:i/>
          <w:iCs/>
        </w:rPr>
        <w:t xml:space="preserve">Before I treat a skin complaint that might be hormonal I will …</w:t>
      </w:r>
      <w:r>
        <w:t xml:space="preserve"> </w:t>
      </w:r>
      <w:r>
        <w:t xml:space="preserve">take a steroid history, including creams, skin-lighteners and injections · check for bruising, plethora, proximal weakness and wide purple striae · keep hormone therapy tied to symptoms and bone, never skin alone · route rapid hirsutism, virilization or new darkening urgently · refer lip and eyelid lentigines, angiofibromas or interscapular amyloidosis · document what I saw and where I referred</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order or the referral: which test, which specialist, and what you documented.</w:t>
      </w:r>
      <w:r>
        <w:t xml:space="preserve"> </w:t>
      </w:r>
      <w:r>
        <w:t xml:space="preserve">-</w:t>
      </w:r>
      <w:r>
        <w:t xml:space="preserve"> </w:t>
      </w:r>
      <w:r>
        <w:rPr>
          <w:i/>
          <w:iCs/>
        </w:rPr>
        <w:t xml:space="preserve">Clinical staff:</w:t>
      </w:r>
      <w:r>
        <w:t xml:space="preserve"> </w:t>
      </w:r>
      <w:r>
        <w:t xml:space="preserve">Your checklist ends with escalation: red-flag findings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hormonal signs and hormone requests go to a prescriber.</w:t>
      </w:r>
    </w:p>
    <w:p>
      <w:pPr>
        <w:pStyle w:val="BodyText"/>
      </w:pPr>
      <w:r>
        <w:t xml:space="preserve">Sources: Nieman LK 2008 · North American Menopause Society (2022 Hormone Therapy Advisory Panel) 2022 · Martin KA 2018 · Aesthetic &amp; Regenerative Endocrinology — A Clinician's Pocket Guide 2026</w:t>
      </w:r>
    </w:p>
    <w:bookmarkEnd w:id="58"/>
    <w:bookmarkEnd w:id="59"/>
    <w:bookmarkStart w:id="60" w:name="module-check-1"/>
    <w:p>
      <w:pPr>
        <w:pStyle w:val="Heading2"/>
      </w:pPr>
      <w:r>
        <w:t xml:space="preserve">Module check</w:t>
      </w:r>
    </w:p>
    <w:p>
      <w:pPr>
        <w:pStyle w:val="FirstParagraph"/>
      </w:pPr>
      <w:r>
        <w:rPr>
          <w:b/>
          <w:bCs/>
        </w:rPr>
        <w:t xml:space="preserve">Q.</w:t>
      </w:r>
      <w:r>
        <w:t xml:space="preserve"> </w:t>
      </w:r>
      <w:r>
        <w:t xml:space="preserve">Closing Module 2: which statement keeps mechanism, evidence, regulation and the open question apart?</w:t>
      </w:r>
      <w:r>
        <w:t xml:space="preserve"> </w:t>
      </w:r>
      <w:r>
        <w:t xml:space="preserve">- ✗ Estrogen raises dermal collagen, so hormone therapy is indicated for skin ageing. —</w:t>
      </w:r>
      <w:r>
        <w:t xml:space="preserve"> </w:t>
      </w:r>
      <w:r>
        <w:rPr>
          <w:i/>
          <w:iCs/>
        </w:rPr>
        <w:t xml:space="preserve">That blends mechanism into indication. The collagen effect is real in small trials; the approved uses are symptoms and bone.</w:t>
      </w:r>
      <w:r>
        <w:t xml:space="preserve"> </w:t>
      </w:r>
      <w:r>
        <w:t xml:space="preserve">- ✔ Estrogen acts on skin receptors (mechanism); small trials show thicker skin, while the largest found no wrinkle difference (evidence); US approved uses are symptoms and bone (regulation); whether longer treatment changes facial ageing is untested (open question). —</w:t>
      </w:r>
      <w:r>
        <w:t xml:space="preserve"> </w:t>
      </w:r>
      <w:r>
        <w:rPr>
          <w:i/>
          <w:iCs/>
        </w:rPr>
        <w:t xml:space="preserve">Correct. Four separate answers, each with its own source.</w:t>
      </w:r>
      <w:r>
        <w:t xml:space="preserve"> </w:t>
      </w:r>
      <w:r>
        <w:t xml:space="preserve">- ✗ A round, puffy face is a sign of Cushing's syndrome and should be tested. —</w:t>
      </w:r>
      <w:r>
        <w:t xml:space="preserve"> </w:t>
      </w:r>
      <w:r>
        <w:rPr>
          <w:i/>
          <w:iCs/>
        </w:rPr>
        <w:t xml:space="preserve">Facial fullness is common and weakly discriminating; testing is for multiple, progressive discriminating features.</w:t>
      </w:r>
    </w:p>
    <w:p>
      <w:r>
        <w:pict>
          <v:rect style="width:0;height:1.5pt" o:hralign="center" o:hrstd="t" o:hr="t"/>
        </w:pict>
      </w:r>
    </w:p>
    <w:bookmarkEnd w:id="60"/>
    <w:bookmarkEnd w:id="61"/>
    <w:bookmarkStart w:id="86" w:name="X9bf112b2dd1b11ff33bfe5186b496ce9ac52eb7"/>
    <w:p>
      <w:pPr>
        <w:pStyle w:val="Heading1"/>
      </w:pPr>
      <w:r>
        <w:t xml:space="preserve">Hormones and Peptides for Skin · Module 03 — review draft</w:t>
      </w:r>
    </w:p>
    <w:p>
      <w:pPr>
        <w:pStyle w:val="FirstParagraph"/>
      </w:pPr>
      <w:r>
        <w:rPr>
          <w:i/>
          <w:iCs/>
        </w:rPr>
        <w:t xml:space="preserve">ai_draft · authored 2026-09-24 · 20 moments, ~27 min + module check · 51 sources · 20 claims</w:t>
      </w:r>
    </w:p>
    <w:p>
      <w:pPr>
        <w:pStyle w:val="BodyText"/>
      </w:pPr>
      <w:r>
        <w:t xml:space="preserve">Every factual sentence traces to the graded registry (</w:t>
      </w:r>
      <w:r>
        <w:rPr>
          <w:rStyle w:val="VerbatimChar"/>
        </w:rPr>
        <w:t xml:space="preserve">citations/m03.md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69" w:name="X470a1e5cedf5352c600452818250be6a3a0ef1d"/>
    <w:p>
      <w:pPr>
        <w:pStyle w:val="Heading2"/>
      </w:pPr>
      <w:r>
        <w:t xml:space="preserve">Lesson 3.1 · Dermal fat and matrix glycation</w:t>
      </w:r>
    </w:p>
    <w:bookmarkStart w:id="62" w:name="the-face-changes-when-the-fat-does."/>
    <w:p>
      <w:pPr>
        <w:pStyle w:val="Heading3"/>
      </w:pPr>
      <w:r>
        <w:t xml:space="preserve">01 / 20 · The face changes when the fat does.</w:t>
      </w:r>
    </w:p>
    <w:p>
      <w:pPr>
        <w:pStyle w:val="FirstParagraph"/>
      </w:pPr>
      <w:r>
        <w:rPr>
          <w:i/>
          <w:iCs/>
        </w:rPr>
        <w:t xml:space="preserve">Module 03 · Fat, incretins and the ageing face · title</w:t>
      </w:r>
    </w:p>
    <w:p>
      <w:pPr>
        <w:pStyle w:val="BodyText"/>
      </w:pPr>
      <w:r>
        <w:t xml:space="preserve">Facial shape depends on fat as much as on collagen. In three lessons you will separate what is known about the skin's own fat, sugar damage to the dermis, weight-loss drugs and the gut from what is still mechanism, marketing or an open question.</w:t>
      </w:r>
    </w:p>
    <w:p>
      <w:pPr>
        <w:pStyle w:val="Compact"/>
        <w:numPr>
          <w:ilvl w:val="0"/>
          <w:numId w:val="1022"/>
        </w:numPr>
      </w:pPr>
      <w:r>
        <w:t xml:space="preserve">3.1 Dermal fat and sugar damage to collagen</w:t>
      </w:r>
    </w:p>
    <w:p>
      <w:pPr>
        <w:pStyle w:val="Compact"/>
        <w:numPr>
          <w:ilvl w:val="0"/>
          <w:numId w:val="1022"/>
        </w:numPr>
      </w:pPr>
      <w:r>
        <w:t xml:space="preserve">3.2 Semaglutide, tirzepatide and the changing face</w:t>
      </w:r>
    </w:p>
    <w:p>
      <w:pPr>
        <w:pStyle w:val="Compact"/>
        <w:numPr>
          <w:ilvl w:val="0"/>
          <w:numId w:val="1022"/>
        </w:numPr>
      </w:pPr>
      <w:r>
        <w:t xml:space="preserve">3.3 The gut barrier, endotoxaemia and inflammaging</w:t>
      </w:r>
    </w:p>
    <w:bookmarkEnd w:id="62"/>
    <w:bookmarkStart w:id="63" w:name="the-skin-keeps-its-own-fat."/>
    <w:p>
      <w:pPr>
        <w:pStyle w:val="Heading3"/>
      </w:pPr>
      <w:r>
        <w:t xml:space="preserve">02 / 20 · The skin keeps its own fat.</w:t>
      </w:r>
    </w:p>
    <w:p>
      <w:pPr>
        <w:pStyle w:val="FirstParagraph"/>
      </w:pPr>
      <w:r>
        <w:rPr>
          <w:i/>
          <w:iCs/>
        </w:rPr>
        <w:t xml:space="preserve">Mechanism · audio</w:t>
      </w:r>
    </w:p>
    <w:p>
      <w:pPr>
        <w:pStyle w:val="BodyText"/>
      </w:pPr>
      <w:r>
        <w:t xml:space="preserve">Beneath the dermis lies subcutaneous fat. Within the reticular dermis itself sits a thinner layer, dermal white adipose tissue. In mice, this layer expands rapidly after a Staphylococcus aureus infection, its new fat cells release the antimicrobial peptide cathelicidin, and the capacity fades with age through TGF-β signalling. Human skin arranges this fat differently, in cones around hair follicles, and human acne lesions contain perifollicular preadipocytes that make cathelicidin. What the layer contributes to human skin ageing has not been measured.</w:t>
      </w:r>
    </w:p>
    <w:p>
      <w:pPr>
        <w:pStyle w:val="Compact"/>
        <w:numPr>
          <w:ilvl w:val="0"/>
          <w:numId w:val="1023"/>
        </w:numPr>
      </w:pPr>
      <w:r>
        <w:t xml:space="preserve">A second fat layer inside the dermis</w:t>
      </w:r>
    </w:p>
    <w:p>
      <w:pPr>
        <w:pStyle w:val="Compact"/>
        <w:numPr>
          <w:ilvl w:val="0"/>
          <w:numId w:val="1023"/>
        </w:numPr>
      </w:pPr>
      <w:r>
        <w:t xml:space="preserve">In mice: antimicrobial, and lost with age</w:t>
      </w:r>
    </w:p>
    <w:p>
      <w:pPr>
        <w:pStyle w:val="Compact"/>
        <w:numPr>
          <w:ilvl w:val="0"/>
          <w:numId w:val="1023"/>
        </w:numPr>
      </w:pPr>
      <w:r>
        <w:t xml:space="preserve">In people: a different shape, and an open question about ageing</w:t>
      </w:r>
    </w:p>
    <w:p>
      <w:pPr>
        <w:pStyle w:val="FirstParagraph"/>
      </w:pPr>
      <w:r>
        <w:t xml:space="preserve">Narration script</w:t>
      </w:r>
    </w:p>
    <w:p>
      <w:pPr>
        <w:pStyle w:val="BodyText"/>
      </w:pPr>
      <w:r>
        <w:t xml:space="preserve">Most people picture skin fat as one layer under the dermis. There is a second, thinner layer inside the reticular dermis itself, called dermal white adipose tissue. In mice, this layer expands rapidly after a Staphylococcus aureus infection, and its new fat cells release cathelicidin, an antimicrobial peptide. Older mice lose much of that capacity, through TGF-beta signalling. Human skin arranges this fat differently, in small cones around hair follicles, and human acne lesions contain preadipocytes around the follicle that make cathelicidin. What the layer contributes to human skin ageing has not yet been measured. So hold two things apart when you hear about skin fat. The defence story is strong in mice and emerging in people. The ageing story in people is still a proposal.</w:t>
      </w:r>
    </w:p>
    <w:p>
      <w:pPr>
        <w:pStyle w:val="BodyText"/>
      </w:pPr>
      <w:r>
        <w:t xml:space="preserve">Sources: Chen SX 2019 · Zhang LJ 2015 · Zhang LJ 2019 · Kruglikov IL 2016 · O'Neill AM 2022 · Kershaw EE 2004 · Aesthetic &amp; Regenerative Endocrinology — A Clinician's Pocket Guide 2026</w:t>
      </w:r>
    </w:p>
    <w:bookmarkEnd w:id="63"/>
    <w:bookmarkStart w:id="64" w:name="fat-that-holds-the-face-up."/>
    <w:p>
      <w:pPr>
        <w:pStyle w:val="Heading3"/>
      </w:pPr>
      <w:r>
        <w:t xml:space="preserve">03 / 20 · Fat that holds the face up.</w:t>
      </w:r>
    </w:p>
    <w:p>
      <w:pPr>
        <w:pStyle w:val="FirstParagraph"/>
      </w:pPr>
      <w:r>
        <w:rPr>
          <w:i/>
          <w:iCs/>
        </w:rPr>
        <w:t xml:space="preserve">Human evidence · stat</w:t>
      </w:r>
    </w:p>
    <w:p>
      <w:pPr>
        <w:pStyle w:val="BodyText"/>
      </w:pPr>
      <w:r>
        <w:t xml:space="preserve">Cadaver dissection shows that the face's subcutaneous fat sits in separate compartments, and facial ageing is partly how each compartment changes. Weight shows the same thing from the outside. In a study of 186 pairs of identical twins, the twin with the higher body-mass index looked older before about age 40 and younger after it.</w:t>
      </w:r>
    </w:p>
    <w:p>
      <w:pPr>
        <w:pStyle w:val="BodyText"/>
      </w:pPr>
      <w:r>
        <w:rPr>
          <w:b/>
          <w:bCs/>
        </w:rPr>
        <w:t xml:space="preserve">186</w:t>
      </w:r>
      <w:r>
        <w:t xml:space="preserve"> </w:t>
      </w:r>
      <w:r>
        <w:t xml:space="preserve">— pairs of identical twins compared for facial ageing (Guyuron et al., 2009 — a four-point higher BMI tracked with an older look before about 40 and a younger look after it)</w:t>
      </w:r>
      <w:r>
        <w:br/>
      </w:r>
      <w:r>
        <w:rPr>
          <w:i/>
          <w:iCs/>
        </w:rPr>
        <w:t xml:space="preserve">Means:</w:t>
      </w:r>
      <w:r>
        <w:t xml:space="preserve"> </w:t>
      </w:r>
      <w:r>
        <w:t xml:space="preserve">From midlife on, facial fat goes with a younger-looking face. That fits the anatomy: the face ages partly as its fat compartments change. GRADE C, observational.</w:t>
      </w:r>
      <w:r>
        <w:br/>
      </w:r>
      <w:r>
        <w:rPr>
          <w:i/>
          <w:iCs/>
        </w:rPr>
        <w:t xml:space="preserve">Does not mean:</w:t>
      </w:r>
      <w:r>
        <w:t xml:space="preserve"> </w:t>
      </w:r>
      <w:r>
        <w:t xml:space="preserve">It is an observational comparison of photographs. It does not show that gaining weight rejuvenates, or that fat loss on a drug changes the skin itself.</w:t>
      </w:r>
    </w:p>
    <w:p>
      <w:pPr>
        <w:pStyle w:val="BodyText"/>
      </w:pPr>
      <w:r>
        <w:t xml:space="preserve">Sources: Rohrich RJ 2007 · Guyuron B 2009 · Aesthetic &amp; Regenerative Endocrinology — A Clinician's Pocket Guide 2026</w:t>
      </w:r>
    </w:p>
    <w:bookmarkEnd w:id="64"/>
    <w:bookmarkStart w:id="65" w:name="sugar-that-sticks-to-collagen."/>
    <w:p>
      <w:pPr>
        <w:pStyle w:val="Heading3"/>
      </w:pPr>
      <w:r>
        <w:t xml:space="preserve">04 / 20 · Sugar that sticks to collagen.</w:t>
      </w:r>
    </w:p>
    <w:p>
      <w:pPr>
        <w:pStyle w:val="FirstParagraph"/>
      </w:pPr>
      <w:r>
        <w:rPr>
          <w:i/>
          <w:iCs/>
        </w:rPr>
        <w:t xml:space="preserve">Mechanism · audio</w:t>
      </w:r>
    </w:p>
    <w:p>
      <w:pPr>
        <w:pStyle w:val="BodyText"/>
      </w:pPr>
      <w:r>
        <w:t xml:space="preserve">Glycation is a slow, non-enzymatic reaction. Reducing sugars attach to protein amino groups, rearrange into Amadori products and end as advanced glycation end products, or AGEs. On long-lived dermal collagen, AGEs form cross-links that stiffen the matrix. Through their receptor, RAGE, AGEs switch on inflammatory signalling in laboratory studies. The Aesthetic &amp; Regenerative Endocrinology guide rates the structural and inflammatory effects B; the course grades the causal link to visible ageing D, because the human data are associations.</w:t>
      </w:r>
    </w:p>
    <w:p>
      <w:pPr>
        <w:pStyle w:val="Compact"/>
        <w:numPr>
          <w:ilvl w:val="0"/>
          <w:numId w:val="1024"/>
        </w:numPr>
      </w:pPr>
      <w:r>
        <w:t xml:space="preserve">Sugar + protein → Schiff base → Amadori product → AGE</w:t>
      </w:r>
    </w:p>
    <w:p>
      <w:pPr>
        <w:pStyle w:val="Compact"/>
        <w:numPr>
          <w:ilvl w:val="0"/>
          <w:numId w:val="1024"/>
        </w:numPr>
      </w:pPr>
      <w:r>
        <w:t xml:space="preserve">Cross-links stiffen long-lived collagen</w:t>
      </w:r>
    </w:p>
    <w:p>
      <w:pPr>
        <w:pStyle w:val="Compact"/>
        <w:numPr>
          <w:ilvl w:val="0"/>
          <w:numId w:val="1024"/>
        </w:numPr>
      </w:pPr>
      <w:r>
        <w:t xml:space="preserve">RAGE signalling: shown in the laboratory</w:t>
      </w:r>
    </w:p>
    <w:p>
      <w:pPr>
        <w:pStyle w:val="FirstParagraph"/>
      </w:pPr>
      <w:r>
        <w:t xml:space="preserve">Narration script</w:t>
      </w:r>
    </w:p>
    <w:p>
      <w:pPr>
        <w:pStyle w:val="BodyText"/>
      </w:pPr>
      <w:r>
        <w:t xml:space="preserve">Glycation is chemistry before it is biology. Reducing sugars attach to the amino groups of proteins, rearrange into more stable products, and end as advanced glycation end products, known as AGEs. Dermal collagen lasts for years, so it collects AGEs, and they form cross-links that make the matrix stiffer. AGEs also bind a receptor called RAGE, which in laboratory studies switches on inflammatory signalling and enzymes that break down matrix. Keep the registers apart here. The chemistry, and the build-up of AGEs in human skin, are well documented. The idea that AGEs cause the wrinkles and laxity you see in clinic rests on laboratory and animal work plus human associations. The Aesthetic and Regenerative Endocrinology guide rates the structural and inflammatory effects grade B. This course grades the causal link D, and the next moment shows why.</w:t>
      </w:r>
    </w:p>
    <w:p>
      <w:pPr>
        <w:pStyle w:val="BodyText"/>
      </w:pPr>
      <w:r>
        <w:t xml:space="preserve">Sources: Gkogkolou P 2012 · Dyer DG 1993 · Aesthetic &amp; Regenerative Endocrinology — A Clinician's Pocket Guide 2026</w:t>
      </w:r>
    </w:p>
    <w:bookmarkEnd w:id="65"/>
    <w:bookmarkStart w:id="66" w:name="fifteen-years-on-the-same-collagen."/>
    <w:p>
      <w:pPr>
        <w:pStyle w:val="Heading3"/>
      </w:pPr>
      <w:r>
        <w:t xml:space="preserve">05 / 20 · Fifteen years on the same collagen.</w:t>
      </w:r>
    </w:p>
    <w:p>
      <w:pPr>
        <w:pStyle w:val="FirstParagraph"/>
      </w:pPr>
      <w:r>
        <w:rPr>
          <w:i/>
          <w:iCs/>
        </w:rPr>
        <w:t xml:space="preserve">Human evidence · stat</w:t>
      </w:r>
    </w:p>
    <w:p>
      <w:pPr>
        <w:pStyle w:val="BodyText"/>
      </w:pPr>
      <w:r>
        <w:t xml:space="preserve">Human skin collagen turns over slowly; tissue analysis puts its half-life at about 15 years. In skin biopsies, glycoxidation products in collagen rose about five-fold between ages 20 and 85, and were up to twice as high in type 1 diabetes. Skin autofluorescence, a non-invasive reading, correlates moderately with those biopsy measures and was validated in non-pigmented skin.</w:t>
      </w:r>
    </w:p>
    <w:p>
      <w:pPr>
        <w:pStyle w:val="BodyText"/>
      </w:pPr>
      <w:r>
        <w:rPr>
          <w:b/>
          <w:bCs/>
        </w:rPr>
        <w:t xml:space="preserve">~15 years</w:t>
      </w:r>
      <w:r>
        <w:t xml:space="preserve"> </w:t>
      </w:r>
      <w:r>
        <w:t xml:space="preserve">— estimated half-life of human skin collagen (Verzijl et al., 2000 · AGE content of skin collagen rises about five-fold from age 20 to 85 (Dyer et al., 1993))</w:t>
      </w:r>
      <w:r>
        <w:br/>
      </w:r>
      <w:r>
        <w:rPr>
          <w:i/>
          <w:iCs/>
        </w:rPr>
        <w:t xml:space="preserve">Means:</w:t>
      </w:r>
      <w:r>
        <w:t xml:space="preserve"> </w:t>
      </w:r>
      <w:r>
        <w:t xml:space="preserve">Glycation damage accumulates on the same collagen for years, and faster with higher glucose exposure. That much is measured in human skin: direct, observational, GRADE C.</w:t>
      </w:r>
      <w:r>
        <w:br/>
      </w:r>
      <w:r>
        <w:rPr>
          <w:i/>
          <w:iCs/>
        </w:rPr>
        <w:t xml:space="preserve">Does not mean:</w:t>
      </w:r>
      <w:r>
        <w:t xml:space="preserve"> </w:t>
      </w:r>
      <w:r>
        <w:t xml:space="preserve">It does not show how much of visible ageing AGEs cause, or that any product reverses established cross-links. Skin autofluorescence is a surrogate reading of AGE load.</w:t>
      </w:r>
    </w:p>
    <w:p>
      <w:pPr>
        <w:pStyle w:val="BodyText"/>
      </w:pPr>
      <w:r>
        <w:t xml:space="preserve">Sources: Verzijl N 2000 · Dyer DG 1993 · Meerwaldt R 2004 · Aesthetic &amp; Regenerative Endocrinology — A Clinician's Pocket Guide 2026</w:t>
      </w:r>
    </w:p>
    <w:bookmarkEnd w:id="66"/>
    <w:bookmarkStart w:id="67" w:name="mouse-human-or-marketing"/>
    <w:p>
      <w:pPr>
        <w:pStyle w:val="Heading3"/>
      </w:pPr>
      <w:r>
        <w:t xml:space="preserve">06 / 20 · Mouse, human or marketing?</w:t>
      </w:r>
    </w:p>
    <w:p>
      <w:pPr>
        <w:pStyle w:val="FirstParagraph"/>
      </w:pPr>
      <w:r>
        <w:rPr>
          <w:i/>
          <w:iCs/>
        </w:rPr>
        <w:t xml:space="preserve">Sort the evidence · tool</w:t>
      </w:r>
    </w:p>
    <w:p>
      <w:pPr>
        <w:pStyle w:val="BodyText"/>
      </w:pPr>
      <w:r>
        <w:t xml:space="preserve">Six statements you will hear about skin fat and glycation. Before you see where each one stands, decide what kind of evidence is behind it.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Dermal fat cells release cathelicidin to fight Staphylococcus aureus</w:t>
            </w:r>
          </w:p>
        </w:tc>
        <w:tc>
          <w:tcPr/>
          <w:p>
            <w:pPr>
              <w:pStyle w:val="Compact"/>
            </w:pPr>
            <w:r>
              <w:t xml:space="preserve">Skin fat</w:t>
            </w:r>
          </w:p>
        </w:tc>
        <w:tc>
          <w:tcPr/>
          <w:p>
            <w:pPr>
              <w:pStyle w:val="Compact"/>
            </w:pPr>
            <w:r>
              <w:t xml:space="preserve">Defence</w:t>
            </w:r>
          </w:p>
        </w:tc>
      </w:tr>
      <w:tr>
        <w:tc>
          <w:tcPr/>
          <w:p>
            <w:pPr>
              <w:pStyle w:val="Compact"/>
            </w:pPr>
            <w:r>
              <w:t xml:space="preserve">Dermal fat loses its defensive capacity with age</w:t>
            </w:r>
          </w:p>
        </w:tc>
        <w:tc>
          <w:tcPr/>
          <w:p>
            <w:pPr>
              <w:pStyle w:val="Compact"/>
            </w:pPr>
            <w:r>
              <w:t xml:space="preserve">Skin fat</w:t>
            </w:r>
          </w:p>
        </w:tc>
        <w:tc>
          <w:tcPr/>
          <w:p>
            <w:pPr>
              <w:pStyle w:val="Compact"/>
            </w:pPr>
            <w:r>
              <w:t xml:space="preserve">Ageing</w:t>
            </w:r>
          </w:p>
        </w:tc>
      </w:tr>
      <w:tr>
        <w:tc>
          <w:tcPr/>
          <w:p>
            <w:pPr>
              <w:pStyle w:val="Compact"/>
            </w:pPr>
            <w:r>
              <w:t xml:space="preserve">AGEs build up in skin collagen with age, faster in diabetes</w:t>
            </w:r>
          </w:p>
        </w:tc>
        <w:tc>
          <w:tcPr/>
          <w:p>
            <w:pPr>
              <w:pStyle w:val="Compact"/>
            </w:pPr>
            <w:r>
              <w:t xml:space="preserve">Glycation</w:t>
            </w:r>
          </w:p>
        </w:tc>
        <w:tc>
          <w:tcPr/>
          <w:p>
            <w:pPr>
              <w:pStyle w:val="Compact"/>
            </w:pPr>
            <w:r>
              <w:t xml:space="preserve">Accumulation</w:t>
            </w:r>
          </w:p>
        </w:tc>
      </w:tr>
      <w:tr>
        <w:tc>
          <w:tcPr/>
          <w:p>
            <w:pPr>
              <w:pStyle w:val="Compact"/>
            </w:pPr>
            <w:r>
              <w:t xml:space="preserve">Skin collagen stays in place for many years</w:t>
            </w:r>
          </w:p>
        </w:tc>
        <w:tc>
          <w:tcPr/>
          <w:p>
            <w:pPr>
              <w:pStyle w:val="Compact"/>
            </w:pPr>
            <w:r>
              <w:t xml:space="preserve">Glycation</w:t>
            </w:r>
          </w:p>
        </w:tc>
        <w:tc>
          <w:tcPr/>
          <w:p>
            <w:pPr>
              <w:pStyle w:val="Compact"/>
            </w:pPr>
            <w:r>
              <w:t xml:space="preserve">Turnover</w:t>
            </w:r>
          </w:p>
        </w:tc>
      </w:tr>
      <w:tr>
        <w:tc>
          <w:tcPr/>
          <w:p>
            <w:pPr>
              <w:pStyle w:val="Compact"/>
            </w:pPr>
            <w:r>
              <w:t xml:space="preserve">AGEs drive skin inflammation through their receptor, RAGE</w:t>
            </w:r>
          </w:p>
        </w:tc>
        <w:tc>
          <w:tcPr/>
          <w:p>
            <w:pPr>
              <w:pStyle w:val="Compact"/>
            </w:pPr>
            <w:r>
              <w:t xml:space="preserve">Glycation</w:t>
            </w:r>
          </w:p>
        </w:tc>
        <w:tc>
          <w:tcPr/>
          <w:p>
            <w:pPr>
              <w:pStyle w:val="Compact"/>
            </w:pPr>
            <w:r>
              <w:t xml:space="preserve">Signalling</w:t>
            </w:r>
          </w:p>
        </w:tc>
      </w:tr>
      <w:tr>
        <w:tc>
          <w:tcPr/>
          <w:p>
            <w:pPr>
              <w:pStyle w:val="Compact"/>
            </w:pPr>
            <w:r>
              <w:t xml:space="preserve">An anti-glycation serum reverses cross-linked collagen</w:t>
            </w:r>
          </w:p>
        </w:tc>
        <w:tc>
          <w:tcPr/>
          <w:p>
            <w:pPr>
              <w:pStyle w:val="Compact"/>
            </w:pPr>
            <w:r>
              <w:t xml:space="preserve">Glycation</w:t>
            </w:r>
          </w:p>
        </w:tc>
        <w:tc>
          <w:tcPr/>
          <w:p>
            <w:pPr>
              <w:pStyle w:val="Compact"/>
            </w:pPr>
            <w:r>
              <w:t xml:space="preserve">Treatment</w:t>
            </w:r>
          </w:p>
        </w:tc>
      </w:tr>
    </w:tbl>
    <w:p>
      <w:pPr>
        <w:pStyle w:val="BodyText"/>
      </w:pPr>
      <w:r>
        <w:rPr>
          <w:b/>
          <w:bCs/>
        </w:rPr>
        <w:t xml:space="preserve">Callout:</w:t>
      </w:r>
      <w:r>
        <w:t xml:space="preserve"> </w:t>
      </w:r>
      <w:r>
        <w:t xml:space="preserve">Ask where a statement was shown: in mice, in human skin, or only on a label.</w:t>
      </w:r>
    </w:p>
    <w:p>
      <w:pPr>
        <w:pStyle w:val="BodyText"/>
      </w:pPr>
      <w:r>
        <w:rPr>
          <w:b/>
          <w:bCs/>
        </w:rPr>
        <w:t xml:space="preserve">Exercise (classify) · Mouse, human or marketing?</w:t>
      </w:r>
      <w:r>
        <w:t xml:space="preserve"> </w:t>
      </w:r>
      <w:r>
        <w:t xml:space="preserve">— Tap what stands behind each statement.</w:t>
      </w:r>
      <w:r>
        <w:t xml:space="preserve"> </w:t>
      </w:r>
      <w:r>
        <w:t xml:space="preserve">- Dermal fat cells release cathelicidin to fight Staphylococcus aureus →</w:t>
      </w:r>
      <w:r>
        <w:t xml:space="preserve"> </w:t>
      </w:r>
      <w:r>
        <w:rPr>
          <w:b/>
          <w:bCs/>
        </w:rPr>
        <w:t xml:space="preserve">Shown in mice or cells</w:t>
      </w:r>
      <w:r>
        <w:t xml:space="preserve"> </w:t>
      </w:r>
      <w:r>
        <w:t xml:space="preserve">—</w:t>
      </w:r>
      <w:r>
        <w:t xml:space="preserve"> </w:t>
      </w:r>
      <w:r>
        <w:rPr>
          <w:i/>
          <w:iCs/>
        </w:rPr>
        <w:t xml:space="preserve">Shown in mouse infection models (D). Human acne lesions contain preadipocytes that make cathelicidin, but protection against infection has not been tested in people.</w:t>
      </w:r>
      <w:r>
        <w:t xml:space="preserve"> </w:t>
      </w:r>
      <w:r>
        <w:t xml:space="preserve">- Dermal fat loses its defensive capacity with age →</w:t>
      </w:r>
      <w:r>
        <w:t xml:space="preserve"> </w:t>
      </w:r>
      <w:r>
        <w:rPr>
          <w:b/>
          <w:bCs/>
        </w:rPr>
        <w:t xml:space="preserve">Shown in mice or cells</w:t>
      </w:r>
      <w:r>
        <w:t xml:space="preserve"> </w:t>
      </w:r>
      <w:r>
        <w:t xml:space="preserve">—</w:t>
      </w:r>
      <w:r>
        <w:t xml:space="preserve"> </w:t>
      </w:r>
      <w:r>
        <w:rPr>
          <w:i/>
          <w:iCs/>
        </w:rPr>
        <w:t xml:space="preserve">Shown in mice, through TGF-β signalling (D). The equivalent change in human skin has not been measured.</w:t>
      </w:r>
      <w:r>
        <w:t xml:space="preserve"> </w:t>
      </w:r>
      <w:r>
        <w:t xml:space="preserve">- AGEs build up in skin collagen with age, faster in diabetes →</w:t>
      </w:r>
      <w:r>
        <w:t xml:space="preserve"> </w:t>
      </w:r>
      <w:r>
        <w:rPr>
          <w:b/>
          <w:bCs/>
        </w:rPr>
        <w:t xml:space="preserve">Shown in human skin</w:t>
      </w:r>
      <w:r>
        <w:t xml:space="preserve"> </w:t>
      </w:r>
      <w:r>
        <w:t xml:space="preserve">—</w:t>
      </w:r>
      <w:r>
        <w:t xml:space="preserve"> </w:t>
      </w:r>
      <w:r>
        <w:rPr>
          <w:i/>
          <w:iCs/>
        </w:rPr>
        <w:t xml:space="preserve">Measured directly in human skin biopsies (C, observational), and up to twice as high in type 1 diabetes.</w:t>
      </w:r>
      <w:r>
        <w:t xml:space="preserve"> </w:t>
      </w:r>
      <w:r>
        <w:t xml:space="preserve">- Skin collagen stays in place for many years →</w:t>
      </w:r>
      <w:r>
        <w:t xml:space="preserve"> </w:t>
      </w:r>
      <w:r>
        <w:rPr>
          <w:b/>
          <w:bCs/>
        </w:rPr>
        <w:t xml:space="preserve">Shown in human skin</w:t>
      </w:r>
      <w:r>
        <w:t xml:space="preserve"> </w:t>
      </w:r>
      <w:r>
        <w:t xml:space="preserve">—</w:t>
      </w:r>
      <w:r>
        <w:t xml:space="preserve"> </w:t>
      </w:r>
      <w:r>
        <w:rPr>
          <w:i/>
          <w:iCs/>
        </w:rPr>
        <w:t xml:space="preserve">Human tissue analysis puts the half-life of skin collagen at about 15 years (C), which is why glycation damage accumulates.</w:t>
      </w:r>
      <w:r>
        <w:t xml:space="preserve"> </w:t>
      </w:r>
      <w:r>
        <w:t xml:space="preserve">- AGEs drive skin inflammation through their receptor, RAGE →</w:t>
      </w:r>
      <w:r>
        <w:t xml:space="preserve"> </w:t>
      </w:r>
      <w:r>
        <w:rPr>
          <w:b/>
          <w:bCs/>
        </w:rPr>
        <w:t xml:space="preserve">Shown in mice or cells</w:t>
      </w:r>
      <w:r>
        <w:t xml:space="preserve"> </w:t>
      </w:r>
      <w:r>
        <w:t xml:space="preserve">—</w:t>
      </w:r>
      <w:r>
        <w:t xml:space="preserve"> </w:t>
      </w:r>
      <w:r>
        <w:rPr>
          <w:i/>
          <w:iCs/>
        </w:rPr>
        <w:t xml:space="preserve">Laboratory and animal work. The Aesthetic &amp; Regenerative Endocrinology guide rates it B; the course grades the causal link D because the human data are associations.</w:t>
      </w:r>
      <w:r>
        <w:t xml:space="preserve"> </w:t>
      </w:r>
      <w:r>
        <w:t xml:space="preserve">- An anti-glycation serum reverses cross-linked collagen →</w:t>
      </w:r>
      <w:r>
        <w:t xml:space="preserve"> </w:t>
      </w:r>
      <w:r>
        <w:rPr>
          <w:b/>
          <w:bCs/>
        </w:rPr>
        <w:t xml:space="preserve">Marketing only, not shown</w:t>
      </w:r>
      <w:r>
        <w:t xml:space="preserve"> </w:t>
      </w:r>
      <w:r>
        <w:t xml:space="preserve">—</w:t>
      </w:r>
      <w:r>
        <w:t xml:space="preserve"> </w:t>
      </w:r>
      <w:r>
        <w:rPr>
          <w:i/>
          <w:iCs/>
        </w:rPr>
        <w:t xml:space="preserve">Not shown. Trials of 'anti-glycation' products measure surrogate readings or appearance scores; none found for this course measured cross-links in human skin. The guide rates the evidence for these products C, on surrogate endpoints.</w:t>
      </w:r>
    </w:p>
    <w:p>
      <w:pPr>
        <w:pStyle w:val="BodyText"/>
      </w:pPr>
      <w:r>
        <w:t xml:space="preserve">Sources: Zhang LJ 2015 · Zhang LJ 2019 · O'Neill AM 2022 · Kruglikov IL 2016 · Dyer DG 1993 · Verzijl N 2000 · Gkogkolou P 2012 · Draelos ZD 2025 · Aesthetic &amp; Regenerative Endocrinology — A Clinician's Pocket Guide 2026</w:t>
      </w:r>
    </w:p>
    <w:bookmarkEnd w:id="67"/>
    <w:bookmarkStart w:id="68" w:name="a-lower-reading."/>
    <w:p>
      <w:pPr>
        <w:pStyle w:val="Heading3"/>
      </w:pPr>
      <w:r>
        <w:t xml:space="preserve">07 / 20 · A lower reading.</w:t>
      </w:r>
    </w:p>
    <w:p>
      <w:pPr>
        <w:pStyle w:val="FirstParagraph"/>
      </w:pPr>
      <w:r>
        <w:rPr>
          <w:i/>
          <w:iCs/>
        </w:rPr>
        <w:t xml:space="preserve">Your turn · quiz</w:t>
      </w:r>
    </w:p>
    <w:p>
      <w:pPr>
        <w:pStyle w:val="BodyText"/>
      </w:pPr>
      <w:r>
        <w:t xml:space="preserve">One question to close lesson 3.1.</w:t>
      </w:r>
    </w:p>
    <w:p>
      <w:pPr>
        <w:pStyle w:val="BodyText"/>
      </w:pPr>
      <w:r>
        <w:rPr>
          <w:b/>
          <w:bCs/>
        </w:rPr>
        <w:t xml:space="preserve">Q.</w:t>
      </w:r>
      <w:r>
        <w:t xml:space="preserve"> </w:t>
      </w:r>
      <w:r>
        <w:t xml:space="preserve">A patient shows you her skin autofluorescence reading, lower after eight weeks on an 'anti-glycation' supplement. What does that result show?</w:t>
      </w:r>
      <w:r>
        <w:t xml:space="preserve"> </w:t>
      </w:r>
      <w:r>
        <w:t xml:space="preserve">- ✗ The supplement has reversed glycation damage in her dermis. —</w:t>
      </w:r>
      <w:r>
        <w:t xml:space="preserve"> </w:t>
      </w:r>
      <w:r>
        <w:rPr>
          <w:i/>
          <w:iCs/>
        </w:rPr>
        <w:t xml:space="preserve">A lower surrogate reading is not a measurement of collagen cross-links, and the device was validated in non-pigmented skin.</w:t>
      </w:r>
      <w:r>
        <w:t xml:space="preserve"> </w:t>
      </w:r>
      <w:r>
        <w:t xml:space="preserve">- ✔ A change in a surrogate marker; it shows nothing yet about collagen cross-links, how her skin looks or how it ages. —</w:t>
      </w:r>
      <w:r>
        <w:t xml:space="preserve"> </w:t>
      </w:r>
      <w:r>
        <w:rPr>
          <w:i/>
          <w:iCs/>
        </w:rPr>
        <w:t xml:space="preserve">Correct. The surrogate moved; the outcome is unknown.</w:t>
      </w:r>
      <w:r>
        <w:t xml:space="preserve"> </w:t>
      </w:r>
      <w:r>
        <w:t xml:space="preserve">- ✗ Nothing at all, because glycation does not happen in human skin. —</w:t>
      </w:r>
      <w:r>
        <w:t xml:space="preserve"> </w:t>
      </w:r>
      <w:r>
        <w:rPr>
          <w:i/>
          <w:iCs/>
        </w:rPr>
        <w:t xml:space="preserve">It does: AGEs accumulate in human skin collagen with age and faster in diabetes. The question is what the product changed.</w:t>
      </w:r>
    </w:p>
    <w:bookmarkEnd w:id="68"/>
    <w:bookmarkEnd w:id="69"/>
    <w:bookmarkStart w:id="77" w:name="Xef0d3a20074ce71de6cb30642398623f332ffc2"/>
    <w:p>
      <w:pPr>
        <w:pStyle w:val="Heading2"/>
      </w:pPr>
      <w:r>
        <w:t xml:space="preserve">Lesson 3.2 · Incretin therapy and the changing face</w:t>
      </w:r>
    </w:p>
    <w:bookmarkStart w:id="70" w:name="two-gut-hormones-re-engineered."/>
    <w:p>
      <w:pPr>
        <w:pStyle w:val="Heading3"/>
      </w:pPr>
      <w:r>
        <w:t xml:space="preserve">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25"/>
        </w:numPr>
      </w:pPr>
      <w:r>
        <w:t xml:space="preserve">Incretins amplify insulin after meals</w:t>
      </w:r>
    </w:p>
    <w:p>
      <w:pPr>
        <w:pStyle w:val="Compact"/>
        <w:numPr>
          <w:ilvl w:val="0"/>
          <w:numId w:val="1025"/>
        </w:numPr>
      </w:pPr>
      <w:r>
        <w:t xml:space="preserve">Semaglutide: GLP-1 receptor agonist</w:t>
      </w:r>
    </w:p>
    <w:p>
      <w:pPr>
        <w:pStyle w:val="Compact"/>
        <w:numPr>
          <w:ilvl w:val="0"/>
          <w:numId w:val="1025"/>
        </w:numPr>
      </w:pPr>
      <w:r>
        <w:t xml:space="preserve">Tirzepatide: GIP and GLP-1 receptor agonist</w:t>
      </w:r>
    </w:p>
    <w:p>
      <w:pPr>
        <w:pStyle w:val="FirstParagraph"/>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bookmarkEnd w:id="70"/>
    <w:bookmarkStart w:id="71" w:name="approved-for-what-exactly"/>
    <w:p>
      <w:pPr>
        <w:pStyle w:val="Heading3"/>
      </w:pPr>
      <w:r>
        <w:t xml:space="preserve">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 UK and EU status is being mapped for this course.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bookmarkEnd w:id="71"/>
    <w:bookmarkStart w:id="72" w:name="large-trials-measured-on-the-scale."/>
    <w:p>
      <w:pPr>
        <w:pStyle w:val="Heading3"/>
      </w:pPr>
      <w:r>
        <w:t xml:space="preserve">10 / 20 · Large trials, measured on the scale.</w:t>
      </w:r>
    </w:p>
    <w:p>
      <w:pPr>
        <w:pStyle w:val="FirstParagraph"/>
      </w:pPr>
      <w:r>
        <w:rPr>
          <w:i/>
          <w:iCs/>
        </w:rPr>
        <w:t xml:space="preserve">Human evidence · stat</w:t>
      </w:r>
    </w:p>
    <w:p>
      <w:pPr>
        <w:pStyle w:val="BodyText"/>
      </w:pPr>
      <w:r>
        <w:t xml:space="preserve">In STEP-1, 1,961 adults without diabetes lost a mean 14.9% of body weight on semaglutide over 68 weeks, against 2.4% on placebo. In SURMOUNT-1, 2,539 adults lost 15.0% to 20.9% on tirzepatide over 72 weeks, depending on dose, against 3.1% on placebo. Both Hormonaly guides grade weight management A. Across 35 randomized trials of incretin drugs, a median of about 28% of the weight lost was muscle-related tissue.</w:t>
      </w:r>
    </w:p>
    <w:p>
      <w:pPr>
        <w:pStyle w:val="BodyText"/>
      </w:pPr>
      <w:r>
        <w:rPr>
          <w:b/>
          <w:bCs/>
        </w:rPr>
        <w:t xml:space="preserve">14.9% · 20.9%</w:t>
      </w:r>
      <w:r>
        <w:t xml:space="preserve"> </w:t>
      </w:r>
      <w:r>
        <w:t xml:space="preserve">— mean weight loss in STEP-1 (semaglutide, 68 weeks) and SURMOUNT-1 (tirzepatide, highest dose, 72 weeks) (Placebo 2.4% and 3.1% · both trials industry-funded, both the basis for approval)</w:t>
      </w:r>
      <w:r>
        <w:br/>
      </w:r>
      <w:r>
        <w:rPr>
          <w:i/>
          <w:iCs/>
        </w:rPr>
        <w:t xml:space="preserve">Means:</w:t>
      </w:r>
      <w:r>
        <w:t xml:space="preserve"> </w:t>
      </w:r>
      <w:r>
        <w:t xml:space="preserve">These drugs produce large, reproducible weight loss in randomized trials: GRADE A for the approved indications. Part of what is lost is lean tissue, which is why the Hormonaly guide pairs treatment with protein and resistance training.</w:t>
      </w:r>
      <w:r>
        <w:br/>
      </w:r>
      <w:r>
        <w:rPr>
          <w:i/>
          <w:iCs/>
        </w:rPr>
        <w:t xml:space="preserve">Does not mean:</w:t>
      </w:r>
      <w:r>
        <w:t xml:space="preserve"> </w:t>
      </w:r>
      <w:r>
        <w:t xml:space="preserve">Neither pivotal trial measured facial fat, skin laxity or appearance. An A for weight loss says nothing about the face.</w:t>
      </w:r>
    </w:p>
    <w:p>
      <w:pPr>
        <w:pStyle w:val="BodyText"/>
      </w:pPr>
      <w:r>
        <w:t xml:space="preserve">Sources: Wilding JPH 2021 · Jastreboff AM 2022 · Batsis JA 2026 · Aesthetic &amp; Regenerative Endocrinology — A Clinician's Pocket Guide 2026 · The Peptide Pocket Guide — 2026 Edition · Clinical Reference (seventy-two entries) 2026</w:t>
      </w:r>
    </w:p>
    <w:bookmarkEnd w:id="72"/>
    <w:bookmarkStart w:id="73" w:name="ozempic-face-answer-by-answer."/>
    <w:p>
      <w:pPr>
        <w:pStyle w:val="Heading3"/>
      </w:pPr>
      <w:r>
        <w:t xml:space="preserve">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bookmarkEnd w:id="73"/>
    <w:bookmarkStart w:id="74" w:name="X886235e3656c049d5ada19a3971c7a56c7b8c45"/>
    <w:p>
      <w:pPr>
        <w:pStyle w:val="Heading3"/>
      </w:pPr>
      <w:r>
        <w:t xml:space="preserve">12 / 20 · Counsel before, record during, refer when asked.</w:t>
      </w:r>
    </w:p>
    <w:p>
      <w:pPr>
        <w:pStyle w:val="FirstParagraph"/>
      </w:pPr>
      <w:r>
        <w:rPr>
          <w:i/>
          <w:iCs/>
        </w:rPr>
        <w:t xml:space="preserve">What changes in practice · audio</w:t>
      </w:r>
    </w:p>
    <w:p>
      <w:pPr>
        <w:pStyle w:val="BodyText"/>
      </w:pPr>
      <w:r>
        <w:t xml:space="preserve">Raise facial volume change and hair shedding before treatment starts; the Hormonaly guide advises this especially for older patients. During treatment, photograph the face with consent, and support the protein intake and resistance training the guide recommends to protect lean mass. When a patient wants the face restored, refer to a qualified aesthetic or dermatology colleague. Published advice on restoration is expert opinion, the main consensus statement was developed with industry involvement, and randomized trials of fillers and devices in these patients are registered without results. Decisions about the medicine itself stay with the prescriber and the patient.</w:t>
      </w:r>
    </w:p>
    <w:p>
      <w:pPr>
        <w:pStyle w:val="Compact"/>
        <w:numPr>
          <w:ilvl w:val="0"/>
          <w:numId w:val="1026"/>
        </w:numPr>
      </w:pPr>
      <w:r>
        <w:t xml:space="preserve">Before: set expectations about face and hair</w:t>
      </w:r>
    </w:p>
    <w:p>
      <w:pPr>
        <w:pStyle w:val="Compact"/>
        <w:numPr>
          <w:ilvl w:val="0"/>
          <w:numId w:val="1026"/>
        </w:numPr>
      </w:pPr>
      <w:r>
        <w:t xml:space="preserve">During: photographs with consent, protect lean mass</w:t>
      </w:r>
    </w:p>
    <w:p>
      <w:pPr>
        <w:pStyle w:val="Compact"/>
        <w:numPr>
          <w:ilvl w:val="0"/>
          <w:numId w:val="1026"/>
        </w:numPr>
      </w:pPr>
      <w:r>
        <w:t xml:space="preserve">When asked: refer for restoration</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Put facial volume change and hair shedding into the consent conversation before you start, and document it. At follow-up, review nutrition, strength training and consented photographs. Keep the indication in view, and refer restoration requests rather than improvising them.</w:t>
      </w:r>
      <w:r>
        <w:t xml:space="preserve"> </w:t>
      </w:r>
      <w:r>
        <w:t xml:space="preserve">-</w:t>
      </w:r>
      <w:r>
        <w:t xml:space="preserve"> </w:t>
      </w:r>
      <w:r>
        <w:rPr>
          <w:i/>
          <w:iCs/>
        </w:rPr>
        <w:t xml:space="preserve">Clinical staff:</w:t>
      </w:r>
      <w:r>
        <w:t xml:space="preserve"> </w:t>
      </w:r>
      <w:r>
        <w:t xml:space="preserve">Record the patient's concern, the medicine and who prescribes it, and consented photographs. Do not suggest pausing or changing the medicine; bring the concern to the prescriber and pass restoration questions to the aesthetic lead.</w:t>
      </w:r>
      <w:r>
        <w:t xml:space="preserve"> </w:t>
      </w:r>
      <w:r>
        <w:t xml:space="preserve">-</w:t>
      </w:r>
      <w:r>
        <w:t xml:space="preserve"> </w:t>
      </w:r>
      <w:r>
        <w:rPr>
          <w:i/>
          <w:iCs/>
        </w:rPr>
        <w:t xml:space="preserve">Advisor:</w:t>
      </w:r>
      <w:r>
        <w:t xml:space="preserve"> </w:t>
      </w:r>
      <w:r>
        <w:t xml:space="preserve">Explain that facial change tracks the weight lost and that hair loss is a listed side effect. Questions about the dose or about stopping belong with the prescriber; restoration questions belong with a qualified aesthetic clinician.</w:t>
      </w:r>
    </w:p>
    <w:p>
      <w:pPr>
        <w:pStyle w:val="BodyText"/>
      </w:pPr>
      <w:r>
        <w:t xml:space="preserve">Narration script</w:t>
      </w:r>
    </w:p>
    <w:p>
      <w:pPr>
        <w:pStyle w:val="BodyText"/>
      </w:pPr>
      <w:r>
        <w:t xml:space="preserve">Three moments matter in practice. Before treatment starts, raise facial volume change and hair shedding as possibilities, especially with older patients, as the Hormonaly guide advises, and record that you did. During treatment, photograph the face with consent so that change is measured rather than remembered, and support the protein intake and resistance training the guide recommends to protect lean mass. When a patient asks for help with the face, refer to a qualified aesthetic or dermatology colleague. The published advice on restoring volume after drug-driven weight loss is expert opinion, the main consensus statement was developed with industry involvement, and randomized trials of fillers and devices in these patients are registered with no results yet. Whatever your role, decisions about the medicine itself stay with the prescriber and the patient.</w:t>
      </w:r>
    </w:p>
    <w:p>
      <w:pPr>
        <w:pStyle w:val="BodyText"/>
      </w:pPr>
      <w:r>
        <w:t xml:space="preserve">Sources: Aesthetic &amp; Regenerative Endocrinology — A Clinician's Pocket Guide 2026 · Humphrey CD 2023 · Nikolis A 2025 · Kalpna Kay Durairaj 2026 · Sofwave Medical LTD 2026 · Batsis JA 2026</w:t>
      </w:r>
    </w:p>
    <w:bookmarkEnd w:id="74"/>
    <w:bookmarkStart w:id="75" w:name="X2147cdf897072fb44397e945552828632fe8fca"/>
    <w:p>
      <w:pPr>
        <w:pStyle w:val="Heading3"/>
      </w:pPr>
      <w:r>
        <w:t xml:space="preserve">13 / 20 · Ten months in, and unhappy with the mirror.</w:t>
      </w:r>
    </w:p>
    <w:p>
      <w:pPr>
        <w:pStyle w:val="FirstParagraph"/>
      </w:pPr>
      <w:r>
        <w:rPr>
          <w:i/>
          <w:iCs/>
        </w:rPr>
        <w:t xml:space="preserve">Fictional case · audio</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 This is a fictional case built from the lesson's evidence; there is one right first move.</w:t>
      </w:r>
    </w:p>
    <w:p>
      <w:pPr>
        <w:pStyle w:val="Compact"/>
        <w:numPr>
          <w:ilvl w:val="0"/>
          <w:numId w:val="1027"/>
        </w:numPr>
      </w:pPr>
      <w:r>
        <w:t xml:space="preserve">Facial volume loss tracks the weight lost</w:t>
      </w:r>
    </w:p>
    <w:p>
      <w:pPr>
        <w:pStyle w:val="Compact"/>
        <w:numPr>
          <w:ilvl w:val="0"/>
          <w:numId w:val="1027"/>
        </w:numPr>
      </w:pPr>
      <w:r>
        <w:t xml:space="preserve">Hair loss is a labelled side effect, more common in women</w:t>
      </w:r>
    </w:p>
    <w:p>
      <w:pPr>
        <w:pStyle w:val="Compact"/>
        <w:numPr>
          <w:ilvl w:val="0"/>
          <w:numId w:val="1027"/>
        </w:numPr>
      </w:pPr>
      <w:r>
        <w:t xml:space="preserve">The indication is responding; the medicine decision is the prescriber's</w:t>
      </w:r>
    </w:p>
    <w:p>
      <w:pPr>
        <w:pStyle w:val="FirstParagraph"/>
      </w:pPr>
      <w:r>
        <w:rPr>
          <w:b/>
          <w:bCs/>
        </w:rPr>
        <w:t xml:space="preserve">Exercise (scenario) · What do you do first?</w:t>
      </w:r>
      <w:r>
        <w:t xml:space="preserve"> </w:t>
      </w:r>
      <w:r>
        <w:t xml:space="preserve">—</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w:t>
      </w:r>
    </w:p>
    <w:p>
      <w:pPr>
        <w:pStyle w:val="Compact"/>
        <w:numPr>
          <w:ilvl w:val="0"/>
          <w:numId w:val="1028"/>
        </w:numPr>
      </w:pPr>
      <w:r>
        <w:t xml:space="preserve">✗ Tell her to stop the injections; her face matters more than the scale. —</w:t>
      </w:r>
      <w:r>
        <w:t xml:space="preserve"> </w:t>
      </w:r>
      <w:r>
        <w:rPr>
          <w:i/>
          <w:iCs/>
        </w:rPr>
        <w:t xml:space="preserve">That is a medication decision made on one side effect, outside her prescriber's care, and it sets aside an indication that is working.</w:t>
      </w:r>
    </w:p>
    <w:p>
      <w:pPr>
        <w:pStyle w:val="Compact"/>
        <w:numPr>
          <w:ilvl w:val="0"/>
          <w:numId w:val="1028"/>
        </w:numPr>
      </w:pPr>
      <w:r>
        <w:t xml:space="preserve">✔ Acknowledge the change, explain that it follows the weight lost, record it with consented photographs, and take the stop-or-continue question to her prescriber, with a referral for restoration if she wants one. —</w:t>
      </w:r>
      <w:r>
        <w:t xml:space="preserve"> </w:t>
      </w:r>
      <w:r>
        <w:rPr>
          <w:i/>
          <w:iCs/>
        </w:rPr>
        <w:t xml:space="preserve">Right. Counsel, record, refer. The medicine decision stays with her prescriber, and restoration goes to someone qualified to provide it.</w:t>
      </w:r>
    </w:p>
    <w:p>
      <w:pPr>
        <w:pStyle w:val="Compact"/>
        <w:numPr>
          <w:ilvl w:val="0"/>
          <w:numId w:val="1028"/>
        </w:numPr>
      </w:pPr>
      <w:r>
        <w:t xml:space="preserve">✗ Reassure her that her face will fill out again once her weight settles. —</w:t>
      </w:r>
      <w:r>
        <w:t xml:space="preserve"> </w:t>
      </w:r>
      <w:r>
        <w:rPr>
          <w:i/>
          <w:iCs/>
        </w:rPr>
        <w:t xml:space="preserve">That promise has no evidence behind it; no study found for this course followed facial volume after the weight loss stopped.</w:t>
      </w:r>
    </w:p>
    <w:p>
      <w:pPr>
        <w:pStyle w:val="FirstParagraph"/>
      </w:pPr>
      <w:r>
        <w:t xml:space="preserve">Follow-up: Then document the conversation: her concerns, what you explained, and who she will see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own the medication conversation: review her progress against the indication, her nutrition, strength training and hair, and refer for restoration if she wants it. Document the discussion.</w:t>
      </w:r>
      <w:r>
        <w:t xml:space="preserve"> </w:t>
      </w:r>
      <w:r>
        <w:t xml:space="preserve">-</w:t>
      </w:r>
      <w:r>
        <w:t xml:space="preserve"> </w:t>
      </w:r>
      <w:r>
        <w:rPr>
          <w:i/>
          <w:iCs/>
        </w:rPr>
        <w:t xml:space="preserve">Clinical staff:</w:t>
      </w:r>
      <w:r>
        <w:t xml:space="preserve"> </w:t>
      </w:r>
      <w:r>
        <w:t xml:space="preserve">You record the concern, consented photographs and the hair change, and bring it to the prescriber this week. You do not advise on the dose or on stopping.</w:t>
      </w:r>
      <w:r>
        <w:t xml:space="preserve"> </w:t>
      </w:r>
      <w:r>
        <w:t xml:space="preserve">-</w:t>
      </w:r>
      <w:r>
        <w:t xml:space="preserve"> </w:t>
      </w:r>
      <w:r>
        <w:rPr>
          <w:i/>
          <w:iCs/>
        </w:rPr>
        <w:t xml:space="preserve">Advisor:</w:t>
      </w:r>
      <w:r>
        <w:t xml:space="preserve"> </w:t>
      </w:r>
      <w:r>
        <w:t xml:space="preserve">You explain what is known, suggest she talk to her prescriber before changing anything, and point her to a qualified aesthetic clinician for restoration questions.</w:t>
      </w:r>
    </w:p>
    <w:p>
      <w:pPr>
        <w:pStyle w:val="BodyText"/>
      </w:pPr>
      <w:r>
        <w:t xml:space="preserve">Narration script</w:t>
      </w:r>
    </w:p>
    <w:p>
      <w:pPr>
        <w:pStyle w:val="BodyText"/>
      </w:pPr>
      <w:r>
        <w:t xml:space="preserve">Picture a fifty-eight-year-old patient, fictional and built from this lesson's evidence. She has taken semaglutide for obesity for ten months, prescribed by her physician, and has lost eighteen percent of her body weight. Her blood pressure and glucose have improved. She is distressed by hollow cheeks and new looseness along the jaw, and she is finding more hair in her brush. She asks whether she should stop the injections. Consider what the evidence says. In the studies so far, facial volume loss tracks the amount of weight lost. Hair loss is a labelled side effect, reported more often in women and linked to weight reduction. The drug was prescribed for a medical reason, and that reason is going well. Decide how you would answer her.</w:t>
      </w:r>
    </w:p>
    <w:p>
      <w:pPr>
        <w:pStyle w:val="BodyText"/>
      </w:pPr>
      <w:r>
        <w:t xml:space="preserve">Sources: Sharma RK 2025 · Rao S 2026 · Novo Nordisk (Wegovy prescribing information) 2026 · Nikolis A 2025 · Aesthetic &amp; Regenerative Endocrinology — A Clinician's Pocket Guide 2026</w:t>
      </w:r>
    </w:p>
    <w:bookmarkEnd w:id="75"/>
    <w:bookmarkStart w:id="76" w:name="what-the-evidence-shows."/>
    <w:p>
      <w:pPr>
        <w:pStyle w:val="Heading3"/>
      </w:pPr>
      <w:r>
        <w:t xml:space="preserve">14 / 20 · What the evidence shows.</w:t>
      </w:r>
    </w:p>
    <w:p>
      <w:pPr>
        <w:pStyle w:val="FirstParagraph"/>
      </w:pPr>
      <w:r>
        <w:rPr>
          <w:i/>
          <w:iCs/>
        </w:rPr>
        <w:t xml:space="preserve">Your turn · quiz</w:t>
      </w:r>
    </w:p>
    <w:p>
      <w:pPr>
        <w:pStyle w:val="BodyText"/>
      </w:pPr>
      <w:r>
        <w:t xml:space="preserve">One question to close lesson 3.2.</w:t>
      </w:r>
    </w:p>
    <w:p>
      <w:pPr>
        <w:pStyle w:val="BodyText"/>
      </w:pPr>
      <w:r>
        <w:rPr>
          <w:b/>
          <w:bCs/>
        </w:rPr>
        <w:t xml:space="preserve">Q.</w:t>
      </w:r>
      <w:r>
        <w:t xml:space="preserve"> </w:t>
      </w:r>
      <w:r>
        <w:t xml:space="preserve">Which statement about facial change on semaglutide or tirzepatide matches the evidence as of September 2026?</w:t>
      </w:r>
      <w:r>
        <w:t xml:space="preserve"> </w:t>
      </w:r>
      <w:r>
        <w:t xml:space="preserve">- ✗ Randomized trials show these drugs age facial skin directly. —</w:t>
      </w:r>
      <w:r>
        <w:t xml:space="preserve"> </w:t>
      </w:r>
      <w:r>
        <w:rPr>
          <w:i/>
          <w:iCs/>
        </w:rPr>
        <w:t xml:space="preserve">No randomized trial has measured the face, and a direct effect on skin is a hypothesis from cell studies.</w:t>
      </w:r>
      <w:r>
        <w:t xml:space="preserve"> </w:t>
      </w:r>
      <w:r>
        <w:t xml:space="preserve">- ✔ Facial volume loss is reported in small observational studies and tracks the amount of weight lost; no randomized trial has measured it. —</w:t>
      </w:r>
      <w:r>
        <w:t xml:space="preserve"> </w:t>
      </w:r>
      <w:r>
        <w:rPr>
          <w:i/>
          <w:iCs/>
        </w:rPr>
        <w:t xml:space="preserve">Correct. Observational, small, and consistent with weight loss as the driver.</w:t>
      </w:r>
      <w:r>
        <w:t xml:space="preserve"> </w:t>
      </w:r>
      <w:r>
        <w:t xml:space="preserve">- ✗ Facial volume loss is a labelled adverse reaction in the US prescribing information. —</w:t>
      </w:r>
      <w:r>
        <w:t xml:space="preserve"> </w:t>
      </w:r>
      <w:r>
        <w:rPr>
          <w:i/>
          <w:iCs/>
        </w:rPr>
        <w:t xml:space="preserve">Hair loss is labelled. Facial volume loss is not.</w:t>
      </w:r>
    </w:p>
    <w:bookmarkEnd w:id="76"/>
    <w:bookmarkEnd w:id="77"/>
    <w:bookmarkStart w:id="84" w:name="Xd848263627fed36b35a8e128898a0db005e5945"/>
    <w:p>
      <w:pPr>
        <w:pStyle w:val="Heading2"/>
      </w:pPr>
      <w:r>
        <w:t xml:space="preserve">Lesson 3.3 · Gut barrier, endotoxaemia and inflammaging</w:t>
      </w:r>
    </w:p>
    <w:bookmarkStart w:id="78" w:name="inflammation-that-comes-with-age."/>
    <w:p>
      <w:pPr>
        <w:pStyle w:val="Heading3"/>
      </w:pPr>
      <w:r>
        <w:t xml:space="preserve">15 / 20 · Inflammation that comes with age.</w:t>
      </w:r>
    </w:p>
    <w:p>
      <w:pPr>
        <w:pStyle w:val="FirstParagraph"/>
      </w:pPr>
      <w:r>
        <w:rPr>
          <w:i/>
          <w:iCs/>
        </w:rPr>
        <w:t xml:space="preserve">Lesson 3.3 · Concept · audio</w:t>
      </w:r>
    </w:p>
    <w:p>
      <w:pPr>
        <w:pStyle w:val="BodyText"/>
      </w:pPr>
      <w:r>
        <w:t xml:space="preserve">Inflammaging is the chronic, low-grade, sterile inflammation that rises with age. In older adults, higher IL-6 and CRP predict frailty and death. One proposed source is the gut. In mice, a high-fat diet raises circulating bacterial lipopolysaccharide, and infusing it reproduces weight gain and insulin resistance. In 12 healthy men, a single high-fat meal raised plasma endotoxin within four hours. Whether a leaky gut drives skin disease in people has not been shown.</w:t>
      </w:r>
    </w:p>
    <w:p>
      <w:pPr>
        <w:pStyle w:val="Compact"/>
        <w:numPr>
          <w:ilvl w:val="0"/>
          <w:numId w:val="1029"/>
        </w:numPr>
      </w:pPr>
      <w:r>
        <w:t xml:space="preserve">Inflammaging: low-grade, sterile, age-related</w:t>
      </w:r>
    </w:p>
    <w:p>
      <w:pPr>
        <w:pStyle w:val="Compact"/>
        <w:numPr>
          <w:ilvl w:val="0"/>
          <w:numId w:val="1029"/>
        </w:numPr>
      </w:pPr>
      <w:r>
        <w:t xml:space="preserve">Metabolic endotoxaemia: gut bacterial LPS in the blood</w:t>
      </w:r>
    </w:p>
    <w:p>
      <w:pPr>
        <w:pStyle w:val="Compact"/>
        <w:numPr>
          <w:ilvl w:val="0"/>
          <w:numId w:val="1029"/>
        </w:numPr>
      </w:pPr>
      <w:r>
        <w:t xml:space="preserve">Gut to skin in people: not shown</w:t>
      </w:r>
    </w:p>
    <w:p>
      <w:pPr>
        <w:pStyle w:val="FirstParagraph"/>
      </w:pPr>
      <w:r>
        <w:t xml:space="preserve">Narration script</w:t>
      </w:r>
    </w:p>
    <w:p>
      <w:pPr>
        <w:pStyle w:val="BodyText"/>
      </w:pPr>
      <w:r>
        <w:t xml:space="preserve">Ageing brings a slow rise in background inflammation, called inflammaging. It is low-grade and sterile, and in older adults higher IL-6 and C-reactive protein predict frailty, disability and death. One proposed source is the gut. In mice, a high-fat diet raises bacterial lipopolysaccharide in the blood, and infusing that endotoxin reproduces weight gain and insulin resistance. In twelve healthy men, a single high-fat meal raised plasma endotoxin within four hours. That is the mechanism usually called metabolic endotoxaemia, or leaky gut. The human evidence stops short of the skin. Measuring gut permeability is difficult, and a leading review concludes that it is still unproven whether restoring the barrier improves disease outside the gut. Hold that line as you look at what patients are sold.</w:t>
      </w:r>
    </w:p>
    <w:p>
      <w:pPr>
        <w:pStyle w:val="BodyText"/>
      </w:pPr>
      <w:r>
        <w:t xml:space="preserve">Sources: Franceschi C 2000 · Ferrucci L 2018 · Cani PD 2007 · Erridge C 2007 · Camilleri M 2019 · Aesthetic &amp; Regenerative Endocrinology — A Clinician's Pocket Guide 2026</w:t>
      </w:r>
    </w:p>
    <w:bookmarkEnd w:id="78"/>
    <w:bookmarkStart w:id="79" w:name="X3fe18d209fdab85c46c8f7b306b40471a077b4f"/>
    <w:p>
      <w:pPr>
        <w:pStyle w:val="Heading3"/>
      </w:pPr>
      <w:r>
        <w:t xml:space="preserve">16 / 20 · Thirty-nine trials of probiotics for eczema.</w:t>
      </w:r>
    </w:p>
    <w:p>
      <w:pPr>
        <w:pStyle w:val="FirstParagraph"/>
      </w:pPr>
      <w:r>
        <w:rPr>
          <w:i/>
          <w:iCs/>
        </w:rPr>
        <w:t xml:space="preserve">The evidence · stat</w:t>
      </w:r>
    </w:p>
    <w:p>
      <w:pPr>
        <w:pStyle w:val="BodyText"/>
      </w:pPr>
      <w:r>
        <w:t xml:space="preserve">An independent Cochrane review pooled 39 randomized trials, with 2,599 participants, of oral probiotics for eczema. Probiotics probably make little or no difference to patient-rated symptoms, and investigator-rated severity fell by less than the minimum clinically important difference. A 2024 European task-force meta-analysis in children without food allergy reported a significant fall in severity scores.</w:t>
      </w:r>
    </w:p>
    <w:p>
      <w:pPr>
        <w:pStyle w:val="BodyText"/>
      </w:pPr>
      <w:r>
        <w:rPr>
          <w:b/>
          <w:bCs/>
        </w:rPr>
        <w:t xml:space="preserve">39 RCTs</w:t>
      </w:r>
      <w:r>
        <w:t xml:space="preserve"> </w:t>
      </w:r>
      <w:r>
        <w:t xml:space="preserve">— in the Cochrane review of oral probiotics for treating eczema (2,599 participants · little or no difference in patient-rated symptoms (moderate-certainty evidence))</w:t>
      </w:r>
      <w:r>
        <w:br/>
      </w:r>
      <w:r>
        <w:rPr>
          <w:i/>
          <w:iCs/>
        </w:rPr>
        <w:t xml:space="preserve">Means:</w:t>
      </w:r>
      <w:r>
        <w:t xml:space="preserve"> </w:t>
      </w:r>
      <w:r>
        <w:t xml:space="preserve">The most direct test of 'treat the gut, help the skin' in a common inflammatory skin disease shows, at most, a small effect. GRADE B for little or no benefit a patient would notice.</w:t>
      </w:r>
      <w:r>
        <w:br/>
      </w:r>
      <w:r>
        <w:rPr>
          <w:i/>
          <w:iCs/>
        </w:rPr>
        <w:t xml:space="preserve">Does not mean:</w:t>
      </w:r>
      <w:r>
        <w:t xml:space="preserve"> </w:t>
      </w:r>
      <w:r>
        <w:t xml:space="preserve">It does not rule out benefit from particular strains or in particular groups, and it says nothing about skin ageing. Newer pooled analyses in children report small improvements.</w:t>
      </w:r>
    </w:p>
    <w:p>
      <w:pPr>
        <w:pStyle w:val="BodyText"/>
      </w:pPr>
      <w:r>
        <w:t xml:space="preserve">Sources: Makrgeorgou A 2018 · Vassilopoulou E 2024 · Suez J 2019 · Aesthetic &amp; Regenerative Endocrinology — A Clinician's Pocket Guide 2026</w:t>
      </w:r>
    </w:p>
    <w:bookmarkEnd w:id="79"/>
    <w:bookmarkStart w:id="80" w:name="what-has-been-tested-on-skin"/>
    <w:p>
      <w:pPr>
        <w:pStyle w:val="Heading3"/>
      </w:pPr>
      <w:r>
        <w:t xml:space="preserve">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In the US, tirzepatide is not approved for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w:t>
      </w:r>
    </w:p>
    <w:bookmarkEnd w:id="80"/>
    <w:bookmarkStart w:id="81" w:name="diet-first-a-bottle-last."/>
    <w:p>
      <w:pPr>
        <w:pStyle w:val="Heading3"/>
      </w:pPr>
      <w:r>
        <w:t xml:space="preserve">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30"/>
        </w:numPr>
      </w:pPr>
      <w:r>
        <w:t xml:space="preserve">Start with diet, metabolic health and the skin diagnosis</w:t>
      </w:r>
    </w:p>
    <w:p>
      <w:pPr>
        <w:pStyle w:val="Compact"/>
        <w:numPr>
          <w:ilvl w:val="0"/>
          <w:numId w:val="1030"/>
        </w:numPr>
      </w:pPr>
      <w:r>
        <w:t xml:space="preserve">Zonulin tests may not measure zonulin</w:t>
      </w:r>
    </w:p>
    <w:p>
      <w:pPr>
        <w:pStyle w:val="Compact"/>
        <w:numPr>
          <w:ilvl w:val="0"/>
          <w:numId w:val="1030"/>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US Food and Drug Administration 2026 · Aesthetic &amp; Regenerative Endocrinology — A Clinician's Pocket Guide 2026</w:t>
      </w:r>
    </w:p>
    <w:bookmarkEnd w:id="81"/>
    <w:bookmarkStart w:id="82" w:name="the-zonulin-test."/>
    <w:p>
      <w:pPr>
        <w:pStyle w:val="Heading3"/>
      </w:pPr>
      <w:r>
        <w:t xml:space="preserve">19 / 20 · The zonulin test.</w:t>
      </w:r>
    </w:p>
    <w:p>
      <w:pPr>
        <w:pStyle w:val="FirstParagraph"/>
      </w:pPr>
      <w:r>
        <w:rPr>
          <w:i/>
          <w:iCs/>
        </w:rPr>
        <w:t xml:space="preserve">Your turn · quiz</w:t>
      </w:r>
    </w:p>
    <w:p>
      <w:pPr>
        <w:pStyle w:val="BodyText"/>
      </w:pPr>
      <w:r>
        <w:t xml:space="preserve">One question to close lesson 3.3.</w:t>
      </w:r>
    </w:p>
    <w:p>
      <w:pPr>
        <w:pStyle w:val="BodyText"/>
      </w:pPr>
      <w:r>
        <w:rPr>
          <w:b/>
          <w:bCs/>
        </w:rPr>
        <w:t xml:space="preserve">Q.</w:t>
      </w:r>
      <w:r>
        <w:t xml:space="preserve"> </w:t>
      </w:r>
      <w:r>
        <w:t xml:space="preserve">A patient asks for a zonulin blood test to prove that her rosacea comes from a leaky gut. What is the most accurate reply?</w:t>
      </w:r>
      <w:r>
        <w:t xml:space="preserve"> </w:t>
      </w:r>
      <w:r>
        <w:t xml:space="preserve">- ✗ The test will show whether her gut barrier is causing the rosacea. —</w:t>
      </w:r>
      <w:r>
        <w:t xml:space="preserve"> </w:t>
      </w:r>
      <w:r>
        <w:rPr>
          <w:i/>
          <w:iCs/>
        </w:rPr>
        <w:t xml:space="preserve">A widely used zonulin assay detects other proteins, and a zonulin result cannot tell you what is causing her rosacea.</w:t>
      </w:r>
      <w:r>
        <w:t xml:space="preserve"> </w:t>
      </w:r>
      <w:r>
        <w:t xml:space="preserve">- ✔ The test is unreliable and would not change care: treat the rosacea on its own evidence, and assess any gut symptoms clinically. —</w:t>
      </w:r>
      <w:r>
        <w:t xml:space="preserve"> </w:t>
      </w:r>
      <w:r>
        <w:rPr>
          <w:i/>
          <w:iCs/>
        </w:rPr>
        <w:t xml:space="preserve">Correct. The small trial that linked gut bacteria to rosacea used breath testing and clinical assessment, and no zonulin test.</w:t>
      </w:r>
      <w:r>
        <w:t xml:space="preserve"> </w:t>
      </w:r>
      <w:r>
        <w:t xml:space="preserve">- ✗ Rosacea has nothing to do with the gut, so there is nothing to discuss. —</w:t>
      </w:r>
      <w:r>
        <w:t xml:space="preserve"> </w:t>
      </w:r>
      <w:r>
        <w:rPr>
          <w:i/>
          <w:iCs/>
        </w:rPr>
        <w:t xml:space="preserve">Too strong: a small randomized trial found rosacea improved after bacterial overgrowth was treated. The link is possible; the test is the problem.</w:t>
      </w:r>
    </w:p>
    <w:bookmarkEnd w:id="82"/>
    <w:bookmarkStart w:id="83" w:name="Xd959aab84298f475b1eda49935a58def7e82e65"/>
    <w:p>
      <w:pPr>
        <w:pStyle w:val="Heading3"/>
      </w:pPr>
      <w:r>
        <w:t xml:space="preserve">20 / 20 · Before my next conversation about weight, skin and the gut.</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checklist</w:t>
      </w:r>
      <w:r>
        <w:t xml:space="preserve"> </w:t>
      </w:r>
      <w:r>
        <w:t xml:space="preserve">— Tap everything you will do. Choose as many as you like.</w:t>
      </w:r>
      <w:r>
        <w:t xml:space="preserve"> </w:t>
      </w:r>
      <w:r>
        <w:rPr>
          <w:i/>
          <w:iCs/>
        </w:rPr>
        <w:t xml:space="preserve">Before my next conversation about weight, skin and the gut I will …</w:t>
      </w:r>
      <w:r>
        <w:t xml:space="preserve"> </w:t>
      </w:r>
      <w:r>
        <w:t xml:space="preserve">set expectations about face and hair before treatment starts · record facial concerns with consented photographs · ask whether a benefit was shown in mice, in people or only on a label · treat a surrogate reading as a surrogate · refer restoration requests to a qualified colleague · leave decisions about the medicine to the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expectations set before treatment, concerns recorded, referrals made.</w:t>
      </w:r>
      <w:r>
        <w:t xml:space="preserve"> </w:t>
      </w:r>
      <w:r>
        <w:t xml:space="preserve">-</w:t>
      </w:r>
      <w:r>
        <w:t xml:space="preserve"> </w:t>
      </w:r>
      <w:r>
        <w:rPr>
          <w:i/>
          <w:iCs/>
        </w:rPr>
        <w:t xml:space="preserve">Clinical staff:</w:t>
      </w:r>
      <w:r>
        <w:t xml:space="preserve"> </w:t>
      </w:r>
      <w:r>
        <w:t xml:space="preserve">Your checklist ends with escalation: questions about the medicine go to the prescriber the same week.</w:t>
      </w:r>
      <w:r>
        <w:t xml:space="preserve"> </w:t>
      </w:r>
      <w:r>
        <w:t xml:space="preserve">-</w:t>
      </w:r>
      <w:r>
        <w:t xml:space="preserve"> </w:t>
      </w:r>
      <w:r>
        <w:rPr>
          <w:i/>
          <w:iCs/>
        </w:rPr>
        <w:t xml:space="preserve">Advisor:</w:t>
      </w:r>
      <w:r>
        <w:t xml:space="preserve"> </w:t>
      </w:r>
      <w:r>
        <w:t xml:space="preserve">Your checklist ends with referral: product questions you can answer; medicine and restoration questions go to a prescriber or a qualified aesthetic clinician.</w:t>
      </w:r>
    </w:p>
    <w:p>
      <w:pPr>
        <w:pStyle w:val="BodyText"/>
      </w:pPr>
      <w:r>
        <w:t xml:space="preserve">Sources: Aesthetic &amp; Regenerative Endocrinology — A Clinician's Pocket Guide 2026 · Nikolis A 2025</w:t>
      </w:r>
    </w:p>
    <w:bookmarkEnd w:id="83"/>
    <w:bookmarkEnd w:id="84"/>
    <w:bookmarkStart w:id="85" w:name="module-check-2"/>
    <w:p>
      <w:pPr>
        <w:pStyle w:val="Heading2"/>
      </w:pPr>
      <w:r>
        <w:t xml:space="preserve">Module check</w:t>
      </w:r>
    </w:p>
    <w:p>
      <w:pPr>
        <w:pStyle w:val="FirstParagraph"/>
      </w:pPr>
      <w:r>
        <w:rPr>
          <w:b/>
          <w:bCs/>
        </w:rPr>
        <w:t xml:space="preserve">Q.</w:t>
      </w:r>
      <w:r>
        <w:t xml:space="preserve"> </w:t>
      </w:r>
      <w:r>
        <w:t xml:space="preserve">Closing Module 3: which statement keeps the four registers apart?</w:t>
      </w:r>
      <w:r>
        <w:t xml:space="preserve"> </w:t>
      </w:r>
      <w:r>
        <w:t xml:space="preserve">- ✗ Semaglutide ages the face by acting on facial fat, so the label should carry a facial warning. —</w:t>
      </w:r>
      <w:r>
        <w:t xml:space="preserve"> </w:t>
      </w:r>
      <w:r>
        <w:rPr>
          <w:i/>
          <w:iCs/>
        </w:rPr>
        <w:t xml:space="preserve">That blends an untested hypothesis with a regulatory conclusion. The labels list hair loss; a direct action on facial fat is untested in people.</w:t>
      </w:r>
      <w:r>
        <w:t xml:space="preserve"> </w:t>
      </w:r>
      <w:r>
        <w:t xml:space="preserve">- ✔ Facial volume loss on incretins: fat loss deflates facial compartments (mechanism); small observational studies tie it to the amount of weight lost (human evidence); US labels list hair loss but not facial change (regulatory status); whether the drugs act directly on facial fat is untested (open question). —</w:t>
      </w:r>
      <w:r>
        <w:t xml:space="preserve"> </w:t>
      </w:r>
      <w:r>
        <w:rPr>
          <w:i/>
          <w:iCs/>
        </w:rPr>
        <w:t xml:space="preserve">Correct. Four separate answers, each with its own source.</w:t>
      </w:r>
      <w:r>
        <w:t xml:space="preserve"> </w:t>
      </w:r>
      <w:r>
        <w:t xml:space="preserve">- ✗ Weight loss on these drugs is GRADE A, so their facial effects are GRADE A too. —</w:t>
      </w:r>
      <w:r>
        <w:t xml:space="preserve"> </w:t>
      </w:r>
      <w:r>
        <w:rPr>
          <w:i/>
          <w:iCs/>
        </w:rPr>
        <w:t xml:space="preserve">A grade belongs to an outcome. The pivotal trials never measured the face.</w:t>
      </w:r>
    </w:p>
    <w:p>
      <w:r>
        <w:pict>
          <v:rect style="width:0;height:1.5pt" o:hralign="center" o:hrstd="t" o:hr="t"/>
        </w:pict>
      </w:r>
    </w:p>
    <w:bookmarkEnd w:id="85"/>
    <w:bookmarkEnd w:id="86"/>
    <w:bookmarkStart w:id="110" w:name="X1370613e9269f2fbc236f094ab5f7a8475aad0f"/>
    <w:p>
      <w:pPr>
        <w:pStyle w:val="Heading1"/>
      </w:pPr>
      <w:r>
        <w:t xml:space="preserve">Hormones and Peptides for Skin · Module 04 — review draft</w:t>
      </w:r>
    </w:p>
    <w:p>
      <w:pPr>
        <w:pStyle w:val="FirstParagraph"/>
      </w:pPr>
      <w:r>
        <w:rPr>
          <w:i/>
          <w:iCs/>
        </w:rPr>
        <w:t xml:space="preserve">approved · authored 2026-09-24 · 19 moments, ~26 min + module check · 49 sources · 20 claims</w:t>
      </w:r>
    </w:p>
    <w:p>
      <w:pPr>
        <w:pStyle w:val="BodyText"/>
      </w:pPr>
      <w:r>
        <w:t xml:space="preserve">Every factual sentence traces to the graded registry (</w:t>
      </w:r>
      <w:r>
        <w:rPr>
          <w:rStyle w:val="VerbatimChar"/>
        </w:rPr>
        <w:t xml:space="preserve">citations/m04.md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94" w:name="X57acdb9e6bb0fd67b04137e7344a7faf7ad0ac0"/>
    <w:p>
      <w:pPr>
        <w:pStyle w:val="Heading2"/>
      </w:pPr>
      <w:r>
        <w:t xml:space="preserve">Lesson 4.1 · Copper peptides: GHK and GHK-Cu</w:t>
      </w:r>
    </w:p>
    <w:bookmarkStart w:id="87" w:name="the-peptide-your-patient-already-bought."/>
    <w:p>
      <w:pPr>
        <w:pStyle w:val="Heading3"/>
      </w:pPr>
      <w:r>
        <w:t xml:space="preserve">01 / 19 · The peptide your patient already bought.</w:t>
      </w:r>
    </w:p>
    <w:p>
      <w:pPr>
        <w:pStyle w:val="FirstParagraph"/>
      </w:pPr>
      <w:r>
        <w:rPr>
          <w:i/>
          <w:iCs/>
        </w:rPr>
        <w:t xml:space="preserve">Module 04 · Matrix peptides and wound healing · title</w:t>
      </w:r>
    </w:p>
    <w:p>
      <w:pPr>
        <w:pStyle w:val="BodyText"/>
      </w:pPr>
      <w:r>
        <w:t xml:space="preserve">Most skin peptides reach your clinic before any evidence does. In three lessons you will sort them by what the human trials actually show, who paid for those trials, and where each one stands with the regulator.</w:t>
      </w:r>
    </w:p>
    <w:p>
      <w:pPr>
        <w:pStyle w:val="Compact"/>
        <w:numPr>
          <w:ilvl w:val="0"/>
          <w:numId w:val="1031"/>
        </w:numPr>
      </w:pPr>
      <w:r>
        <w:t xml:space="preserve">4.1 Copper peptides: GHK and GHK-Cu</w:t>
      </w:r>
    </w:p>
    <w:p>
      <w:pPr>
        <w:pStyle w:val="Compact"/>
        <w:numPr>
          <w:ilvl w:val="0"/>
          <w:numId w:val="1031"/>
        </w:numPr>
      </w:pPr>
      <w:r>
        <w:t xml:space="preserve">4.2 Signal peptides, oral collagen and the 'topical Botox' family</w:t>
      </w:r>
    </w:p>
    <w:p>
      <w:pPr>
        <w:pStyle w:val="Compact"/>
        <w:numPr>
          <w:ilvl w:val="0"/>
          <w:numId w:val="1031"/>
        </w:numPr>
      </w:pPr>
      <w:r>
        <w:t xml:space="preserve">4.3 Repair peptides, one negative trial, and the compounding line</w:t>
      </w:r>
    </w:p>
    <w:bookmarkEnd w:id="87"/>
    <w:bookmarkStart w:id="88" w:name="how-will-you-use-this-module"/>
    <w:p>
      <w:pPr>
        <w:pStyle w:val="Heading3"/>
      </w:pPr>
      <w:r>
        <w:t xml:space="preserve">02 / 19 · How will you use this module?</w:t>
      </w:r>
    </w:p>
    <w:p>
      <w:pPr>
        <w:pStyle w:val="FirstParagraph"/>
      </w:pPr>
      <w:r>
        <w:rPr>
          <w:i/>
          <w:iCs/>
        </w:rPr>
        <w:t xml:space="preserve">Set your path · reflection</w:t>
      </w:r>
    </w:p>
    <w:p>
      <w:pPr>
        <w:pStyle w:val="BodyText"/>
      </w:pPr>
      <w:r>
        <w:t xml:space="preserve">The evidence, grades and regulatory status are the same for everyone. What changes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bookmarkEnd w:id="88"/>
    <w:bookmarkStart w:id="89" w:name="a-plasma-tripeptide-with-a-copper-habit."/>
    <w:p>
      <w:pPr>
        <w:pStyle w:val="Heading3"/>
      </w:pPr>
      <w:r>
        <w:t xml:space="preserve">03 / 19 · A plasma tripeptide with a copper habit.</w:t>
      </w:r>
    </w:p>
    <w:p>
      <w:pPr>
        <w:pStyle w:val="FirstParagraph"/>
      </w:pPr>
      <w:r>
        <w:rPr>
          <w:i/>
          <w:iCs/>
        </w:rPr>
        <w:t xml:space="preserve">Mechanism · audio</w:t>
      </w:r>
    </w:p>
    <w:p>
      <w:pPr>
        <w:pStyle w:val="BodyText"/>
      </w:pPr>
      <w:r>
        <w:t xml:space="preserve">GHK is a tripeptide found in human plasma, first described in 1973. Bound to copper it becomes GHK-Cu, which is proposed to deliver copper to enzymes such as superoxide dismutase and lysyl oxidase and to switch on wound-healing and antioxidant gene programmes. Most of that mechanistic literature comes from the group that discovered the peptide.</w:t>
      </w:r>
    </w:p>
    <w:p>
      <w:pPr>
        <w:pStyle w:val="Compact"/>
        <w:numPr>
          <w:ilvl w:val="0"/>
          <w:numId w:val="1032"/>
        </w:numPr>
      </w:pPr>
      <w:r>
        <w:t xml:space="preserve">Endogenous: GHK circulates in human plasma</w:t>
      </w:r>
    </w:p>
    <w:p>
      <w:pPr>
        <w:pStyle w:val="Compact"/>
        <w:numPr>
          <w:ilvl w:val="0"/>
          <w:numId w:val="1032"/>
        </w:numPr>
      </w:pPr>
      <w:r>
        <w:t xml:space="preserve">Proposed: copper delivery to matrix and antioxidant enzymes</w:t>
      </w:r>
    </w:p>
    <w:p>
      <w:pPr>
        <w:pStyle w:val="Compact"/>
        <w:numPr>
          <w:ilvl w:val="0"/>
          <w:numId w:val="1032"/>
        </w:numPr>
      </w:pPr>
      <w:r>
        <w:t xml:space="preserve">Mechanism register only — written largely by the originator</w:t>
      </w:r>
    </w:p>
    <w:p>
      <w:pPr>
        <w:pStyle w:val="FirstParagraph"/>
      </w:pPr>
      <w:r>
        <w:t xml:space="preserve">Narration script</w:t>
      </w:r>
    </w:p>
    <w:p>
      <w:pPr>
        <w:pStyle w:val="BodyText"/>
      </w:pPr>
      <w:r>
        <w:t xml:space="preserve">Start with the molecule. GHK is a three-amino-acid peptide that circulates in human plasma; it was first described in 1973. It binds copper readily, and the copper complex, GHK-Cu, is what skin-care labels mean when they say copper peptide. The proposed mechanism is that GHK-Cu delivers copper to enzymes that build and protect the dermal matrix, such as lysyl oxidase and superoxide dismutase, and shifts gene expression toward wound healing. Two things to hold on to. First, this is a mechanism, which explains why the peptide might work and leaves open whether it does. Second, most of this literature was written by the group that discovered the peptide. Keep both in mind when you reach the trials.</w:t>
      </w:r>
    </w:p>
    <w:p>
      <w:pPr>
        <w:pStyle w:val="BodyText"/>
      </w:pPr>
      <w:r>
        <w:t xml:space="preserve">Sources: Pickart L 1973 · Pickart L 2015 · Pickart L 2018 · Pickart L 2008 · The Peptide Pocket Guide — 2026 Edition · Clinical Reference (seventy-two entries) 2026 · Pickart L 2012</w:t>
      </w:r>
    </w:p>
    <w:bookmarkEnd w:id="89"/>
    <w:bookmarkStart w:id="90" w:name="one-indexed-randomized-trial."/>
    <w:p>
      <w:pPr>
        <w:pStyle w:val="Heading3"/>
      </w:pPr>
      <w:r>
        <w:t xml:space="preserve">04 / 19 · One indexed randomized trial.</w:t>
      </w:r>
    </w:p>
    <w:p>
      <w:pPr>
        <w:pStyle w:val="FirstParagraph"/>
      </w:pPr>
      <w:r>
        <w:rPr>
          <w:i/>
          <w:iCs/>
        </w:rPr>
        <w:t xml:space="preserve">Human evidence · stat</w:t>
      </w:r>
    </w:p>
    <w:p>
      <w:pPr>
        <w:pStyle w:val="BodyText"/>
      </w:pPr>
      <w:r>
        <w:t xml:space="preserve">A search of PubMed in September 2026 found one randomized controlled trial of topical GHK-Cu in human skin: 2006, healing after CO₂ laser resurfacing. The cosmetic trials cited for anti-ageing claims are manufacturer-sponsored and not indexed. Both Hormonaly guides grade topical use C.</w:t>
      </w:r>
    </w:p>
    <w:p>
      <w:pPr>
        <w:pStyle w:val="BodyText"/>
      </w:pPr>
      <w:r>
        <w:rPr>
          <w:b/>
          <w:bCs/>
        </w:rPr>
        <w:t xml:space="preserve">1</w:t>
      </w:r>
      <w:r>
        <w:t xml:space="preserve"> </w:t>
      </w:r>
      <w:r>
        <w:t xml:space="preserve">— indexed randomized trial of topical GHK-Cu in human skin (Miller et al., 2006 — healing after CO₂ laser resurfacing, not photoageing)</w:t>
      </w:r>
      <w:r>
        <w:br/>
      </w:r>
      <w:r>
        <w:rPr>
          <w:i/>
          <w:iCs/>
        </w:rPr>
        <w:t xml:space="preserve">Means:</w:t>
      </w:r>
      <w:r>
        <w:t xml:space="preserve"> </w:t>
      </w:r>
      <w:r>
        <w:t xml:space="preserve">The human evidence for topical GHK-Cu is small: one small indexed trial plus sponsor-run cosmetic studies. GRADE C is the honest ceiling.</w:t>
      </w:r>
      <w:r>
        <w:br/>
      </w:r>
      <w:r>
        <w:rPr>
          <w:i/>
          <w:iCs/>
        </w:rPr>
        <w:t xml:space="preserve">Does not mean:</w:t>
      </w:r>
      <w:r>
        <w:t xml:space="preserve"> </w:t>
      </w:r>
      <w:r>
        <w:t xml:space="preserve">It does not show that GHK-Cu fails, that it treats photoageing, or anything about injecting it. A thin evidence base is an unknown, not a negative.</w:t>
      </w:r>
    </w:p>
    <w:p>
      <w:pPr>
        <w:pStyle w:val="BodyText"/>
      </w:pPr>
      <w:r>
        <w:t xml:space="preserve">Sources: Miller TR 2006 · The Peptide Pocket Guide — 2026 Edition · Clinical Reference (seventy-two entries) 2026 · Aesthetic &amp; Regenerative Endocrinology — A Clinician's Pocket Guide 2026</w:t>
      </w:r>
    </w:p>
    <w:bookmarkEnd w:id="90"/>
    <w:bookmarkStart w:id="91" w:name="keep-the-four-answers-apart."/>
    <w:p>
      <w:pPr>
        <w:pStyle w:val="Heading3"/>
      </w:pPr>
      <w:r>
        <w:t xml:space="preserve">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bookmarkEnd w:id="91"/>
    <w:bookmarkStart w:id="92" w:name="serum-yes-syringe-no."/>
    <w:p>
      <w:pPr>
        <w:pStyle w:val="Heading3"/>
      </w:pPr>
      <w:r>
        <w:t xml:space="preserve">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33"/>
        </w:numPr>
      </w:pPr>
      <w:r>
        <w:t xml:space="preserve">Topical: modest, small-trial support</w:t>
      </w:r>
    </w:p>
    <w:p>
      <w:pPr>
        <w:pStyle w:val="Compact"/>
        <w:numPr>
          <w:ilvl w:val="0"/>
          <w:numId w:val="1033"/>
        </w:numPr>
      </w:pPr>
      <w:r>
        <w:t xml:space="preserve">Injectable: anecdote, common local reactions</w:t>
      </w:r>
    </w:p>
    <w:p>
      <w:pPr>
        <w:pStyle w:val="Compact"/>
        <w:numPr>
          <w:ilvl w:val="0"/>
          <w:numId w:val="1033"/>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bookmarkEnd w:id="92"/>
    <w:bookmarkStart w:id="93" w:name="is-the-injection-stronger"/>
    <w:p>
      <w:pPr>
        <w:pStyle w:val="Heading3"/>
      </w:pPr>
      <w:r>
        <w:t xml:space="preserve">07 / 19 · Is the injection 'stronger'?</w:t>
      </w:r>
    </w:p>
    <w:p>
      <w:pPr>
        <w:pStyle w:val="FirstParagraph"/>
      </w:pPr>
      <w:r>
        <w:rPr>
          <w:i/>
          <w:iCs/>
        </w:rPr>
        <w:t xml:space="preserve">Your turn · quiz</w:t>
      </w:r>
    </w:p>
    <w:p>
      <w:pPr>
        <w:pStyle w:val="BodyText"/>
      </w:pPr>
      <w:r>
        <w:t xml:space="preserve">One question to close lesson 4.1.</w:t>
      </w:r>
    </w:p>
    <w:p>
      <w:pPr>
        <w:pStyle w:val="BodyText"/>
      </w:pPr>
      <w:r>
        <w:rPr>
          <w:b/>
          <w:bCs/>
        </w:rPr>
        <w:t xml:space="preserve">Q.</w:t>
      </w:r>
      <w:r>
        <w:t xml:space="preserve"> </w:t>
      </w:r>
      <w:r>
        <w:t xml:space="preserve">A patient asks whether GHK-Cu injections are 'stronger' than the serum she uses. What does the evidence support?</w:t>
      </w:r>
      <w:r>
        <w:t xml:space="preserve"> </w:t>
      </w:r>
      <w:r>
        <w:t xml:space="preserve">- ✗ Yes — injection bypasses the skin barrier, so it must work better. —</w:t>
      </w:r>
      <w:r>
        <w:t xml:space="preserve"> </w:t>
      </w:r>
      <w:r>
        <w:rPr>
          <w:i/>
          <w:iCs/>
        </w:rPr>
        <w:t xml:space="preserve">That is a mechanism argument. There are no randomized trials of injected GHK-Cu, so 'works better' has no evidence behind it.</w:t>
      </w:r>
      <w:r>
        <w:t xml:space="preserve"> </w:t>
      </w:r>
      <w:r>
        <w:t xml:space="preserve">- ✔ The topical form has small-trial support; injection rests on anecdote, commonly irritates, and in the US sits outside the Category 1 listing. —</w:t>
      </w:r>
      <w:r>
        <w:t xml:space="preserve"> </w:t>
      </w:r>
      <w:r>
        <w:rPr>
          <w:i/>
          <w:iCs/>
        </w:rPr>
        <w:t xml:space="preserve">Correct. Same molecule, different route, different evidence and different regulatory standing.</w:t>
      </w:r>
      <w:r>
        <w:t xml:space="preserve"> </w:t>
      </w:r>
      <w:r>
        <w:t xml:space="preserve">- ✗ They are equivalent, because it is the same molecule. —</w:t>
      </w:r>
      <w:r>
        <w:t xml:space="preserve"> </w:t>
      </w:r>
      <w:r>
        <w:rPr>
          <w:i/>
          <w:iCs/>
        </w:rPr>
        <w:t xml:space="preserve">The molecule is the same; the route changes the evidence, the side-effects and the regulatory status.</w:t>
      </w:r>
    </w:p>
    <w:bookmarkEnd w:id="93"/>
    <w:bookmarkEnd w:id="94"/>
    <w:bookmarkStart w:id="100" w:name="Xb5b6b21b00b2fa451fd78b3e8e883d5020fe121"/>
    <w:p>
      <w:pPr>
        <w:pStyle w:val="Heading2"/>
      </w:pPr>
      <w:r>
        <w:t xml:space="preserve">Lesson 4.2 · Signal peptides, oral collagen and SNAP-25 mimics</w:t>
      </w:r>
    </w:p>
    <w:bookmarkStart w:id="95" w:name="X398e00dd3116483cba9035ec9460766f8f69545"/>
    <w:p>
      <w:pPr>
        <w:pStyle w:val="Heading3"/>
      </w:pPr>
      <w:r>
        <w:t xml:space="preserve">08 / 19 · Three families, one question: who ran the trial?</w:t>
      </w:r>
    </w:p>
    <w:p>
      <w:pPr>
        <w:pStyle w:val="FirstParagraph"/>
      </w:pPr>
      <w:r>
        <w:rPr>
          <w:i/>
          <w:iCs/>
        </w:rPr>
        <w:t xml:space="preserve">Lesson 4.2 · Concept · audio</w:t>
      </w:r>
    </w:p>
    <w:p>
      <w:pPr>
        <w:pStyle w:val="BodyText"/>
      </w:pPr>
      <w:r>
        <w:t xml:space="preserve">Signal peptides such as palmitoyl pentapeptide-4 (pal-KTTKS, Matrixyl) are meant to tell fibroblasts to make matrix. SNAP-25 mimics — Argireline, its longer cousin SNAP-8, and Leuphasyl — are meant to quieten expression lines. Oral collagen peptides are swallowed, not applied. All three families have a trial record, and in all three the question that matters most is who funded it.</w:t>
      </w:r>
    </w:p>
    <w:p>
      <w:pPr>
        <w:pStyle w:val="Compact"/>
        <w:numPr>
          <w:ilvl w:val="0"/>
          <w:numId w:val="1034"/>
        </w:numPr>
      </w:pPr>
      <w:r>
        <w:t xml:space="preserve">Signal peptides: 'make more matrix'</w:t>
      </w:r>
    </w:p>
    <w:p>
      <w:pPr>
        <w:pStyle w:val="Compact"/>
        <w:numPr>
          <w:ilvl w:val="0"/>
          <w:numId w:val="1034"/>
        </w:numPr>
      </w:pPr>
      <w:r>
        <w:t xml:space="preserve">SNAP-25 mimics: 'relax the line'</w:t>
      </w:r>
    </w:p>
    <w:p>
      <w:pPr>
        <w:pStyle w:val="Compact"/>
        <w:numPr>
          <w:ilvl w:val="0"/>
          <w:numId w:val="1034"/>
        </w:numPr>
      </w:pPr>
      <w:r>
        <w:t xml:space="preserve">Oral collagen: the supplement aisle</w:t>
      </w:r>
    </w:p>
    <w:p>
      <w:pPr>
        <w:pStyle w:val="FirstParagraph"/>
      </w:pPr>
      <w:r>
        <w:t xml:space="preserve">Narration script</w:t>
      </w:r>
    </w:p>
    <w:p>
      <w:pPr>
        <w:pStyle w:val="BodyText"/>
      </w:pPr>
      <w:r>
        <w:t xml:space="preserve">Lesson two covers three families that fill the cosmetic and supplement shelves. Signal peptides, like palmitoyl pentapeptide-4, sold as Matrixyl, are fragments of matrix proteins meant to tell fibroblasts to make more collagen. SNAP-25 mimics, Argireline and its longer cousin SNAP-8, copy part of a nerve-terminal protein that botulinum toxin targets; the idea is a gentle, topical version of that effect. And oral collagen peptides are swallowed, not applied. Every one of these has trials behind it. As you go through them, keep asking one question before any other: who ran the trial, and who paid for it.</w:t>
      </w:r>
    </w:p>
    <w:p>
      <w:pPr>
        <w:pStyle w:val="BodyText"/>
      </w:pPr>
      <w:r>
        <w:t xml:space="preserve">Sources: Lupo MP 2007 · Lintner K 2000 · Blanes-Mira C 2002 · Errante F 2020 · Aesthetic &amp; Regenerative Endocrinology — A Clinician's Pocket Guide 2026 · Schagen SK 2017</w:t>
      </w:r>
    </w:p>
    <w:bookmarkEnd w:id="95"/>
    <w:bookmarkStart w:id="96" w:name="a-trial-or-a-brochure"/>
    <w:p>
      <w:pPr>
        <w:pStyle w:val="Heading3"/>
      </w:pPr>
      <w:r>
        <w:t xml:space="preserve">09 / 19 · A trial, or a brochure?</w:t>
      </w:r>
    </w:p>
    <w:p>
      <w:pPr>
        <w:pStyle w:val="FirstParagraph"/>
      </w:pPr>
      <w:r>
        <w:rPr>
          <w:i/>
          <w:iCs/>
        </w:rPr>
        <w:t xml:space="preserve">Sort the evidence · tool</w:t>
      </w:r>
    </w:p>
    <w:p>
      <w:pPr>
        <w:pStyle w:val="BodyText"/>
      </w:pPr>
      <w:r>
        <w:t xml:space="preserve">Five products from two families, and what each promises on the label. Before you see a grade, decide what actually stands behind each one.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pal-KTTKS (Matrixyl)</w:t>
            </w:r>
          </w:p>
        </w:tc>
        <w:tc>
          <w:tcPr/>
          <w:p>
            <w:pPr>
              <w:pStyle w:val="Compact"/>
            </w:pPr>
            <w:r>
              <w:t xml:space="preserve">Firmer skin, fewer wrinkles</w:t>
            </w:r>
          </w:p>
        </w:tc>
        <w:tc>
          <w:tcPr/>
          <w:p>
            <w:pPr>
              <w:pStyle w:val="Compact"/>
            </w:pPr>
            <w:r>
              <w:t xml:space="preserve">Signal peptide</w:t>
            </w:r>
          </w:p>
        </w:tc>
      </w:tr>
      <w:tr>
        <w:tc>
          <w:tcPr/>
          <w:p>
            <w:pPr>
              <w:pStyle w:val="Compact"/>
            </w:pPr>
            <w:r>
              <w:t xml:space="preserve">Matrixyl 3000 blend</w:t>
            </w:r>
          </w:p>
        </w:tc>
        <w:tc>
          <w:tcPr/>
          <w:p>
            <w:pPr>
              <w:pStyle w:val="Compact"/>
            </w:pPr>
            <w:r>
              <w:t xml:space="preserve">Firmer skin, fewer wrinkles</w:t>
            </w:r>
          </w:p>
        </w:tc>
        <w:tc>
          <w:tcPr/>
          <w:p>
            <w:pPr>
              <w:pStyle w:val="Compact"/>
            </w:pPr>
            <w:r>
              <w:t xml:space="preserve">Signal-peptide blend</w:t>
            </w:r>
          </w:p>
        </w:tc>
      </w:tr>
      <w:tr>
        <w:tc>
          <w:tcPr/>
          <w:p>
            <w:pPr>
              <w:pStyle w:val="Compact"/>
            </w:pPr>
            <w:r>
              <w:t xml:space="preserve">Argireline</w:t>
            </w:r>
          </w:p>
        </w:tc>
        <w:tc>
          <w:tcPr/>
          <w:p>
            <w:pPr>
              <w:pStyle w:val="Compact"/>
            </w:pPr>
            <w:r>
              <w:t xml:space="preserve">Softer expression lines</w:t>
            </w:r>
          </w:p>
        </w:tc>
        <w:tc>
          <w:tcPr/>
          <w:p>
            <w:pPr>
              <w:pStyle w:val="Compact"/>
            </w:pPr>
            <w:r>
              <w:t xml:space="preserve">SNAP-25 mimic, six residues</w:t>
            </w:r>
          </w:p>
        </w:tc>
      </w:tr>
      <w:tr>
        <w:tc>
          <w:tcPr/>
          <w:p>
            <w:pPr>
              <w:pStyle w:val="Compact"/>
            </w:pPr>
            <w:r>
              <w:t xml:space="preserve">SNAP-8</w:t>
            </w:r>
          </w:p>
        </w:tc>
        <w:tc>
          <w:tcPr/>
          <w:p>
            <w:pPr>
              <w:pStyle w:val="Compact"/>
            </w:pPr>
            <w:r>
              <w:t xml:space="preserve">Softer expression lines</w:t>
            </w:r>
          </w:p>
        </w:tc>
        <w:tc>
          <w:tcPr/>
          <w:p>
            <w:pPr>
              <w:pStyle w:val="Compact"/>
            </w:pPr>
            <w:r>
              <w:t xml:space="preserve">SNAP-25 mimic, eight residues</w:t>
            </w:r>
          </w:p>
        </w:tc>
      </w:tr>
      <w:tr>
        <w:tc>
          <w:tcPr/>
          <w:p>
            <w:pPr>
              <w:pStyle w:val="Compact"/>
            </w:pPr>
            <w:r>
              <w:t xml:space="preserve">Leuphasyl</w:t>
            </w:r>
          </w:p>
        </w:tc>
        <w:tc>
          <w:tcPr/>
          <w:p>
            <w:pPr>
              <w:pStyle w:val="Compact"/>
            </w:pPr>
            <w:r>
              <w:t xml:space="preserve">Softer lines, paired with Argireline</w:t>
            </w:r>
          </w:p>
        </w:tc>
        <w:tc>
          <w:tcPr/>
          <w:p>
            <w:pPr>
              <w:pStyle w:val="Compact"/>
            </w:pPr>
            <w:r>
              <w:t xml:space="preserve">Enkephalin analogue</w:t>
            </w:r>
          </w:p>
        </w:tc>
      </w:tr>
    </w:tbl>
    <w:p>
      <w:pPr>
        <w:pStyle w:val="BodyText"/>
      </w:pPr>
      <w:r>
        <w:rPr>
          <w:b/>
          <w:bCs/>
        </w:rPr>
        <w:t xml:space="preserve">Callout:</w:t>
      </w:r>
      <w:r>
        <w:t xml:space="preserve"> </w:t>
      </w:r>
      <w:r>
        <w:t xml:space="preserve">'Clinically tested' can mean a randomized trial or a brochure. Ask which.</w:t>
      </w:r>
    </w:p>
    <w:p>
      <w:pPr>
        <w:pStyle w:val="BodyText"/>
      </w:pPr>
      <w:r>
        <w:rPr>
          <w:b/>
          <w:bCs/>
        </w:rPr>
        <w:t xml:space="preserve">Exercise (classify) · Trial or brochure?</w:t>
      </w:r>
      <w:r>
        <w:t xml:space="preserve"> </w:t>
      </w:r>
      <w:r>
        <w:t xml:space="preserve">— Tap what stands behind each product.</w:t>
      </w:r>
      <w:r>
        <w:t xml:space="preserve"> </w:t>
      </w:r>
      <w:r>
        <w:t xml:space="preserve">- pal-KTTKS (Matrixyl) →</w:t>
      </w:r>
      <w:r>
        <w:t xml:space="preserve"> </w:t>
      </w:r>
      <w:r>
        <w:rPr>
          <w:b/>
          <w:bCs/>
        </w:rPr>
        <w:t xml:space="preserve">A randomized human trial</w:t>
      </w:r>
      <w:r>
        <w:t xml:space="preserve"> </w:t>
      </w:r>
      <w:r>
        <w:t xml:space="preserve">—</w:t>
      </w:r>
      <w:r>
        <w:t xml:space="preserve"> </w:t>
      </w:r>
      <w:r>
        <w:rPr>
          <w:i/>
          <w:iCs/>
        </w:rPr>
        <w:t xml:space="preserve">GRADE C. A 12-week split-face RCT in 93 women, funded by the manufacturer, and an independent 2023 RCT.</w:t>
      </w:r>
      <w:r>
        <w:t xml:space="preserve"> </w:t>
      </w:r>
      <w:r>
        <w:t xml:space="preserve">- Matrixyl 3000 blend →</w:t>
      </w:r>
      <w:r>
        <w:t xml:space="preserve"> </w:t>
      </w:r>
      <w:r>
        <w:rPr>
          <w:b/>
          <w:bCs/>
        </w:rPr>
        <w:t xml:space="preserve">No randomized trial</w:t>
      </w:r>
      <w:r>
        <w:t xml:space="preserve"> </w:t>
      </w:r>
      <w:r>
        <w:t xml:space="preserve">—</w:t>
      </w:r>
      <w:r>
        <w:t xml:space="preserve"> </w:t>
      </w:r>
      <w:r>
        <w:rPr>
          <w:i/>
          <w:iCs/>
        </w:rPr>
        <w:t xml:space="preserve">GRADE D. Only the maker's technical dossier, which is not indexed.</w:t>
      </w:r>
      <w:r>
        <w:t xml:space="preserve"> </w:t>
      </w:r>
      <w:r>
        <w:t xml:space="preserve">- Argireline →</w:t>
      </w:r>
      <w:r>
        <w:t xml:space="preserve"> </w:t>
      </w:r>
      <w:r>
        <w:rPr>
          <w:b/>
          <w:bCs/>
        </w:rPr>
        <w:t xml:space="preserve">A randomized human trial</w:t>
      </w:r>
      <w:r>
        <w:t xml:space="preserve"> </w:t>
      </w:r>
      <w:r>
        <w:t xml:space="preserve">—</w:t>
      </w:r>
      <w:r>
        <w:t xml:space="preserve"> </w:t>
      </w:r>
      <w:r>
        <w:rPr>
          <w:i/>
          <w:iCs/>
        </w:rPr>
        <w:t xml:space="preserve">GRADE C in this course. Placebo-controlled RCTs, including an independent head-to-head trial, show modest effects. The two Hormonaly guides disagree (C in Aesthetic &amp; Regenerative Endocrinology, D in the Peptide Pocket Guide); the trials decide it here.</w:t>
      </w:r>
      <w:r>
        <w:t xml:space="preserve"> </w:t>
      </w:r>
      <w:r>
        <w:t xml:space="preserve">- SNAP-8 →</w:t>
      </w:r>
      <w:r>
        <w:t xml:space="preserve"> </w:t>
      </w:r>
      <w:r>
        <w:rPr>
          <w:b/>
          <w:bCs/>
        </w:rPr>
        <w:t xml:space="preserve">No randomized trial</w:t>
      </w:r>
      <w:r>
        <w:t xml:space="preserve"> </w:t>
      </w:r>
      <w:r>
        <w:t xml:space="preserve">—</w:t>
      </w:r>
      <w:r>
        <w:t xml:space="preserve"> </w:t>
      </w:r>
      <w:r>
        <w:rPr>
          <w:i/>
          <w:iCs/>
        </w:rPr>
        <w:t xml:space="preserve">GRADE D. Its efficacy figures come from the manufacturer, and the indexed studies test it mixed with other actives, so none isolates it.</w:t>
      </w:r>
      <w:r>
        <w:t xml:space="preserve"> </w:t>
      </w:r>
      <w:r>
        <w:t xml:space="preserve">- Leuphasyl →</w:t>
      </w:r>
      <w:r>
        <w:t xml:space="preserve"> </w:t>
      </w:r>
      <w:r>
        <w:rPr>
          <w:b/>
          <w:bCs/>
        </w:rPr>
        <w:t xml:space="preserve">No randomized trial</w:t>
      </w:r>
      <w:r>
        <w:t xml:space="preserve"> </w:t>
      </w:r>
      <w:r>
        <w:t xml:space="preserve">—</w:t>
      </w:r>
      <w:r>
        <w:t xml:space="preserve"> </w:t>
      </w:r>
      <w:r>
        <w:rPr>
          <w:i/>
          <w:iCs/>
        </w:rPr>
        <w:t xml:space="preserve">GRADE D. The maker's studies, an in-vitro synergy figure and one small uncontrolled university volunteer study (2014); no randomized trial.</w:t>
      </w:r>
    </w:p>
    <w:p>
      <w:pPr>
        <w:pStyle w:val="BodyText"/>
      </w:pPr>
      <w:r>
        <w:t xml:space="preserve">Sources: Aruan RR 2023 · Avcil M 2020 · Dragomirescu AO 2014 · Errante F 2020 · Aesthetic &amp; Regenerative Endocrinology — A Clinician's Pocket Guide 2026 · The Peptide Pocket Guide — 2026 Edition · Clinical Reference (seventy-two entries) 2026 · Robinson LR 2005 · Shin JY 2024 · Wang Y 2013</w:t>
      </w:r>
    </w:p>
    <w:bookmarkEnd w:id="96"/>
    <w:bookmarkStart w:id="97" w:name="twenty-three-trials-split-by-who-paid."/>
    <w:p>
      <w:pPr>
        <w:pStyle w:val="Heading3"/>
      </w:pPr>
      <w:r>
        <w:t xml:space="preserve">10 / 19 · Twenty-three trials, split by who paid.</w:t>
      </w:r>
    </w:p>
    <w:p>
      <w:pPr>
        <w:pStyle w:val="FirstParagraph"/>
      </w:pPr>
      <w:r>
        <w:rPr>
          <w:i/>
          <w:iCs/>
        </w:rPr>
        <w:t xml:space="preserve">The evidence · stat</w:t>
      </w:r>
    </w:p>
    <w:p>
      <w:pPr>
        <w:pStyle w:val="BodyText"/>
      </w:pPr>
      <w:r>
        <w:t xml:space="preserve">Pooled, oral collagen trials show better hydration, elasticity and wrinkle scores, and the Aesthetic &amp; Regenerative Endocrinology guide grades them C. A 2025 meta-analysis split the same kind of trials by funding and by quality. The benefit appeared only in pharmaceutical-funded and low-quality trials. Unfunded and high-quality trials showed no effect.</w:t>
      </w:r>
    </w:p>
    <w:p>
      <w:pPr>
        <w:pStyle w:val="BodyText"/>
      </w:pPr>
      <w:r>
        <w:rPr>
          <w:b/>
          <w:bCs/>
        </w:rPr>
        <w:t xml:space="preserve">23 RCTs</w:t>
      </w:r>
      <w:r>
        <w:t xml:space="preserve"> </w:t>
      </w:r>
      <w:r>
        <w:t xml:space="preserve">— in the 2025 meta-analysis that split oral-collagen trials by funding and quality (1,474 participants)</w:t>
      </w:r>
      <w:r>
        <w:br/>
      </w:r>
      <w:r>
        <w:rPr>
          <w:i/>
          <w:iCs/>
        </w:rPr>
        <w:t xml:space="preserve">Means:</w:t>
      </w:r>
      <w:r>
        <w:t xml:space="preserve"> </w:t>
      </w:r>
      <w:r>
        <w:t xml:space="preserve">The pooled benefit of oral collagen disappears when you look only at independent or high-quality trials. The course keeps the guide's GRADE C and shows why a downgrade has been proposed to its author.</w:t>
      </w:r>
      <w:r>
        <w:br/>
      </w:r>
      <w:r>
        <w:rPr>
          <w:i/>
          <w:iCs/>
        </w:rPr>
        <w:t xml:space="preserve">Does not mean:</w:t>
      </w:r>
      <w:r>
        <w:t xml:space="preserve"> </w:t>
      </w:r>
      <w:r>
        <w:t xml:space="preserve">It does not show collagen is harmful, and it does not rule out benefit for an individual. It is a statement about the evidence, and it says nothing about topical peptides.</w:t>
      </w:r>
    </w:p>
    <w:p>
      <w:pPr>
        <w:pStyle w:val="BodyText"/>
      </w:pPr>
      <w:r>
        <w:t xml:space="preserve">Sources: Myung SK 2025 · Pu SY 2023 · de Miranda RB 2021 · Kim DU 2018 · Aesthetic &amp; Regenerative Endocrinology — A Clinician's Pocket Guide 2026</w:t>
      </w:r>
    </w:p>
    <w:bookmarkEnd w:id="97"/>
    <w:bookmarkStart w:id="98" w:name="Xb470b3450519716d57514203efc0e6b6a6780b9"/>
    <w:p>
      <w:pPr>
        <w:pStyle w:val="Heading3"/>
      </w:pPr>
      <w:r>
        <w:t xml:space="preserve">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35"/>
        </w:numPr>
      </w:pPr>
      <w:r>
        <w:t xml:space="preserve">Cosmetic ingredient: no efficacy approval needed</w:t>
      </w:r>
    </w:p>
    <w:p>
      <w:pPr>
        <w:pStyle w:val="Compact"/>
        <w:numPr>
          <w:ilvl w:val="0"/>
          <w:numId w:val="1035"/>
        </w:numPr>
      </w:pPr>
      <w:r>
        <w:t xml:space="preserve">Dietary supplement: no disease claims; quality varies</w:t>
      </w:r>
    </w:p>
    <w:p>
      <w:pPr>
        <w:pStyle w:val="Compact"/>
        <w:numPr>
          <w:ilvl w:val="0"/>
          <w:numId w:val="1035"/>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 UK and EU rules are being mapped for this course and will be added.</w:t>
      </w:r>
    </w:p>
    <w:p>
      <w:pPr>
        <w:pStyle w:val="BodyText"/>
      </w:pPr>
      <w:r>
        <w:t xml:space="preserve">Sources: Bjerke DL 2026 · Lupo MP 2007 · Aesthetic &amp; Regenerative Endocrinology — A Clinician's Pocket Guide 2026 · The Peptide Pocket Guide — 2026 Edition · Clinical Reference (seventy-two entries) 2026</w:t>
      </w:r>
    </w:p>
    <w:bookmarkEnd w:id="98"/>
    <w:bookmarkStart w:id="99" w:name="clinically-proven-collagen."/>
    <w:p>
      <w:pPr>
        <w:pStyle w:val="Heading3"/>
      </w:pPr>
      <w:r>
        <w:t xml:space="preserve">12 / 19 · 'Clinically proven' collagen.</w:t>
      </w:r>
    </w:p>
    <w:p>
      <w:pPr>
        <w:pStyle w:val="FirstParagraph"/>
      </w:pPr>
      <w:r>
        <w:rPr>
          <w:i/>
          <w:iCs/>
        </w:rPr>
        <w:t xml:space="preserve">Your turn · quiz</w:t>
      </w:r>
    </w:p>
    <w:p>
      <w:pPr>
        <w:pStyle w:val="BodyText"/>
      </w:pPr>
      <w:r>
        <w:t xml:space="preserve">One question to close lesson 4.2.</w:t>
      </w:r>
    </w:p>
    <w:p>
      <w:pPr>
        <w:pStyle w:val="BodyText"/>
      </w:pPr>
      <w:r>
        <w:rPr>
          <w:b/>
          <w:bCs/>
        </w:rPr>
        <w:t xml:space="preserve">Q.</w:t>
      </w:r>
      <w:r>
        <w:t xml:space="preserve"> </w:t>
      </w:r>
      <w:r>
        <w:t xml:space="preserve">A patient shows you a collagen drink labelled 'clinically proven to reduce wrinkles'. What is the most accurate reply?</w:t>
      </w:r>
      <w:r>
        <w:t xml:space="preserve"> </w:t>
      </w:r>
      <w:r>
        <w:t xml:space="preserve">- ✔ The trials are real, but the benefit shows up only in industry-funded and lower-quality trials; independent, high-quality trials show no effect. —</w:t>
      </w:r>
      <w:r>
        <w:t xml:space="preserve"> </w:t>
      </w:r>
      <w:r>
        <w:rPr>
          <w:i/>
          <w:iCs/>
        </w:rPr>
        <w:t xml:space="preserve">Correct. That is what the 2025 funding-stratified meta-analysis found.</w:t>
      </w:r>
      <w:r>
        <w:t xml:space="preserve"> </w:t>
      </w:r>
      <w:r>
        <w:t xml:space="preserve">- ✗ Meta-analyses prove that collagen improves skin. —</w:t>
      </w:r>
      <w:r>
        <w:t xml:space="preserve"> </w:t>
      </w:r>
      <w:r>
        <w:rPr>
          <w:i/>
          <w:iCs/>
        </w:rPr>
        <w:t xml:space="preserve">Pooled, yes. Split by funding and quality, the effect disappears in the independent and high-quality trials.</w:t>
      </w:r>
      <w:r>
        <w:t xml:space="preserve"> </w:t>
      </w:r>
      <w:r>
        <w:t xml:space="preserve">- ✗ Collagen is digested, so it cannot do anything. —</w:t>
      </w:r>
      <w:r>
        <w:t xml:space="preserve"> </w:t>
      </w:r>
      <w:r>
        <w:rPr>
          <w:i/>
          <w:iCs/>
        </w:rPr>
        <w:t xml:space="preserve">That is a mechanism argument. The course rests on the trials, and the problem with the trials is who ran them.</w:t>
      </w:r>
    </w:p>
    <w:bookmarkEnd w:id="99"/>
    <w:bookmarkEnd w:id="100"/>
    <w:bookmarkStart w:id="108" w:name="Xa42b7d619faa5440495f3ef9d83f595d23b18b0"/>
    <w:p>
      <w:pPr>
        <w:pStyle w:val="Heading2"/>
      </w:pPr>
      <w:r>
        <w:t xml:space="preserve">Lesson 4.3 · Repair peptides and the compounding line</w:t>
      </w:r>
    </w:p>
    <w:bookmarkStart w:id="101" w:name="rodents-a-fragment-and-a-tripeptide."/>
    <w:p>
      <w:pPr>
        <w:pStyle w:val="Heading3"/>
      </w:pPr>
      <w:r>
        <w:t xml:space="preserve">13 / 19 · Rodents, a fragment, and a tripeptide.</w:t>
      </w:r>
    </w:p>
    <w:p>
      <w:pPr>
        <w:pStyle w:val="FirstParagraph"/>
      </w:pPr>
      <w:r>
        <w:rPr>
          <w:i/>
          <w:iCs/>
        </w:rPr>
        <w:t xml:space="preserve">Lesson 4.3 · Concept · audio</w:t>
      </w:r>
    </w:p>
    <w:p>
      <w:pPr>
        <w:pStyle w:val="BodyText"/>
      </w:pPr>
      <w:r>
        <w:t xml:space="preserve">BPC-157 rests on a large rodent literature, mostly from one research group, and on uncontrolled human case series. TB-500 is not thymosin β4: it is a seven-residue fragment of it, identified by analysing the product itself, and no trial has tested the fragment. KPV, a tripeptide from the end of α-MSH, calms inflammation in mouse colitis and has no randomized human trial.</w:t>
      </w:r>
    </w:p>
    <w:p>
      <w:pPr>
        <w:pStyle w:val="Compact"/>
        <w:numPr>
          <w:ilvl w:val="0"/>
          <w:numId w:val="1036"/>
        </w:numPr>
      </w:pPr>
      <w:r>
        <w:t xml:space="preserve">BPC-157: rodents and case series</w:t>
      </w:r>
    </w:p>
    <w:p>
      <w:pPr>
        <w:pStyle w:val="Compact"/>
        <w:numPr>
          <w:ilvl w:val="0"/>
          <w:numId w:val="1036"/>
        </w:numPr>
      </w:pPr>
      <w:r>
        <w:t xml:space="preserve">TB-500: a fragment, never trialled</w:t>
      </w:r>
    </w:p>
    <w:p>
      <w:pPr>
        <w:pStyle w:val="Compact"/>
        <w:numPr>
          <w:ilvl w:val="0"/>
          <w:numId w:val="1036"/>
        </w:numPr>
      </w:pPr>
      <w:r>
        <w:t xml:space="preserve">KPV: mouse colitis only</w:t>
      </w:r>
    </w:p>
    <w:p>
      <w:pPr>
        <w:pStyle w:val="FirstParagraph"/>
      </w:pPr>
      <w:r>
        <w:t xml:space="preserve">Narration script</w:t>
      </w:r>
    </w:p>
    <w:p>
      <w:pPr>
        <w:pStyle w:val="BodyText"/>
      </w:pPr>
      <w:r>
        <w:t xml:space="preserve">Lesson three moves from the cosmetic shelf to the peptides patients buy online and inject. BPC-157 is a fifteen-residue peptide first described in 1993. Its evidence is a large rodent literature, most of it from one research group, and uncontrolled human case series. TB-500 is sold as thymosin, but when anti-doping chemists analysed the product they found a seven-residue fragment, residues seventeen to twenty-three of thymosin beta-four. That fragment has never been tested in a trial. KPV is the last three amino acids of alpha-MSH; it calms inflammation in mouse colitis models, and there is no randomized human trial of it for anything. All three have plausible mechanisms, and none has a controlled human trial.</w:t>
      </w:r>
    </w:p>
    <w:p>
      <w:pPr>
        <w:pStyle w:val="BodyText"/>
      </w:pPr>
      <w:r>
        <w:t xml:space="preserve">Sources: Sikiric P 2018 · Seiwerth S 2021 · Lee E 2021 · Esposito S 2012 · Crockford D 2010 · Dalmasso G 2008 · Kannengiesser K 2008 · The Peptide Pocket Guide — 2026 Edition · Clinical Reference (seventy-two entries) 2026 · Sikirić P 1993</w:t>
      </w:r>
    </w:p>
    <w:bookmarkEnd w:id="101"/>
    <w:bookmarkStart w:id="102" w:name="one-abstract-no-published-trial."/>
    <w:p>
      <w:pPr>
        <w:pStyle w:val="Heading3"/>
      </w:pPr>
      <w:r>
        <w:t xml:space="preserve">14 / 19 · One abstract, no published trial.</w:t>
      </w:r>
    </w:p>
    <w:p>
      <w:pPr>
        <w:pStyle w:val="FirstParagraph"/>
      </w:pPr>
      <w:r>
        <w:rPr>
          <w:i/>
          <w:iCs/>
        </w:rPr>
        <w:t xml:space="preserve">The evidence · stat</w:t>
      </w:r>
    </w:p>
    <w:p>
      <w:pPr>
        <w:pStyle w:val="BodyText"/>
      </w:pPr>
      <w:r>
        <w:t xml:space="preserve">As of September 2026 no randomized efficacy trial of BPC-157 in people has been published in full. FDA's July 2026 briefing found one randomized, placebo-controlled trial reported only as a 2005 meeting abstract: 53 people with ulcerative colitis, two weeks of treatment, and no significant difference from placebo. ClinicalTrials.gov adds a 2015 phase 1 safety study that never posted results, a completed 2025 single-arm product study with no results posted, and a randomized phase 1 trial after rotator-cuff surgery due to start in 2027.</w:t>
      </w:r>
    </w:p>
    <w:p>
      <w:pPr>
        <w:pStyle w:val="BodyText"/>
      </w:pPr>
      <w:r>
        <w:rPr>
          <w:b/>
          <w:bCs/>
        </w:rPr>
        <w:t xml:space="preserve">0</w:t>
      </w:r>
      <w:r>
        <w:t xml:space="preserve"> </w:t>
      </w:r>
      <w:r>
        <w:t xml:space="preserve">— randomized efficacy trials of BPC-157 in people published in full (September 2026) (One 2005 ulcerative-colitis trial exists only as a meeting abstract (no significant difference from placebo) · registered: phase 1 safety study (2015, no results) · single-arm product study (2025, no results) · randomized phase 1 after rotator-cuff repair (starts 2027))</w:t>
      </w:r>
      <w:r>
        <w:br/>
      </w:r>
      <w:r>
        <w:rPr>
          <w:i/>
          <w:iCs/>
        </w:rPr>
        <w:t xml:space="preserve">Means:</w:t>
      </w:r>
      <w:r>
        <w:t xml:space="preserve"> </w:t>
      </w:r>
      <w:r>
        <w:t xml:space="preserve">Whether BPC-157 helps people heal is unknown. The only randomized human result is an abstract that showed no significant benefit; the enthusiasm rests on rodents and uncontrolled case series.</w:t>
      </w:r>
      <w:r>
        <w:br/>
      </w:r>
      <w:r>
        <w:rPr>
          <w:i/>
          <w:iCs/>
        </w:rPr>
        <w:t xml:space="preserve">Does not mean:</w:t>
      </w:r>
      <w:r>
        <w:t xml:space="preserve"> </w:t>
      </w:r>
      <w:r>
        <w:t xml:space="preserve">It does not show BPC-157 is ineffective or unsafe. Absence of trials is absence of evidence, and this figure will change when the registered trials report.</w:t>
      </w:r>
    </w:p>
    <w:p>
      <w:pPr>
        <w:pStyle w:val="BodyText"/>
      </w:pPr>
      <w:r>
        <w:t xml:space="preserve">Sources: fda-pcac-2026-bpc157-briefing · Mayfield CK 2026 · McGuire FP 2025 · PharmaCotherapia d.o.o. 2015 · Parlay Wellness 2025 · University of Arkansas 2027</w:t>
      </w:r>
    </w:p>
    <w:bookmarkEnd w:id="102"/>
    <w:bookmarkStart w:id="103" w:name="two-trials-one-peptide-ll-37."/>
    <w:p>
      <w:pPr>
        <w:pStyle w:val="Heading3"/>
      </w:pPr>
      <w:r>
        <w:t xml:space="preserve">15 / 19 · Two trials, one peptide: LL-37.</w:t>
      </w:r>
    </w:p>
    <w:p>
      <w:pPr>
        <w:pStyle w:val="FirstParagraph"/>
      </w:pPr>
      <w:r>
        <w:rPr>
          <w:i/>
          <w:iCs/>
        </w:rPr>
        <w:t xml:space="preserve">Worked example · tool</w:t>
      </w:r>
    </w:p>
    <w:p>
      <w:pPr>
        <w:pStyle w:val="BodyText"/>
      </w:pPr>
      <w:r>
        <w:t xml:space="preserve">LL-37, the skin's own cathelicidin, is the one repair peptide with two randomized trials in hard-to-heal venous leg ulcers. Read them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First trial (2014)</w:t>
            </w:r>
          </w:p>
        </w:tc>
        <w:tc>
          <w:tcPr/>
          <w:p>
            <w:pPr>
              <w:pStyle w:val="Compact"/>
            </w:pPr>
            <w:r>
              <w:t xml:space="preserve">Positive at low dose</w:t>
            </w:r>
          </w:p>
        </w:tc>
        <w:tc>
          <w:tcPr/>
          <w:p>
            <w:pPr>
              <w:pStyle w:val="Compact"/>
            </w:pPr>
            <w:r>
              <w:t xml:space="preserve">First-in-human, randomized, dose-ranging; 34 patients</w:t>
            </w:r>
          </w:p>
        </w:tc>
      </w:tr>
      <w:tr>
        <w:tc>
          <w:tcPr/>
          <w:p>
            <w:pPr>
              <w:pStyle w:val="Compact"/>
            </w:pPr>
            <w:r>
              <w:t xml:space="preserve">Second trial (2021)</w:t>
            </w:r>
          </w:p>
        </w:tc>
        <w:tc>
          <w:tcPr/>
          <w:p>
            <w:pPr>
              <w:pStyle w:val="Compact"/>
            </w:pPr>
            <w:r>
              <w:t xml:space="preserve">Negative in the full cohort</w:t>
            </w:r>
          </w:p>
        </w:tc>
        <w:tc>
          <w:tcPr/>
          <w:p>
            <w:pPr>
              <w:pStyle w:val="Compact"/>
            </w:pPr>
            <w:r>
              <w:t xml:space="preserve">Multicentre phase IIb, placebo-controlled; only a post hoc subgroup signal</w:t>
            </w:r>
          </w:p>
        </w:tc>
      </w:tr>
      <w:tr>
        <w:tc>
          <w:tcPr/>
          <w:p>
            <w:pPr>
              <w:pStyle w:val="Compact"/>
            </w:pPr>
            <w:r>
              <w:t xml:space="preserve">Who ran them</w:t>
            </w:r>
          </w:p>
        </w:tc>
        <w:tc>
          <w:tcPr/>
          <w:p>
            <w:pPr>
              <w:pStyle w:val="Compact"/>
            </w:pPr>
            <w:r>
              <w:t xml:space="preserve">The developer, both times</w:t>
            </w:r>
          </w:p>
        </w:tc>
        <w:tc>
          <w:tcPr/>
          <w:p>
            <w:pPr>
              <w:pStyle w:val="Compact"/>
            </w:pPr>
            <w:r>
              <w:t xml:space="preserve">Sponsorship does not make a trial wrong; it is one more reason to wait for replication</w:t>
            </w:r>
          </w:p>
        </w:tc>
      </w:tr>
      <w:tr>
        <w:tc>
          <w:tcPr/>
          <w:p>
            <w:pPr>
              <w:pStyle w:val="Compact"/>
            </w:pPr>
            <w:r>
              <w:t xml:space="preserve">Grade</w:t>
            </w:r>
          </w:p>
        </w:tc>
        <w:tc>
          <w:tcPr/>
          <w:p>
            <w:pPr>
              <w:pStyle w:val="Compact"/>
            </w:pPr>
            <w:r>
              <w:t xml:space="preserve">C — inconsistent</w:t>
            </w:r>
          </w:p>
        </w:tc>
        <w:tc>
          <w:tcPr/>
          <w:p>
            <w:pPr>
              <w:pStyle w:val="Compact"/>
            </w:pPr>
            <w:r>
              <w:t xml:space="preserve">A small positive trial followed by an adequately powered negative one</w:t>
            </w:r>
          </w:p>
        </w:tc>
      </w:tr>
    </w:tbl>
    <w:p>
      <w:pPr>
        <w:pStyle w:val="BodyText"/>
      </w:pPr>
      <w:r>
        <w:rPr>
          <w:b/>
          <w:bCs/>
        </w:rPr>
        <w:t xml:space="preserve">Callout:</w:t>
      </w:r>
      <w:r>
        <w:t xml:space="preserve"> </w:t>
      </w:r>
      <w:r>
        <w:t xml:space="preserve">A small positive trial is a hypothesis. LL-37 is what happens when someone tests it.</w:t>
      </w:r>
    </w:p>
    <w:p>
      <w:pPr>
        <w:pStyle w:val="BodyText"/>
      </w:pPr>
      <w:r>
        <w:t xml:space="preserve">Sources: Grönberg A 2014 · Mahlapuu M 2021 · Schauber J 2008 · The Peptide Pocket Guide — 2026 Edition · Clinical Reference (seventy-two entries) 2026</w:t>
      </w:r>
    </w:p>
    <w:bookmarkEnd w:id="103"/>
    <w:bookmarkStart w:id="104" w:name="where-does-it-stand-in-the-us"/>
    <w:p>
      <w:pPr>
        <w:pStyle w:val="Heading3"/>
      </w:pPr>
      <w:r>
        <w:t xml:space="preserve">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bookmarkEnd w:id="104"/>
    <w:bookmarkStart w:id="105" w:name="new-dark-patches-three-months-into-glow."/>
    <w:p>
      <w:pPr>
        <w:pStyle w:val="Heading3"/>
      </w:pPr>
      <w:r>
        <w:t xml:space="preserve">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37"/>
        </w:numPr>
      </w:pPr>
      <w:r>
        <w:t xml:space="preserve">GLOW = GHK-Cu, BPC-157 and TB-500; no controlled human trials</w:t>
      </w:r>
    </w:p>
    <w:p>
      <w:pPr>
        <w:pStyle w:val="Compact"/>
        <w:numPr>
          <w:ilvl w:val="0"/>
          <w:numId w:val="1037"/>
        </w:numPr>
      </w:pPr>
      <w:r>
        <w:t xml:space="preserve">Research-use-only products are made outside GMP</w:t>
      </w:r>
    </w:p>
    <w:p>
      <w:pPr>
        <w:pStyle w:val="Compact"/>
        <w:numPr>
          <w:ilvl w:val="0"/>
          <w:numId w:val="1037"/>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38"/>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38"/>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Contamination with heavy metals is reported for this market but not documented; the change needs assessment either way.</w:t>
      </w:r>
    </w:p>
    <w:p>
      <w:pPr>
        <w:pStyle w:val="Compact"/>
        <w:numPr>
          <w:ilvl w:val="0"/>
          <w:numId w:val="1038"/>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heavy-metal contamination is reported for this market and has not been documented.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bookmarkEnd w:id="105"/>
    <w:bookmarkStart w:id="106" w:name="after-the-july-review."/>
    <w:p>
      <w:pPr>
        <w:pStyle w:val="Heading3"/>
      </w:pPr>
      <w:r>
        <w:t xml:space="preserve">18 / 19 · After the July review.</w:t>
      </w:r>
    </w:p>
    <w:p>
      <w:pPr>
        <w:pStyle w:val="FirstParagraph"/>
      </w:pPr>
      <w:r>
        <w:rPr>
          <w:i/>
          <w:iCs/>
        </w:rPr>
        <w:t xml:space="preserve">Your turn · quiz</w:t>
      </w:r>
    </w:p>
    <w:p>
      <w:pPr>
        <w:pStyle w:val="BodyText"/>
      </w:pPr>
      <w:r>
        <w:t xml:space="preserve">One question to close lesson 4.3.</w:t>
      </w:r>
    </w:p>
    <w:p>
      <w:pPr>
        <w:pStyle w:val="BodyText"/>
      </w:pPr>
      <w:r>
        <w:rPr>
          <w:b/>
          <w:bCs/>
        </w:rPr>
        <w:t xml:space="preserve">Q.</w:t>
      </w:r>
      <w:r>
        <w:t xml:space="preserve"> </w:t>
      </w:r>
      <w:r>
        <w:t xml:space="preserve">FDA's Pharmacy Compounding Advisory Committee reviewed BPC-157, KPV and TB-500 in July 2026. What does that change for 503A compounding today?</w:t>
      </w:r>
      <w:r>
        <w:t xml:space="preserve"> </w:t>
      </w:r>
      <w:r>
        <w:t xml:space="preserve">- ✗ They can now be compounded, because the committee reviewed them. —</w:t>
      </w:r>
      <w:r>
        <w:t xml:space="preserve"> </w:t>
      </w:r>
      <w:r>
        <w:rPr>
          <w:i/>
          <w:iCs/>
        </w:rPr>
        <w:t xml:space="preserve">The committee advises; nothing changes until FDA adds a substance to the bulks list by rulemaking.</w:t>
      </w:r>
      <w:r>
        <w:t xml:space="preserve"> </w:t>
      </w:r>
      <w:r>
        <w:t xml:space="preserve">- ✔ Nothing yet: the committee advises, FDA must still act by rulemaking, and until then compounded products do not qualify for the 503A exemptions. —</w:t>
      </w:r>
      <w:r>
        <w:t xml:space="preserve"> </w:t>
      </w:r>
      <w:r>
        <w:rPr>
          <w:i/>
          <w:iCs/>
        </w:rPr>
        <w:t xml:space="preserve">Correct. Review is not approval.</w:t>
      </w:r>
      <w:r>
        <w:t xml:space="preserve"> </w:t>
      </w:r>
      <w:r>
        <w:t xml:space="preserve">- ✗ Only the injectable forms are restricted now. —</w:t>
      </w:r>
      <w:r>
        <w:t xml:space="preserve"> </w:t>
      </w:r>
      <w:r>
        <w:rPr>
          <w:i/>
          <w:iCs/>
        </w:rPr>
        <w:t xml:space="preserve">None of the three is on the bulks list in any form; the injectable-only exception applies to GHK-Cu's Category 1 entry, not to these.</w:t>
      </w:r>
    </w:p>
    <w:bookmarkEnd w:id="106"/>
    <w:bookmarkStart w:id="107" w:name="before-my-next-peptide-conversation."/>
    <w:p>
      <w:pPr>
        <w:pStyle w:val="Heading3"/>
      </w:pPr>
      <w:r>
        <w:t xml:space="preserve">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on the live FDA list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bookmarkEnd w:id="107"/>
    <w:bookmarkEnd w:id="108"/>
    <w:bookmarkStart w:id="109" w:name="module-check-3"/>
    <w:p>
      <w:pPr>
        <w:pStyle w:val="Heading2"/>
      </w:pPr>
      <w:r>
        <w:t xml:space="preserve">Module check</w:t>
      </w:r>
    </w:p>
    <w:p>
      <w:pPr>
        <w:pStyle w:val="FirstParagraph"/>
      </w:pPr>
      <w:r>
        <w:rPr>
          <w:b/>
          <w:bCs/>
        </w:rPr>
        <w:t xml:space="preserve">Q.</w:t>
      </w:r>
      <w:r>
        <w:t xml:space="preserve"> </w:t>
      </w:r>
      <w:r>
        <w:t xml:space="preserve">Closing Module 4: which statement keeps the four registers apart?</w:t>
      </w:r>
      <w:r>
        <w:t xml:space="preserve"> </w:t>
      </w:r>
      <w:r>
        <w:t xml:space="preserve">- ✗ GHK-Cu has a strong mechanism, so its evidence grade is high. —</w:t>
      </w:r>
      <w:r>
        <w:t xml:space="preserve"> </w:t>
      </w:r>
      <w:r>
        <w:rPr>
          <w:i/>
          <w:iCs/>
        </w:rPr>
        <w:t xml:space="preserve">That blends mechanism into human evidence. The mechanism is plausible; the human evidence is small (C).</w:t>
      </w:r>
      <w:r>
        <w:t xml:space="preserve"> </w:t>
      </w:r>
      <w:r>
        <w:t xml:space="preserve">- ✔ Topical GHK-Cu: plausible copper-enzyme mechanism; small-trial human evidence (C); non-injectable Category 1 under FDA evaluation; whether it reaches the dermis in useful amounts is open. —</w:t>
      </w:r>
      <w:r>
        <w:t xml:space="preserve"> </w:t>
      </w:r>
      <w:r>
        <w:rPr>
          <w:i/>
          <w:iCs/>
        </w:rPr>
        <w:t xml:space="preserve">Correct. Four separate answers, each with its own source.</w:t>
      </w:r>
      <w:r>
        <w:t xml:space="preserve"> </w:t>
      </w:r>
      <w:r>
        <w:t xml:space="preserve">- ✗ Category 1 means FDA has approved GHK-Cu for skin. —</w:t>
      </w:r>
      <w:r>
        <w:t xml:space="preserve"> </w:t>
      </w:r>
      <w:r>
        <w:rPr>
          <w:i/>
          <w:iCs/>
        </w:rPr>
        <w:t xml:space="preserve">Category 1 means 'still under evaluation' — an enforcement posture, not an approval.</w:t>
      </w:r>
    </w:p>
    <w:p>
      <w:r>
        <w:pict>
          <v:rect style="width:0;height:1.5pt" o:hralign="center" o:hrstd="t" o:hr="t"/>
        </w:pict>
      </w:r>
    </w:p>
    <w:bookmarkEnd w:id="109"/>
    <w:bookmarkEnd w:id="110"/>
    <w:bookmarkStart w:id="134" w:name="X3a0b73391e579846f8d1c473be93ce9501dcebf"/>
    <w:p>
      <w:pPr>
        <w:pStyle w:val="Heading1"/>
      </w:pPr>
      <w:r>
        <w:t xml:space="preserve">Hormones and Peptides for Skin · Module 05 — review draft</w:t>
      </w:r>
    </w:p>
    <w:p>
      <w:pPr>
        <w:pStyle w:val="FirstParagraph"/>
      </w:pPr>
      <w:r>
        <w:rPr>
          <w:i/>
          <w:iCs/>
        </w:rPr>
        <w:t xml:space="preserve">ai_draft · authored 2026-09-24 · 19 moments, ~26 min + module check · 34 sources · 20 claims</w:t>
      </w:r>
    </w:p>
    <w:p>
      <w:pPr>
        <w:pStyle w:val="BodyText"/>
      </w:pPr>
      <w:r>
        <w:t xml:space="preserve">Every factual sentence traces to the graded registry (</w:t>
      </w:r>
      <w:r>
        <w:rPr>
          <w:rStyle w:val="VerbatimChar"/>
        </w:rPr>
        <w:t xml:space="preserve">citations/m05.md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17" w:name="X82d00de70497bf87e33200c306ab17cc9bf12e9"/>
    <w:p>
      <w:pPr>
        <w:pStyle w:val="Heading2"/>
      </w:pPr>
      <w:r>
        <w:t xml:space="preserve">Lesson 5.1 · The hair follicle as an endocrine mini-organ</w:t>
      </w:r>
    </w:p>
    <w:bookmarkStart w:id="111" w:name="a-spray-for-the-scalp-a-tan-in-a-vial."/>
    <w:p>
      <w:pPr>
        <w:pStyle w:val="Heading3"/>
      </w:pPr>
      <w:r>
        <w:t xml:space="preserve">01 / 19 · A spray for the scalp, a tan in a vial.</w:t>
      </w:r>
    </w:p>
    <w:p>
      <w:pPr>
        <w:pStyle w:val="FirstParagraph"/>
      </w:pPr>
      <w:r>
        <w:rPr>
          <w:i/>
          <w:iCs/>
        </w:rPr>
        <w:t xml:space="preserve">Module 05 · Follicle, pigment and melanocortins · title</w:t>
      </w:r>
    </w:p>
    <w:p>
      <w:pPr>
        <w:pStyle w:val="BodyText"/>
      </w:pPr>
      <w:r>
        <w:t xml:space="preserve">Two requests reach aesthetic clinics well ahead of their evidence: a peptide to regrow hair and an injection to tan. In three lessons you will see how the follicle and the pigment system run on the skin's own hormones, why one melanocortin drug is approved while its gray-market cousin is approved nowhere, and how to grade the hair peptides patients bring to you.</w:t>
      </w:r>
    </w:p>
    <w:p>
      <w:pPr>
        <w:pStyle w:val="Compact"/>
        <w:numPr>
          <w:ilvl w:val="0"/>
          <w:numId w:val="1039"/>
        </w:numPr>
      </w:pPr>
      <w:r>
        <w:t xml:space="preserve">5.1 The hair follicle as an endocrine mini-organ</w:t>
      </w:r>
    </w:p>
    <w:p>
      <w:pPr>
        <w:pStyle w:val="Compact"/>
        <w:numPr>
          <w:ilvl w:val="0"/>
          <w:numId w:val="1039"/>
        </w:numPr>
      </w:pPr>
      <w:r>
        <w:t xml:space="preserve">5.2 Afamelanotide, Melanotan II and the melanocortin receptors</w:t>
      </w:r>
    </w:p>
    <w:p>
      <w:pPr>
        <w:pStyle w:val="Compact"/>
        <w:numPr>
          <w:ilvl w:val="0"/>
          <w:numId w:val="1039"/>
        </w:numPr>
      </w:pPr>
      <w:r>
        <w:t xml:space="preserve">5.3 Investigational hair peptides, graded</w:t>
      </w:r>
    </w:p>
    <w:bookmarkEnd w:id="111"/>
    <w:bookmarkStart w:id="112" w:name="a-follicle-that-runs-its-own-hormones."/>
    <w:p>
      <w:pPr>
        <w:pStyle w:val="Heading3"/>
      </w:pPr>
      <w:r>
        <w:t xml:space="preserve">02 / 19 · A follicle that runs its own hormones.</w:t>
      </w:r>
    </w:p>
    <w:p>
      <w:pPr>
        <w:pStyle w:val="FirstParagraph"/>
      </w:pPr>
      <w:r>
        <w:rPr>
          <w:i/>
          <w:iCs/>
        </w:rPr>
        <w:t xml:space="preserve">Mechanism · audio</w:t>
      </w:r>
    </w:p>
    <w:p>
      <w:pPr>
        <w:pStyle w:val="BodyText"/>
      </w:pPr>
      <w:r>
        <w:t xml:space="preserve">Human scalp hair follicles kept alive in the laboratory answer corticotropin-releasing hormone by making ACTH and α-MSH and secreting cortisol, with a feedback loop like the adrenal axis. They also run a growth hormone and IGF-1 loop of their own. Locally made dihydrotestosterone shrinks genetically susceptible scalp follicles, the process behind pattern hair loss. Growing follicles are shielded from immune attack, and alopecia areata begins when that shield fails.</w:t>
      </w:r>
    </w:p>
    <w:p>
      <w:pPr>
        <w:pStyle w:val="Compact"/>
        <w:numPr>
          <w:ilvl w:val="0"/>
          <w:numId w:val="1040"/>
        </w:numPr>
      </w:pPr>
      <w:r>
        <w:t xml:space="preserve">Local stress axis: CRH → ACTH → cortisol, with feedback</w:t>
      </w:r>
    </w:p>
    <w:p>
      <w:pPr>
        <w:pStyle w:val="Compact"/>
        <w:numPr>
          <w:ilvl w:val="0"/>
          <w:numId w:val="1040"/>
        </w:numPr>
      </w:pPr>
      <w:r>
        <w:t xml:space="preserve">Local androgen switch: testosterone → DHT in the scalp</w:t>
      </w:r>
    </w:p>
    <w:p>
      <w:pPr>
        <w:pStyle w:val="Compact"/>
        <w:numPr>
          <w:ilvl w:val="0"/>
          <w:numId w:val="1040"/>
        </w:numPr>
      </w:pPr>
      <w:r>
        <w:t xml:space="preserve">Immune privilege: its collapse drives alopecia areata</w:t>
      </w:r>
    </w:p>
    <w:p>
      <w:pPr>
        <w:pStyle w:val="FirstParagraph"/>
      </w:pPr>
      <w:r>
        <w:t xml:space="preserve">Narration script</w:t>
      </w:r>
    </w:p>
    <w:p>
      <w:pPr>
        <w:pStyle w:val="BodyText"/>
      </w:pPr>
      <w:r>
        <w:t xml:space="preserve">Each hair follicle behaves like a small gland. When researchers keep human scalp follicles alive in culture, the follicles answer corticotropin-releasing hormone the way the pituitary and adrenal glands do. They make ACTH and alpha-MSH, they secrete cortisol, and cortisol-like signals feed back to switch the stimulus down. The same follicles run a growth hormone and IGF-1 loop of their own. On the scalp, an enzyme called five-alpha-reductase turns testosterone into dihydrotestosterone, and in genetically susceptible follicles that hormone drives the gradual shrinking behind pattern hair loss. Growing follicles also hide from the immune system. When that protection collapses, immune cells attack the hair bulb, and the result is alopecia areata. Most of this biology comes from tissue kept alive outside the body, so hold it as mechanism, a reason something might matter in patients.</w:t>
      </w:r>
    </w:p>
    <w:p>
      <w:pPr>
        <w:pStyle w:val="BodyText"/>
      </w:pPr>
      <w:r>
        <w:t xml:space="preserve">Sources: Ito N 2005 · Horesh EJ 2023 · Bertolini M 2020 · Adil A 2017 · Aesthetic &amp; Regenerative Endocrinology — A Clinician's Pocket Guide 2026</w:t>
      </w:r>
    </w:p>
    <w:bookmarkEnd w:id="112"/>
    <w:bookmarkStart w:id="113" w:name="two-trials-1200-adults-one-approval."/>
    <w:p>
      <w:pPr>
        <w:pStyle w:val="Heading3"/>
      </w:pPr>
      <w:r>
        <w:t xml:space="preserve">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t xml:space="preserve">Sources: King B 2022 · US Food and Drug Administration 2022 · Bertolini M 2020 · Aesthetic &amp; Regenerative Endocrinology — A Clinician's Pocket Guide 2026</w:t>
      </w:r>
    </w:p>
    <w:bookmarkEnd w:id="113"/>
    <w:bookmarkStart w:id="114" w:name="four-questions-before-any-product."/>
    <w:p>
      <w:pPr>
        <w:pStyle w:val="Heading3"/>
      </w:pPr>
      <w:r>
        <w:t xml:space="preserve">04 / 19 · Four questions before any product.</w:t>
      </w:r>
    </w:p>
    <w:p>
      <w:pPr>
        <w:pStyle w:val="FirstParagraph"/>
      </w:pPr>
      <w:r>
        <w:rPr>
          <w:i/>
          <w:iCs/>
        </w:rPr>
        <w:t xml:space="preserve">Worked tool · tool</w:t>
      </w:r>
    </w:p>
    <w:p>
      <w:pPr>
        <w:pStyle w:val="BodyText"/>
      </w:pPr>
      <w:r>
        <w:t xml:space="preserve">The Aesthetic &amp; Regenerative Endocrinology guide's first-pass hair-loss workup asks four questions in order. Each yes points to a different condition and a different next step.</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Patterned thinning? (crown, vertex, frontal recession)</w:t>
            </w:r>
          </w:p>
        </w:tc>
        <w:tc>
          <w:tcPr/>
          <w:p>
            <w:pPr>
              <w:pStyle w:val="Compact"/>
            </w:pPr>
            <w:r>
              <w:t xml:space="preserve">Androgenetic alopecia</w:t>
            </w:r>
          </w:p>
        </w:tc>
        <w:tc>
          <w:tcPr/>
          <w:p>
            <w:pPr>
              <w:pStyle w:val="Compact"/>
            </w:pPr>
            <w:r>
              <w:t xml:space="preserve">Topical minoxidil; finasteride in men; treat coexisting iron or thyroid problems</w:t>
            </w:r>
          </w:p>
        </w:tc>
      </w:tr>
      <w:tr>
        <w:tc>
          <w:tcPr/>
          <w:p>
            <w:pPr>
              <w:pStyle w:val="Compact"/>
            </w:pPr>
            <w:r>
              <w:t xml:space="preserve">Diffuse shedding after a trigger? (illness, delivery, diet, a drug)</w:t>
            </w:r>
          </w:p>
        </w:tc>
        <w:tc>
          <w:tcPr/>
          <w:p>
            <w:pPr>
              <w:pStyle w:val="Compact"/>
            </w:pPr>
            <w:r>
              <w:t xml:space="preserve">Telogen effluvium</w:t>
            </w:r>
          </w:p>
        </w:tc>
        <w:tc>
          <w:tcPr/>
          <w:p>
            <w:pPr>
              <w:pStyle w:val="Compact"/>
            </w:pPr>
            <w:r>
              <w:t xml:space="preserve">Remove the trigger, reassure, recheck ferritin and TSH</w:t>
            </w:r>
          </w:p>
        </w:tc>
      </w:tr>
      <w:tr>
        <w:tc>
          <w:tcPr/>
          <w:p>
            <w:pPr>
              <w:pStyle w:val="Compact"/>
            </w:pPr>
            <w:r>
              <w:t xml:space="preserve">Patchy, smooth loss? (with or without nail pitting)</w:t>
            </w:r>
          </w:p>
        </w:tc>
        <w:tc>
          <w:tcPr/>
          <w:p>
            <w:pPr>
              <w:pStyle w:val="Compact"/>
            </w:pPr>
            <w:r>
              <w:t xml:space="preserve">Alopecia areata</w:t>
            </w:r>
          </w:p>
        </w:tc>
        <w:tc>
          <w:tcPr/>
          <w:p>
            <w:pPr>
              <w:pStyle w:val="Compact"/>
            </w:pPr>
            <w:r>
              <w:t xml:space="preserve">Dermatology referral; screen for thyroid and autoimmune disease</w:t>
            </w:r>
          </w:p>
        </w:tc>
      </w:tr>
      <w:tr>
        <w:tc>
          <w:tcPr/>
          <w:p>
            <w:pPr>
              <w:pStyle w:val="Compact"/>
            </w:pPr>
            <w:r>
              <w:t xml:space="preserve">Signs of androgen excess? (hirsutism, acne, irregular periods)</w:t>
            </w:r>
          </w:p>
        </w:tc>
        <w:tc>
          <w:tcPr/>
          <w:p>
            <w:pPr>
              <w:pStyle w:val="Compact"/>
            </w:pPr>
            <w:r>
              <w:t xml:space="preserve">Hyperandrogenism work-up</w:t>
            </w:r>
          </w:p>
        </w:tc>
        <w:tc>
          <w:tcPr/>
          <w:p>
            <w:pPr>
              <w:pStyle w:val="Compact"/>
            </w:pPr>
            <w:r>
              <w:t xml:space="preserve">Follow the guide's acne and androgen pathway</w:t>
            </w:r>
          </w:p>
        </w:tc>
      </w:tr>
      <w:tr>
        <w:tc>
          <w:tcPr/>
          <w:p>
            <w:pPr>
              <w:pStyle w:val="Compact"/>
            </w:pPr>
            <w:r>
              <w:t xml:space="preserve">In every patient</w:t>
            </w:r>
          </w:p>
        </w:tc>
        <w:tc>
          <w:tcPr/>
          <w:p>
            <w:pPr>
              <w:pStyle w:val="Compact"/>
            </w:pPr>
            <w:r>
              <w:t xml:space="preserve">Ferritin and TSH</w:t>
            </w:r>
          </w:p>
        </w:tc>
        <w:tc>
          <w:tcPr/>
          <w:p>
            <w:pPr>
              <w:pStyle w:val="Compact"/>
            </w:pPr>
            <w:r>
              <w:t xml:space="preserve">Add androgens if there are virilising signs; a scarring pattern needs a biopsy</w:t>
            </w:r>
          </w:p>
        </w:tc>
      </w:tr>
    </w:tbl>
    <w:p>
      <w:pPr>
        <w:pStyle w:val="BodyText"/>
      </w:pPr>
      <w:r>
        <w:rPr>
          <w:b/>
          <w:bCs/>
        </w:rPr>
        <w:t xml:space="preserve">Callout:</w:t>
      </w:r>
      <w:r>
        <w:t xml:space="preserve"> </w:t>
      </w:r>
      <w:r>
        <w:t xml:space="preserve">Refer severe or rapidly progressive alopecia areata promptly.</w:t>
      </w:r>
    </w:p>
    <w:p>
      <w:pPr>
        <w:pStyle w:val="BodyText"/>
      </w:pPr>
      <w:r>
        <w:rPr>
          <w:b/>
          <w:bCs/>
        </w:rPr>
        <w:t xml:space="preserve">Exercise (quickfire) · Which pattern is it?</w:t>
      </w:r>
      <w:r>
        <w:t xml:space="preserve"> </w:t>
      </w:r>
      <w:r>
        <w:t xml:space="preserve">— One fictional patient at a time: where does the workup point?</w:t>
      </w:r>
      <w:r>
        <w:t xml:space="preserve"> </w:t>
      </w:r>
      <w:r>
        <w:t xml:space="preserve">- Man, 38: a thinning crown and a receding hairline over five years →</w:t>
      </w:r>
      <w:r>
        <w:t xml:space="preserve"> </w:t>
      </w:r>
      <w:r>
        <w:rPr>
          <w:b/>
          <w:bCs/>
        </w:rPr>
        <w:t xml:space="preserve">Androgenetic pattern</w:t>
      </w:r>
      <w:r>
        <w:t xml:space="preserve"> </w:t>
      </w:r>
      <w:r>
        <w:t xml:space="preserve">—</w:t>
      </w:r>
      <w:r>
        <w:t xml:space="preserve"> </w:t>
      </w:r>
      <w:r>
        <w:rPr>
          <w:i/>
          <w:iCs/>
        </w:rPr>
        <w:t xml:space="preserve">Patterned thinning. The guide's first line is topical minoxidil, with finasteride as an option for men; check ferritin and TSH and treat any iron or thyroid problem.</w:t>
      </w:r>
      <w:r>
        <w:t xml:space="preserve"> </w:t>
      </w:r>
      <w:r>
        <w:t xml:space="preserve">- Woman, 31: handfuls of hair in the shower three months after giving birth →</w:t>
      </w:r>
      <w:r>
        <w:t xml:space="preserve"> </w:t>
      </w:r>
      <w:r>
        <w:rPr>
          <w:b/>
          <w:bCs/>
        </w:rPr>
        <w:t xml:space="preserve">Telogen effluvium</w:t>
      </w:r>
      <w:r>
        <w:t xml:space="preserve"> </w:t>
      </w:r>
      <w:r>
        <w:t xml:space="preserve">—</w:t>
      </w:r>
      <w:r>
        <w:t xml:space="preserve"> </w:t>
      </w:r>
      <w:r>
        <w:rPr>
          <w:i/>
          <w:iCs/>
        </w:rPr>
        <w:t xml:space="preserve">Diffuse shedding after a trigger. Reassure, and recheck ferritin and TSH.</w:t>
      </w:r>
      <w:r>
        <w:t xml:space="preserve"> </w:t>
      </w:r>
      <w:r>
        <w:t xml:space="preserve">- Man, 26: a smooth, round bald patch in the beard, and pitted nails →</w:t>
      </w:r>
      <w:r>
        <w:t xml:space="preserve"> </w:t>
      </w:r>
      <w:r>
        <w:rPr>
          <w:b/>
          <w:bCs/>
        </w:rPr>
        <w:t xml:space="preserve">Alopecia areata</w:t>
      </w:r>
      <w:r>
        <w:t xml:space="preserve"> </w:t>
      </w:r>
      <w:r>
        <w:t xml:space="preserve">—</w:t>
      </w:r>
      <w:r>
        <w:t xml:space="preserve"> </w:t>
      </w:r>
      <w:r>
        <w:rPr>
          <w:i/>
          <w:iCs/>
        </w:rPr>
        <w:t xml:space="preserve">Patchy smooth loss with nail pitting. Refer to dermatology and screen for thyroid and autoimmune disease.</w:t>
      </w:r>
      <w:r>
        <w:t xml:space="preserve"> </w:t>
      </w:r>
      <w:r>
        <w:t xml:space="preserve">- Woman, 55: a slowly widening central part, no shedding episode →</w:t>
      </w:r>
      <w:r>
        <w:t xml:space="preserve"> </w:t>
      </w:r>
      <w:r>
        <w:rPr>
          <w:b/>
          <w:bCs/>
        </w:rPr>
        <w:t xml:space="preserve">Androgenetic pattern</w:t>
      </w:r>
      <w:r>
        <w:t xml:space="preserve"> </w:t>
      </w:r>
      <w:r>
        <w:t xml:space="preserve">—</w:t>
      </w:r>
      <w:r>
        <w:t xml:space="preserve"> </w:t>
      </w:r>
      <w:r>
        <w:rPr>
          <w:i/>
          <w:iCs/>
        </w:rPr>
        <w:t xml:space="preserve">Patterned thinning in a woman. Topical minoxidil has randomized-trial support in women; check ferritin and TSH, and androgens if there are virilising signs.</w:t>
      </w:r>
      <w:r>
        <w:t xml:space="preserve"> </w:t>
      </w:r>
      <w:r>
        <w:t xml:space="preserve">- Man, 45: diffuse shedding two months after a rapid, very low-calorie diet →</w:t>
      </w:r>
      <w:r>
        <w:t xml:space="preserve"> </w:t>
      </w:r>
      <w:r>
        <w:rPr>
          <w:b/>
          <w:bCs/>
        </w:rPr>
        <w:t xml:space="preserve">Telogen effluvium</w:t>
      </w:r>
      <w:r>
        <w:t xml:space="preserve"> </w:t>
      </w:r>
      <w:r>
        <w:t xml:space="preserve">—</w:t>
      </w:r>
      <w:r>
        <w:t xml:space="preserve"> </w:t>
      </w:r>
      <w:r>
        <w:rPr>
          <w:i/>
          <w:iCs/>
        </w:rPr>
        <w:t xml:space="preserve">A dietary trigger. Address the diet, reassure, and check ferritin and TSH.</w:t>
      </w:r>
      <w:r>
        <w:t xml:space="preserve"> </w:t>
      </w:r>
      <w:r>
        <w:t xml:space="preserve">- Woman, 40: several patches that have spread across most of the scalp within weeks →</w:t>
      </w:r>
      <w:r>
        <w:t xml:space="preserve"> </w:t>
      </w:r>
      <w:r>
        <w:rPr>
          <w:b/>
          <w:bCs/>
        </w:rPr>
        <w:t xml:space="preserve">Alopecia areata</w:t>
      </w:r>
      <w:r>
        <w:t xml:space="preserve"> </w:t>
      </w:r>
      <w:r>
        <w:t xml:space="preserve">—</w:t>
      </w:r>
      <w:r>
        <w:t xml:space="preserve"> </w:t>
      </w:r>
      <w:r>
        <w:rPr>
          <w:i/>
          <w:iCs/>
        </w:rPr>
        <w:t xml:space="preserve">Severe or rapidly progressive alopecia areata. The guide asks for prompt referral; JAK inhibitors are specialist treatment.</w:t>
      </w:r>
    </w:p>
    <w:p>
      <w:pPr>
        <w:pStyle w:val="BodyText"/>
      </w:pPr>
      <w:r>
        <w:t xml:space="preserve">Sources: Aesthetic &amp; Regenerative Endocrinology — A Clinician's Pocket Guide 2026 · Adil A 2017 · King B 2022</w:t>
      </w:r>
    </w:p>
    <w:bookmarkEnd w:id="114"/>
    <w:bookmarkStart w:id="115" w:name="X902b1ed49840dff9a05f23dc3f91c33d74b44ab"/>
    <w:p>
      <w:pPr>
        <w:pStyle w:val="Heading3"/>
      </w:pPr>
      <w:r>
        <w:t xml:space="preserve">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41"/>
        </w:numPr>
      </w:pPr>
      <w:r>
        <w:t xml:space="preserve">Workup first: ferritin and TSH in everyone</w:t>
      </w:r>
    </w:p>
    <w:p>
      <w:pPr>
        <w:pStyle w:val="Compact"/>
        <w:numPr>
          <w:ilvl w:val="0"/>
          <w:numId w:val="1041"/>
        </w:numPr>
      </w:pPr>
      <w:r>
        <w:t xml:space="preserve">Approved options exist, with A-grade evidence</w:t>
      </w:r>
    </w:p>
    <w:p>
      <w:pPr>
        <w:pStyle w:val="Compact"/>
        <w:numPr>
          <w:ilvl w:val="0"/>
          <w:numId w:val="1041"/>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bookmarkEnd w:id="115"/>
    <w:bookmarkStart w:id="116" w:name="shedding-after-the-baby."/>
    <w:p>
      <w:pPr>
        <w:pStyle w:val="Heading3"/>
      </w:pPr>
      <w:r>
        <w:t xml:space="preserve">06 / 19 · Shedding after the baby.</w:t>
      </w:r>
    </w:p>
    <w:p>
      <w:pPr>
        <w:pStyle w:val="FirstParagraph"/>
      </w:pPr>
      <w:r>
        <w:rPr>
          <w:i/>
          <w:iCs/>
        </w:rPr>
        <w:t xml:space="preserve">Your turn · quiz</w:t>
      </w:r>
    </w:p>
    <w:p>
      <w:pPr>
        <w:pStyle w:val="BodyText"/>
      </w:pPr>
      <w:r>
        <w:t xml:space="preserve">One question to close lesson 5.1.</w:t>
      </w:r>
    </w:p>
    <w:p>
      <w:pPr>
        <w:pStyle w:val="BodyText"/>
      </w:pPr>
      <w:r>
        <w:rPr>
          <w:b/>
          <w:bCs/>
        </w:rPr>
        <w:t xml:space="preserve">Q.</w:t>
      </w:r>
      <w:r>
        <w:t xml:space="preserve"> </w:t>
      </w:r>
      <w:r>
        <w:t xml:space="preserve">A 32-year-old woman asks for a compounded peptide scalp spray. Diffuse shedding began three months after she gave birth; there are no patches and no signs of androgen excess. What comes first?</w:t>
      </w:r>
      <w:r>
        <w:t xml:space="preserve"> </w:t>
      </w:r>
      <w:r>
        <w:t xml:space="preserve">- ✗ Start the spray now, since peptides act on the follicle directly. —</w:t>
      </w:r>
      <w:r>
        <w:t xml:space="preserve"> </w:t>
      </w:r>
      <w:r>
        <w:rPr>
          <w:i/>
          <w:iCs/>
        </w:rPr>
        <w:t xml:space="preserve">That skips the diagnosis. The pattern points to telogen effluvium, and peptide sprays such as PTD-DBM or zinc thymulin have no human trial behind them.</w:t>
      </w:r>
      <w:r>
        <w:t xml:space="preserve"> </w:t>
      </w:r>
      <w:r>
        <w:t xml:space="preserve">- ✔ Treat it as likely telogen effluvium: reassure, check ferritin and TSH, and reassess the pattern before any product. —</w:t>
      </w:r>
      <w:r>
        <w:t xml:space="preserve"> </w:t>
      </w:r>
      <w:r>
        <w:rPr>
          <w:i/>
          <w:iCs/>
        </w:rPr>
        <w:t xml:space="preserve">Correct. Diffuse shedding after a trigger is the guide's telogen-effluvium branch, and ferritin and TSH are checked in everyone.</w:t>
      </w:r>
      <w:r>
        <w:t xml:space="preserve"> </w:t>
      </w:r>
      <w:r>
        <w:t xml:space="preserve">- ✗ Refer her for a JAK inhibitor. —</w:t>
      </w:r>
      <w:r>
        <w:t xml:space="preserve"> </w:t>
      </w:r>
      <w:r>
        <w:rPr>
          <w:i/>
          <w:iCs/>
        </w:rPr>
        <w:t xml:space="preserve">JAK inhibitors are for severe alopecia areata, which shows as patchy, smooth loss. This pattern is different.</w:t>
      </w:r>
    </w:p>
    <w:bookmarkEnd w:id="116"/>
    <w:bookmarkEnd w:id="117"/>
    <w:bookmarkStart w:id="125" w:name="X980c6911b099ebdd6f107b9ed0c10010099b9df"/>
    <w:p>
      <w:pPr>
        <w:pStyle w:val="Heading2"/>
      </w:pPr>
      <w:r>
        <w:t xml:space="preserve">Lesson 5.2 · Melanocortins: approved afamelanotide and gray-market Melanotan II</w:t>
      </w:r>
    </w:p>
    <w:bookmarkStart w:id="118" w:name="five-receptors-one-family-of-hormones."/>
    <w:p>
      <w:pPr>
        <w:pStyle w:val="Heading3"/>
      </w:pPr>
      <w:r>
        <w:t xml:space="preserve">07 / 19 · Five receptors, one family of hormones.</w:t>
      </w:r>
    </w:p>
    <w:p>
      <w:pPr>
        <w:pStyle w:val="FirstParagraph"/>
      </w:pPr>
      <w:r>
        <w:rPr>
          <w:i/>
          <w:iCs/>
        </w:rPr>
        <w:t xml:space="preserve">Lesson 5.2 · Concept · audio</w:t>
      </w:r>
    </w:p>
    <w:p>
      <w:pPr>
        <w:pStyle w:val="BodyText"/>
      </w:pPr>
      <w:r>
        <w:t xml:space="preserve">Skin makes proopiomelanocortin (POMC) and cuts it into ACTH, α-MSH and β-endorphin, and the same cells carry the receptors that answer them. Those peptides act on five melanocortin receptors. MC1R drives pigment in skin and hair, MC2R answers ACTH in the adrenal gland, MC3R and MC4R act in the brain on appetite, and MC5R governs sebum. Which receptors a drug reaches decides what else it does.</w:t>
      </w:r>
    </w:p>
    <w:p>
      <w:pPr>
        <w:pStyle w:val="Compact"/>
        <w:numPr>
          <w:ilvl w:val="0"/>
          <w:numId w:val="1042"/>
        </w:numPr>
      </w:pPr>
      <w:r>
        <w:t xml:space="preserve">MC1R: pigment of skin and hair</w:t>
      </w:r>
    </w:p>
    <w:p>
      <w:pPr>
        <w:pStyle w:val="Compact"/>
        <w:numPr>
          <w:ilvl w:val="0"/>
          <w:numId w:val="1042"/>
        </w:numPr>
      </w:pPr>
      <w:r>
        <w:t xml:space="preserve">MC2R: adrenal · MC5R: sebum</w:t>
      </w:r>
    </w:p>
    <w:p>
      <w:pPr>
        <w:pStyle w:val="Compact"/>
        <w:numPr>
          <w:ilvl w:val="0"/>
          <w:numId w:val="1042"/>
        </w:numPr>
      </w:pPr>
      <w:r>
        <w:t xml:space="preserve">MC3R and MC4R: appetite, in the brain</w:t>
      </w:r>
    </w:p>
    <w:p>
      <w:pPr>
        <w:pStyle w:val="FirstParagraph"/>
      </w:pPr>
      <w:r>
        <w:t xml:space="preserve">Narration script</w:t>
      </w:r>
    </w:p>
    <w:p>
      <w:pPr>
        <w:pStyle w:val="BodyText"/>
      </w:pPr>
      <w:r>
        <w:t xml:space="preserve">Pigment starts with hormones the skin makes for itself. Skin cells produce a precursor called POMC and cut it into ACTH, alpha-MSH and beta-endorphin, and the same cells carry the receptors that answer them. There are five melanocortin receptors. MC1R sets the pigment of skin and hair. MC2R is the adrenal receptor for ACTH. MC3R and MC4R work in the brain on appetite, and central receptors also drive sexual responses. MC5R governs sebum. Researchers caution that the real map is messier, with receptors turning up in more tissues than the textbook suggests. For this lesson one idea matters most. A drug that stays on MC1R mostly changes pigment, and a drug that reaches the brain's receptors brings other effects with it.</w:t>
      </w:r>
    </w:p>
    <w:p>
      <w:pPr>
        <w:pStyle w:val="BodyText"/>
      </w:pPr>
      <w:r>
        <w:t xml:space="preserve">Sources: Slominski A 2000 · Laiho L 2022 · Böhm M 2025 · Aesthetic &amp; Regenerative Endocrinology — A Clinician's Pocket Guide 2026</w:t>
      </w:r>
    </w:p>
    <w:bookmarkEnd w:id="118"/>
    <w:bookmarkStart w:id="119" w:name="X7f4b58f5c153a36d9bede1f0a499a91c1b061ad"/>
    <w:p>
      <w:pPr>
        <w:pStyle w:val="Heading3"/>
      </w:pPr>
      <w:r>
        <w:t xml:space="preserve">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bookmarkEnd w:id="119"/>
    <w:bookmarkStart w:id="120" w:name="sixty-nine-hours-against-forty-one."/>
    <w:p>
      <w:pPr>
        <w:pStyle w:val="Heading3"/>
      </w:pPr>
      <w:r>
        <w:t xml:space="preserve">09 / 19 · Sixty-nine hours against forty-one.</w:t>
      </w:r>
    </w:p>
    <w:p>
      <w:pPr>
        <w:pStyle w:val="FirstParagraph"/>
      </w:pPr>
      <w:r>
        <w:rPr>
          <w:i/>
          <w:iCs/>
        </w:rPr>
        <w:t xml:space="preserve">The evidence · stat</w:t>
      </w:r>
    </w:p>
    <w:p>
      <w:pPr>
        <w:pStyle w:val="BodyText"/>
      </w:pPr>
      <w:r>
        <w:t xml:space="preserve">Erythropoietic protoporphyria (EPP) is a rare disorder in which sunlight causes acute, severe pain. In the US phase 3 trial, adults on afamelanotide spent a median 69.4 hours in direct sunlight without pain over six months, against 40.8 hours on placebo. The European trial also showed more pain-free time and fewer phototoxic reactions. Both trials were funded by the manufacturer.</w:t>
      </w:r>
    </w:p>
    <w:p>
      <w:pPr>
        <w:pStyle w:val="BodyText"/>
      </w:pPr>
      <w:r>
        <w:rPr>
          <w:b/>
          <w:bCs/>
        </w:rPr>
        <w:t xml:space="preserve">69 vs 41 h</w:t>
      </w:r>
      <w:r>
        <w:t xml:space="preserve"> </w:t>
      </w:r>
      <w:r>
        <w:t xml:space="preserve">— median pain-free hours in direct sunlight over six months, afamelanotide vs placebo (US phase 3 trial, 94 adults with EPP) (Langendonk et al., NEJM 2015 · European trial, 74 adults: 6.0 vs 0.8 hours over nine months)</w:t>
      </w:r>
      <w:r>
        <w:br/>
      </w:r>
      <w:r>
        <w:rPr>
          <w:i/>
          <w:iCs/>
        </w:rPr>
        <w:t xml:space="preserve">Means:</w:t>
      </w:r>
      <w:r>
        <w:t xml:space="preserve"> </w:t>
      </w:r>
      <w:r>
        <w:t xml:space="preserve">Afamelanotide lets people with EPP spend more time in sunlight without pain. That is approval-grade evidence (A) for one rare disease.</w:t>
      </w:r>
      <w:r>
        <w:br/>
      </w:r>
      <w:r>
        <w:rPr>
          <w:i/>
          <w:iCs/>
        </w:rPr>
        <w:t xml:space="preserve">Does not mean:</w:t>
      </w:r>
      <w:r>
        <w:t xml:space="preserve"> </w:t>
      </w:r>
      <w:r>
        <w:t xml:space="preserve">It says nothing about cosmetic tanning, about Melanotan II, or about unsupervised injections. Even in EPP, the US label recommends a full-body skin examination twice a year.</w:t>
      </w:r>
    </w:p>
    <w:p>
      <w:pPr>
        <w:pStyle w:val="BodyText"/>
      </w:pPr>
      <w:r>
        <w:t xml:space="preserve">Sources: Langendonk JG 2015 · US Food and Drug Administration / Clinuvel Inc. 2024 · European Medicines Agency 2014 · The Peptide Pocket Guide — 2026 Edition · Clinical Reference (seventy-two entries) 2026</w:t>
      </w:r>
    </w:p>
    <w:bookmarkEnd w:id="120"/>
    <w:bookmarkStart w:id="121" w:name="what-the-case-reports-show."/>
    <w:p>
      <w:pPr>
        <w:pStyle w:val="Heading3"/>
      </w:pPr>
      <w:r>
        <w:t xml:space="preserve">10 / 19 · What the case reports show.</w:t>
      </w:r>
    </w:p>
    <w:p>
      <w:pPr>
        <w:pStyle w:val="FirstParagraph"/>
      </w:pPr>
      <w:r>
        <w:rPr>
          <w:i/>
          <w:iCs/>
        </w:rPr>
        <w:t xml:space="preserve">Safety signals · audio</w:t>
      </w:r>
    </w:p>
    <w:p>
      <w:pPr>
        <w:pStyle w:val="BodyText"/>
      </w:pPr>
      <w:r>
        <w:t xml:space="preserve">The harms of Melanotan II come from case reports and reviews, so they show what can happen without telling you how often. Reported skin effects include darkening and growth of existing moles, crops of new and sometimes atypical naevi, and dark bands in the nails. At least five melanomas have been reported during or after use, each in someone with other risk factors, so causation is unproven. Systemic reports include ischaemic priapism needing surgery and a stimulant-like toxic reaction with rhabdomyolysis, and FDA lists posterior reversible encephalopathy syndrome among published serious events.</w:t>
      </w:r>
    </w:p>
    <w:p>
      <w:pPr>
        <w:pStyle w:val="Compact"/>
        <w:numPr>
          <w:ilvl w:val="0"/>
          <w:numId w:val="1043"/>
        </w:numPr>
      </w:pPr>
      <w:r>
        <w:t xml:space="preserve">Skin: changing moles, eruptive naevi, melanonychia</w:t>
      </w:r>
    </w:p>
    <w:p>
      <w:pPr>
        <w:pStyle w:val="Compact"/>
        <w:numPr>
          <w:ilvl w:val="0"/>
          <w:numId w:val="1043"/>
        </w:numPr>
      </w:pPr>
      <w:r>
        <w:t xml:space="preserve">Melanoma: reported, causation unproven</w:t>
      </w:r>
    </w:p>
    <w:p>
      <w:pPr>
        <w:pStyle w:val="Compact"/>
        <w:numPr>
          <w:ilvl w:val="0"/>
          <w:numId w:val="1043"/>
        </w:numPr>
      </w:pPr>
      <w:r>
        <w:t xml:space="preserve">Systemic: priapism, rhabdomyolysis, encephalopathy</w:t>
      </w:r>
    </w:p>
    <w:p>
      <w:pPr>
        <w:pStyle w:val="FirstParagraph"/>
      </w:pPr>
      <w:r>
        <w:t xml:space="preserve">Narration script</w:t>
      </w:r>
    </w:p>
    <w:p>
      <w:pPr>
        <w:pStyle w:val="BodyText"/>
      </w:pPr>
      <w:r>
        <w:t xml:space="preserve">Now the harms, and the kind of evidence behind them. Everything here comes from case reports and reviews, which tell you what can happen and leave open how often it does. In the skin, existing moles darken and grow, new moles erupt in crops, some of them atypical under the microscope, and dark bands can appear in the nails. At least five melanomas have been reported during or after Melanotan use. Each patient had other risk factors, such as fair skin, sunbed use or a family history, so causation is unproven, and the concern rests on a drug that pushes melanocytes to multiply. Beyond the skin, reports describe priapism that needed surgery, a stimulant-like toxic reaction with muscle breakdown and kidney injury, and a brain swelling syndrome that FDA lists among the published serious events.</w:t>
      </w:r>
    </w:p>
    <w:p>
      <w:pPr>
        <w:pStyle w:val="BodyText"/>
      </w:pPr>
      <w:r>
        <w:t xml:space="preserve">Sources: Habbema L 2017 · Cardones AR 2009 · Paurobally D 2013 · Hjuler KF 2014 · Böhm M 2025 · Mallory CW 2021 · Nelson ME 2012 · US Food and Drug Administration 2026 · Aesthetic &amp; Regenerative Endocrinology — A Clinician's Pocket Guide 2026</w:t>
      </w:r>
    </w:p>
    <w:bookmarkEnd w:id="121"/>
    <w:bookmarkStart w:id="122" w:name="X8dd968f632ef6645983bc4ba07ec3fe01be2066"/>
    <w:p>
      <w:pPr>
        <w:pStyle w:val="Heading3"/>
      </w:pPr>
      <w:r>
        <w:t xml:space="preserve">11 / 19 · New moles after a summer of tanning shots.</w:t>
      </w:r>
    </w:p>
    <w:p>
      <w:pPr>
        <w:pStyle w:val="FirstParagraph"/>
      </w:pPr>
      <w:r>
        <w:rPr>
          <w:i/>
          <w:iCs/>
        </w:rPr>
        <w:t xml:space="preserve">Fictional case · audio</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 This is a fictional case built from the lesson's evidence, and one move clearly comes before the others.</w:t>
      </w:r>
    </w:p>
    <w:p>
      <w:pPr>
        <w:pStyle w:val="Compact"/>
        <w:numPr>
          <w:ilvl w:val="0"/>
          <w:numId w:val="1044"/>
        </w:numPr>
      </w:pPr>
      <w:r>
        <w:t xml:space="preserve">Almost certainly Melanotan II: approved nowhere, unknown strength and purity</w:t>
      </w:r>
    </w:p>
    <w:p>
      <w:pPr>
        <w:pStyle w:val="Compact"/>
        <w:numPr>
          <w:ilvl w:val="0"/>
          <w:numId w:val="1044"/>
        </w:numPr>
      </w:pPr>
      <w:r>
        <w:t xml:space="preserve">New and changing naevi and nail pigmentation are the documented harms</w:t>
      </w:r>
    </w:p>
    <w:p>
      <w:pPr>
        <w:pStyle w:val="Compact"/>
        <w:numPr>
          <w:ilvl w:val="0"/>
          <w:numId w:val="1044"/>
        </w:numPr>
      </w:pPr>
      <w:r>
        <w:t xml:space="preserve">Family history of melanoma: the guide's absolute contraindication</w:t>
      </w:r>
    </w:p>
    <w:p>
      <w:pPr>
        <w:pStyle w:val="FirstParagraph"/>
      </w:pPr>
      <w:r>
        <w:rPr>
          <w:b/>
          <w:bCs/>
        </w:rPr>
        <w:t xml:space="preserve">Exercise (scenario) · What do you do first?</w:t>
      </w:r>
      <w:r>
        <w:t xml:space="preserve"> </w:t>
      </w:r>
      <w:r>
        <w:t xml:space="preserve">—</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w:t>
      </w:r>
    </w:p>
    <w:p>
      <w:pPr>
        <w:pStyle w:val="Compact"/>
        <w:numPr>
          <w:ilvl w:val="0"/>
          <w:numId w:val="1045"/>
        </w:numPr>
      </w:pPr>
      <w:r>
        <w:t xml:space="preserve">✗ Reassure her: darker moles are expected with a tan. Review them at her next routine visit. —</w:t>
      </w:r>
      <w:r>
        <w:t xml:space="preserve"> </w:t>
      </w:r>
      <w:r>
        <w:rPr>
          <w:i/>
          <w:iCs/>
        </w:rPr>
        <w:t xml:space="preserve">New and changing naevi are the documented harm here, dermoscopic changes on Melanotan II can mimic melanoma, and her family history raises the stakes.</w:t>
      </w:r>
    </w:p>
    <w:p>
      <w:pPr>
        <w:pStyle w:val="Compact"/>
        <w:numPr>
          <w:ilvl w:val="0"/>
          <w:numId w:val="1045"/>
        </w:numPr>
      </w:pPr>
      <w:r>
        <w:t xml:space="preserve">✔ Advise stopping now, record the product and seller, and have the whole skin and nails examined promptly, with dermoscopy and baseline photographs, by a dermatologist or skin-cancer clinician. —</w:t>
      </w:r>
      <w:r>
        <w:t xml:space="preserve"> </w:t>
      </w:r>
      <w:r>
        <w:rPr>
          <w:i/>
          <w:iCs/>
        </w:rPr>
        <w:t xml:space="preserve">Right. Stop the exposure, document it, and have the changing naevi and the nail band assessed and followed. Even the approved MC1R agonist comes with twice-yearly skin examinations, and she has a family history of melanoma.</w:t>
      </w:r>
    </w:p>
    <w:p>
      <w:pPr>
        <w:pStyle w:val="Compact"/>
        <w:numPr>
          <w:ilvl w:val="0"/>
          <w:numId w:val="1045"/>
        </w:numPr>
      </w:pPr>
      <w:r>
        <w:t xml:space="preserve">✗ Offer afamelanotide instead, as the approved version of the same drug. —</w:t>
      </w:r>
      <w:r>
        <w:t xml:space="preserve"> </w:t>
      </w:r>
      <w:r>
        <w:rPr>
          <w:i/>
          <w:iCs/>
        </w:rPr>
        <w:t xml:space="preserve">Afamelanotide is a different molecule, approved only for erythropoietic protoporphyria as the manufacturer's implant. It is not a tanning product and not a substitute.</w:t>
      </w:r>
    </w:p>
    <w:p>
      <w:pPr>
        <w:pStyle w:val="FirstParagraph"/>
      </w:pPr>
      <w:r>
        <w:t xml:space="preserve">Follow-up: Then document what she used, what you advised and who will follow her skin, and ask whether she bought anything else from the same seller.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Examine the skin and nails or refer promptly, document the product and your advice, and decide who will follow her naevi. Do not offer another melanocortin agonist as a substitute.</w:t>
      </w:r>
      <w:r>
        <w:t xml:space="preserve"> </w:t>
      </w:r>
      <w:r>
        <w:t xml:space="preserve">-</w:t>
      </w:r>
      <w:r>
        <w:t xml:space="preserve"> </w:t>
      </w:r>
      <w:r>
        <w:rPr>
          <w:i/>
          <w:iCs/>
        </w:rPr>
        <w:t xml:space="preserve">Clinical staff:</w:t>
      </w:r>
      <w:r>
        <w:t xml:space="preserve"> </w:t>
      </w:r>
      <w:r>
        <w:t xml:space="preserve">Record the product, the seller and how long she used it, photograph the lesions and the nail with consent if your setting allows, and escalate to the prescriber the same day.</w:t>
      </w:r>
      <w:r>
        <w:t xml:space="preserve"> </w:t>
      </w:r>
      <w:r>
        <w:t xml:space="preserve">-</w:t>
      </w:r>
      <w:r>
        <w:t xml:space="preserve"> </w:t>
      </w:r>
      <w:r>
        <w:rPr>
          <w:i/>
          <w:iCs/>
        </w:rPr>
        <w:t xml:space="preserve">Advisor:</w:t>
      </w:r>
      <w:r>
        <w:t xml:space="preserve"> </w:t>
      </w:r>
      <w:r>
        <w:t xml:space="preserve">Advise her to stop and to see a prescriber or dermatologist promptly. Do not suggest another product or seller.</w:t>
      </w:r>
    </w:p>
    <w:p>
      <w:pPr>
        <w:pStyle w:val="BodyText"/>
      </w:pPr>
      <w:r>
        <w:t xml:space="preserve">Narration script</w:t>
      </w:r>
    </w:p>
    <w:p>
      <w:pPr>
        <w:pStyle w:val="BodyText"/>
      </w:pPr>
      <w:r>
        <w:t xml:space="preserve">Her booking says skin quality. This patient is fictional, built from the lesson's evidence. She is twenty-seven, and she mentions that she has been injecting a tanning peptide bought online for three months. She has noticed darker moles, several new small ones, and a dark stripe along one fingernail. Her mother had melanoma. The product is almost certainly Melanotan II, approved nowhere and of unknown strength and purity. New and changing moles and nail pigmentation are exactly the harms described in the reports, and in one patient followed with dermoscopy the changes made moles hard to tell from melanoma. The endocrinology guide treats a family history of melanoma as an absolute contraindication. Pick the move that comes first.</w:t>
      </w:r>
    </w:p>
    <w:p>
      <w:pPr>
        <w:pStyle w:val="BodyText"/>
      </w:pPr>
      <w:r>
        <w:t xml:space="preserve">Sources: Aesthetic &amp; Regenerative Endocrinology — A Clinician's Pocket Guide 2026 · Cardones AR 2009 · Mang R 2012 · Paurobally D 2013 · US Food and Drug Administration / Clinuvel Inc. 2024 · Böhm M 2025 · Habbema L 2017 · Breindahl T 2015</w:t>
      </w:r>
    </w:p>
    <w:bookmarkEnd w:id="122"/>
    <w:bookmarkStart w:id="123" w:name="three-regulators-one-answer."/>
    <w:p>
      <w:pPr>
        <w:pStyle w:val="Heading3"/>
      </w:pPr>
      <w:r>
        <w:t xml:space="preserve">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 UK and EU mapping for the rest of this course is still in progress.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bookmarkEnd w:id="123"/>
    <w:bookmarkStart w:id="124" w:name="the-approved-one-is-the-same-thing."/>
    <w:p>
      <w:pPr>
        <w:pStyle w:val="Heading3"/>
      </w:pPr>
      <w:r>
        <w:t xml:space="preserve">13 / 19 · 'The approved one is the same thing.'</w:t>
      </w:r>
    </w:p>
    <w:p>
      <w:pPr>
        <w:pStyle w:val="FirstParagraph"/>
      </w:pPr>
      <w:r>
        <w:rPr>
          <w:i/>
          <w:iCs/>
        </w:rPr>
        <w:t xml:space="preserve">Your turn · quiz</w:t>
      </w:r>
    </w:p>
    <w:p>
      <w:pPr>
        <w:pStyle w:val="BodyText"/>
      </w:pPr>
      <w:r>
        <w:t xml:space="preserve">One question to close lesson 5.2.</w:t>
      </w:r>
    </w:p>
    <w:p>
      <w:pPr>
        <w:pStyle w:val="BodyText"/>
      </w:pPr>
      <w:r>
        <w:rPr>
          <w:b/>
          <w:bCs/>
        </w:rPr>
        <w:t xml:space="preserve">Q.</w:t>
      </w:r>
      <w:r>
        <w:t xml:space="preserve"> </w:t>
      </w:r>
      <w:r>
        <w:t xml:space="preserve">A patient says, 'Afamelanotide is approved, so Melanotan II is basically the same drug.' What is the accurate reply?</w:t>
      </w:r>
      <w:r>
        <w:t xml:space="preserve"> </w:t>
      </w:r>
      <w:r>
        <w:t xml:space="preserve">- ✗ Yes. They act on the same receptor, so the approval covers both. —</w:t>
      </w:r>
      <w:r>
        <w:t xml:space="preserve"> </w:t>
      </w:r>
      <w:r>
        <w:rPr>
          <w:i/>
          <w:iCs/>
        </w:rPr>
        <w:t xml:space="preserve">Sharing MC1R does not make them the same molecule, and an approval attaches to one product and one indication.</w:t>
      </w:r>
      <w:r>
        <w:t xml:space="preserve"> </w:t>
      </w:r>
      <w:r>
        <w:t xml:space="preserve">- ✔ They are different molecules. Afamelanotide is approved only for erythropoietic protoporphyria; Melanotan II acts on several receptors, is approved nowhere, and is linked in case reports to changing moles and priapism. —</w:t>
      </w:r>
      <w:r>
        <w:t xml:space="preserve"> </w:t>
      </w:r>
      <w:r>
        <w:rPr>
          <w:i/>
          <w:iCs/>
        </w:rPr>
        <w:t xml:space="preserve">Correct. Same family, different selectivity, different evidence and different legal standing.</w:t>
      </w:r>
      <w:r>
        <w:t xml:space="preserve"> </w:t>
      </w:r>
      <w:r>
        <w:t xml:space="preserve">- ✗ Melanotan II is safe if it comes from a reputable seller. —</w:t>
      </w:r>
      <w:r>
        <w:t xml:space="preserve"> </w:t>
      </w:r>
      <w:r>
        <w:rPr>
          <w:i/>
          <w:iCs/>
        </w:rPr>
        <w:t xml:space="preserve">No seller can make it approved, and tested online products held less than the labelled amount, with unknown impurities.</w:t>
      </w:r>
    </w:p>
    <w:bookmarkEnd w:id="124"/>
    <w:bookmarkEnd w:id="125"/>
    <w:bookmarkStart w:id="132" w:name="X681b74ac43dedd1ff18457bafeb74bc6beb9996"/>
    <w:p>
      <w:pPr>
        <w:pStyle w:val="Heading2"/>
      </w:pPr>
      <w:r>
        <w:t xml:space="preserve">Lesson 5.3 · Investigational hair peptides and how to grade them</w:t>
      </w:r>
    </w:p>
    <w:bookmarkStart w:id="126" w:name="a-wnt-switch-and-a-zinc-question."/>
    <w:p>
      <w:pPr>
        <w:pStyle w:val="Heading3"/>
      </w:pPr>
      <w:r>
        <w:t xml:space="preserve">14 / 19 · A Wnt switch and a zinc question.</w:t>
      </w:r>
    </w:p>
    <w:p>
      <w:pPr>
        <w:pStyle w:val="FirstParagraph"/>
      </w:pPr>
      <w:r>
        <w:rPr>
          <w:i/>
          <w:iCs/>
        </w:rPr>
        <w:t xml:space="preserve">Lesson 5.3 · Concept · audio</w:t>
      </w:r>
    </w:p>
    <w:p>
      <w:pPr>
        <w:pStyle w:val="BodyText"/>
      </w:pPr>
      <w:r>
        <w:t xml:space="preserve">PTD-DBM joins a cell-penetrating fragment of the HIV Tat protein to a short decoy sequence that stops the protein CXXC5 from binding Dishevelled. Freed from that brake, Wnt/β-catenin signalling rises, and in mice hair regrew faster. Its developers also found CXXC5 raised in human balding scalp. Zinc thymulin is a thymic peptide that is active only when bound to zinc. How it might act on hair has never been defined, and whether any effect would come from the peptide or the zinc is unknown.</w:t>
      </w:r>
    </w:p>
    <w:p>
      <w:pPr>
        <w:pStyle w:val="Compact"/>
        <w:numPr>
          <w:ilvl w:val="0"/>
          <w:numId w:val="1046"/>
        </w:numPr>
      </w:pPr>
      <w:r>
        <w:t xml:space="preserve">PTD-DBM: releases a Wnt brake (mouse data)</w:t>
      </w:r>
    </w:p>
    <w:p>
      <w:pPr>
        <w:pStyle w:val="Compact"/>
        <w:numPr>
          <w:ilvl w:val="0"/>
          <w:numId w:val="1046"/>
        </w:numPr>
      </w:pPr>
      <w:r>
        <w:t xml:space="preserve">Zinc thymulin: a zinc-dependent thymic peptide</w:t>
      </w:r>
    </w:p>
    <w:p>
      <w:pPr>
        <w:pStyle w:val="Compact"/>
        <w:numPr>
          <w:ilvl w:val="0"/>
          <w:numId w:val="1046"/>
        </w:numPr>
      </w:pPr>
      <w:r>
        <w:t xml:space="preserve">Both: mechanism first, human data absent</w:t>
      </w:r>
    </w:p>
    <w:p>
      <w:pPr>
        <w:pStyle w:val="FirstParagraph"/>
      </w:pPr>
      <w:r>
        <w:t xml:space="preserve">Narration script</w:t>
      </w:r>
    </w:p>
    <w:p>
      <w:pPr>
        <w:pStyle w:val="BodyText"/>
      </w:pPr>
      <w:r>
        <w:t xml:space="preserve">Two peptides are sold for hair, and both arrive with better stories than data. PTD-DBM joins a cell-penetrating fragment borrowed from an HIV protein to a short decoy sequence. Inside follicle cells, the decoy keeps a protein called CXXC5 from binding its partner, Dishevelled, and that releases a brake on Wnt signalling, a pathway involved in hair regrowth. In mice, hair regrew faster and follicles formed in healed wounds. The work came from the developer's own group. Zinc thymulin is a thymic hormone that becomes active only when zinc binds to it. How it might help hair has never been defined, and nobody has shown whether any effect would come from the peptide or from the zinc. Hold both as mechanism, and look for the human trial.</w:t>
      </w:r>
    </w:p>
    <w:p>
      <w:pPr>
        <w:pStyle w:val="BodyText"/>
      </w:pPr>
      <w:r>
        <w:t xml:space="preserve">Sources: Lee SH 2017 · Dardenne M 1982 · Mehta A 2025 · The Peptide Pocket Guide — 2026 Edition · Clinical Reference (seventy-two entries) 2026</w:t>
      </w:r>
    </w:p>
    <w:bookmarkEnd w:id="126"/>
    <w:bookmarkStart w:id="127" w:name="zero-trials-in-people."/>
    <w:p>
      <w:pPr>
        <w:pStyle w:val="Heading3"/>
      </w:pPr>
      <w:r>
        <w:t xml:space="preserve">15 / 19 · Zero trials in people.</w:t>
      </w:r>
    </w:p>
    <w:p>
      <w:pPr>
        <w:pStyle w:val="FirstParagraph"/>
      </w:pPr>
      <w:r>
        <w:rPr>
          <w:i/>
          <w:iCs/>
        </w:rPr>
        <w:t xml:space="preserve">The evidence · stat</w:t>
      </w:r>
    </w:p>
    <w:p>
      <w:pPr>
        <w:pStyle w:val="BodyText"/>
      </w:pPr>
      <w:r>
        <w:t xml:space="preserve">As of September 2026, PubMed and ClinicalTrials.gov list no human trial of PTD-DBM, published or registered. Its evidence is one 2017 study in mice and human scalp tissue from the developer's group, whose senior author is affiliated with a biotech company. A 2025 review's summary speaks of 'clinical efficacy', yet the review's own text describes PTD-DBM results in mouse models only.</w:t>
      </w:r>
    </w:p>
    <w:p>
      <w:pPr>
        <w:pStyle w:val="BodyText"/>
      </w:pPr>
      <w:r>
        <w:rPr>
          <w:b/>
          <w:bCs/>
        </w:rPr>
        <w:t xml:space="preserve">0</w:t>
      </w:r>
      <w:r>
        <w:t xml:space="preserve"> </w:t>
      </w:r>
      <w:r>
        <w:t xml:space="preserve">— human trials of PTD-DBM, published or registered (September 2026) (Lee et al., J Invest Dermatol 2017: mice, plus CXXC5 measured in human scalp tissue)</w:t>
      </w:r>
      <w:r>
        <w:br/>
      </w:r>
      <w:r>
        <w:rPr>
          <w:i/>
          <w:iCs/>
        </w:rPr>
        <w:t xml:space="preserve">Means:</w:t>
      </w:r>
      <w:r>
        <w:t xml:space="preserve"> </w:t>
      </w:r>
      <w:r>
        <w:t xml:space="preserve">Whether PTD-DBM regrows human hair is unknown. The Peptide Pocket Guide and this course grade it D.</w:t>
      </w:r>
      <w:r>
        <w:br/>
      </w:r>
      <w:r>
        <w:rPr>
          <w:i/>
          <w:iCs/>
        </w:rPr>
        <w:t xml:space="preserve">Does not mean:</w:t>
      </w:r>
      <w:r>
        <w:t xml:space="preserve"> </w:t>
      </w:r>
      <w:r>
        <w:t xml:space="preserve">It does not show that PTD-DBM fails or harms. One open safety question sits alongside: the 2025 review flags that off-target Wnt activation is associated with colorectal and liver cancers, a theoretical concern nobody has tested for this peptide.</w:t>
      </w:r>
    </w:p>
    <w:p>
      <w:pPr>
        <w:pStyle w:val="BodyText"/>
      </w:pPr>
      <w:r>
        <w:t xml:space="preserve">Sources: Lee SH 2017 · Mehta A 2025 · The Peptide Pocket Guide — 2026 Edition · Clinical Reference (seventy-two entries) 2026</w:t>
      </w:r>
    </w:p>
    <w:bookmarkEnd w:id="127"/>
    <w:bookmarkStart w:id="128" w:name="approved-or-unproven"/>
    <w:p>
      <w:pPr>
        <w:pStyle w:val="Heading3"/>
      </w:pPr>
      <w:r>
        <w:t xml:space="preserve">16 / 19 · Approved, or unproven?</w:t>
      </w:r>
    </w:p>
    <w:p>
      <w:pPr>
        <w:pStyle w:val="FirstParagraph"/>
      </w:pPr>
      <w:r>
        <w:rPr>
          <w:i/>
          <w:iCs/>
        </w:rPr>
        <w:t xml:space="preserve">Sort the evidence · tool</w:t>
      </w:r>
    </w:p>
    <w:p>
      <w:pPr>
        <w:pStyle w:val="BodyText"/>
      </w:pPr>
      <w:r>
        <w:t xml:space="preserve">Five things patients use or ask about for hair, with what each is claimed to do. Decide what stands behind each one before you see a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Topical minoxidil</w:t>
            </w:r>
          </w:p>
        </w:tc>
        <w:tc>
          <w:tcPr/>
          <w:p>
            <w:pPr>
              <w:pStyle w:val="Compact"/>
            </w:pPr>
            <w:r>
              <w:t xml:space="preserve">Regrowth in pattern hair loss</w:t>
            </w:r>
          </w:p>
        </w:tc>
        <w:tc>
          <w:tcPr/>
          <w:p>
            <w:pPr>
              <w:pStyle w:val="Compact"/>
            </w:pPr>
            <w:r>
              <w:t xml:space="preserve">Scalp solution or foam</w:t>
            </w:r>
          </w:p>
        </w:tc>
      </w:tr>
      <w:tr>
        <w:tc>
          <w:tcPr/>
          <w:p>
            <w:pPr>
              <w:pStyle w:val="Compact"/>
            </w:pPr>
            <w:r>
              <w:t xml:space="preserve">Oral finasteride</w:t>
            </w:r>
          </w:p>
        </w:tc>
        <w:tc>
          <w:tcPr/>
          <w:p>
            <w:pPr>
              <w:pStyle w:val="Compact"/>
            </w:pPr>
            <w:r>
              <w:t xml:space="preserve">Slows pattern hair loss in men</w:t>
            </w:r>
          </w:p>
        </w:tc>
        <w:tc>
          <w:tcPr/>
          <w:p>
            <w:pPr>
              <w:pStyle w:val="Compact"/>
            </w:pPr>
            <w:r>
              <w:t xml:space="preserve">5α-reductase inhibitor</w:t>
            </w:r>
          </w:p>
        </w:tc>
      </w:tr>
      <w:tr>
        <w:tc>
          <w:tcPr/>
          <w:p>
            <w:pPr>
              <w:pStyle w:val="Compact"/>
            </w:pPr>
            <w:r>
              <w:t xml:space="preserve">Baricitinib</w:t>
            </w:r>
          </w:p>
        </w:tc>
        <w:tc>
          <w:tcPr/>
          <w:p>
            <w:pPr>
              <w:pStyle w:val="Compact"/>
            </w:pPr>
            <w:r>
              <w:t xml:space="preserve">Regrowth in severe alopecia areata</w:t>
            </w:r>
          </w:p>
        </w:tc>
        <w:tc>
          <w:tcPr/>
          <w:p>
            <w:pPr>
              <w:pStyle w:val="Compact"/>
            </w:pPr>
            <w:r>
              <w:t xml:space="preserve">Oral JAK inhibitor</w:t>
            </w:r>
          </w:p>
        </w:tc>
      </w:tr>
      <w:tr>
        <w:tc>
          <w:tcPr/>
          <w:p>
            <w:pPr>
              <w:pStyle w:val="Compact"/>
            </w:pPr>
            <w:r>
              <w:t xml:space="preserve">PTD-DBM spray</w:t>
            </w:r>
          </w:p>
        </w:tc>
        <w:tc>
          <w:tcPr/>
          <w:p>
            <w:pPr>
              <w:pStyle w:val="Compact"/>
            </w:pPr>
            <w:r>
              <w:t xml:space="preserve">Regrowth in pattern hair loss</w:t>
            </w:r>
          </w:p>
        </w:tc>
        <w:tc>
          <w:tcPr/>
          <w:p>
            <w:pPr>
              <w:pStyle w:val="Compact"/>
            </w:pPr>
            <w:r>
              <w:t xml:space="preserve">Wnt activator, compounded or research-grade</w:t>
            </w:r>
          </w:p>
        </w:tc>
      </w:tr>
      <w:tr>
        <w:tc>
          <w:tcPr/>
          <w:p>
            <w:pPr>
              <w:pStyle w:val="Compact"/>
            </w:pPr>
            <w:r>
              <w:t xml:space="preserve">Zinc thymulin spray</w:t>
            </w:r>
          </w:p>
        </w:tc>
        <w:tc>
          <w:tcPr/>
          <w:p>
            <w:pPr>
              <w:pStyle w:val="Compact"/>
            </w:pPr>
            <w:r>
              <w:t xml:space="preserve">Thicker, fuller hair</w:t>
            </w:r>
          </w:p>
        </w:tc>
        <w:tc>
          <w:tcPr/>
          <w:p>
            <w:pPr>
              <w:pStyle w:val="Compact"/>
            </w:pPr>
            <w:r>
              <w:t xml:space="preserve">Zinc-bound thymic peptide, compounded</w:t>
            </w:r>
          </w:p>
        </w:tc>
      </w:tr>
    </w:tbl>
    <w:p>
      <w:pPr>
        <w:pStyle w:val="BodyText"/>
      </w:pPr>
      <w:r>
        <w:rPr>
          <w:b/>
          <w:bCs/>
        </w:rPr>
        <w:t xml:space="preserve">Callout:</w:t>
      </w:r>
      <w:r>
        <w:t xml:space="preserve"> </w:t>
      </w:r>
      <w:r>
        <w:t xml:space="preserve">A plausible pathway is a reason to run a trial. The trial is what you grade.</w:t>
      </w:r>
    </w:p>
    <w:p>
      <w:pPr>
        <w:pStyle w:val="BodyText"/>
      </w:pPr>
      <w:r>
        <w:rPr>
          <w:b/>
          <w:bCs/>
        </w:rPr>
        <w:t xml:space="preserve">Exercise (classify) · Trial or theory?</w:t>
      </w:r>
      <w:r>
        <w:t xml:space="preserve"> </w:t>
      </w:r>
      <w:r>
        <w:t xml:space="preserve">— Tap what stands behind each one.</w:t>
      </w:r>
      <w:r>
        <w:t xml:space="preserve"> </w:t>
      </w:r>
      <w:r>
        <w:t xml:space="preserve">- Topical minoxidil →</w:t>
      </w:r>
      <w:r>
        <w:t xml:space="preserve"> </w:t>
      </w:r>
      <w:r>
        <w:rPr>
          <w:b/>
          <w:bCs/>
        </w:rPr>
        <w:t xml:space="preserve">Approved, with randomized trials</w:t>
      </w:r>
      <w:r>
        <w:t xml:space="preserve"> </w:t>
      </w:r>
      <w:r>
        <w:t xml:space="preserve">—</w:t>
      </w:r>
      <w:r>
        <w:t xml:space="preserve"> </w:t>
      </w:r>
      <w:r>
        <w:rPr>
          <w:i/>
          <w:iCs/>
        </w:rPr>
        <w:t xml:space="preserve">GRADE A. Meta-analysed randomized trials show benefit in men and women; in the US it has been FDA-approved since 1988 and is sold over the counter.</w:t>
      </w:r>
      <w:r>
        <w:t xml:space="preserve"> </w:t>
      </w:r>
      <w:r>
        <w:t xml:space="preserve">- Oral finasteride →</w:t>
      </w:r>
      <w:r>
        <w:t xml:space="preserve"> </w:t>
      </w:r>
      <w:r>
        <w:rPr>
          <w:b/>
          <w:bCs/>
        </w:rPr>
        <w:t xml:space="preserve">Approved, with randomized trials</w:t>
      </w:r>
      <w:r>
        <w:t xml:space="preserve"> </w:t>
      </w:r>
      <w:r>
        <w:t xml:space="preserve">—</w:t>
      </w:r>
      <w:r>
        <w:t xml:space="preserve"> </w:t>
      </w:r>
      <w:r>
        <w:rPr>
          <w:i/>
          <w:iCs/>
        </w:rPr>
        <w:t xml:space="preserve">GRADE A in men. Meta-analysed randomized trials; in the US a prescription drug for hair loss since 1997.</w:t>
      </w:r>
      <w:r>
        <w:t xml:space="preserve"> </w:t>
      </w:r>
      <w:r>
        <w:t xml:space="preserve">- Baricitinib →</w:t>
      </w:r>
      <w:r>
        <w:t xml:space="preserve"> </w:t>
      </w:r>
      <w:r>
        <w:rPr>
          <w:b/>
          <w:bCs/>
        </w:rPr>
        <w:t xml:space="preserve">Approved, with randomized trials</w:t>
      </w:r>
      <w:r>
        <w:t xml:space="preserve"> </w:t>
      </w:r>
      <w:r>
        <w:t xml:space="preserve">—</w:t>
      </w:r>
      <w:r>
        <w:t xml:space="preserve"> </w:t>
      </w:r>
      <w:r>
        <w:rPr>
          <w:i/>
          <w:iCs/>
        </w:rPr>
        <w:t xml:space="preserve">GRADE A. Two phase 3 trials in 1,200 adults; FDA-approved for adults with severe alopecia areata in June 2022.</w:t>
      </w:r>
      <w:r>
        <w:t xml:space="preserve"> </w:t>
      </w:r>
      <w:r>
        <w:t xml:space="preserve">- PTD-DBM spray →</w:t>
      </w:r>
      <w:r>
        <w:t xml:space="preserve"> </w:t>
      </w:r>
      <w:r>
        <w:rPr>
          <w:b/>
          <w:bCs/>
        </w:rPr>
        <w:t xml:space="preserve">No human trial</w:t>
      </w:r>
      <w:r>
        <w:t xml:space="preserve"> </w:t>
      </w:r>
      <w:r>
        <w:t xml:space="preserve">—</w:t>
      </w:r>
      <w:r>
        <w:t xml:space="preserve"> </w:t>
      </w:r>
      <w:r>
        <w:rPr>
          <w:i/>
          <w:iCs/>
        </w:rPr>
        <w:t xml:space="preserve">GRADE D. One 2017 study in mice and scalp tissue from the developer's group; no human trial published or registered; on none of FDA's 503A lists.</w:t>
      </w:r>
      <w:r>
        <w:t xml:space="preserve"> </w:t>
      </w:r>
      <w:r>
        <w:t xml:space="preserve">- Zinc thymulin spray →</w:t>
      </w:r>
      <w:r>
        <w:t xml:space="preserve"> </w:t>
      </w:r>
      <w:r>
        <w:rPr>
          <w:b/>
          <w:bCs/>
        </w:rPr>
        <w:t xml:space="preserve">No human trial</w:t>
      </w:r>
      <w:r>
        <w:t xml:space="preserve"> </w:t>
      </w:r>
      <w:r>
        <w:t xml:space="preserve">—</w:t>
      </w:r>
      <w:r>
        <w:t xml:space="preserve"> </w:t>
      </w:r>
      <w:r>
        <w:rPr>
          <w:i/>
          <w:iCs/>
        </w:rPr>
        <w:t xml:space="preserve">GRADE D. No indexed human hair study; the guide's cited case series could not be found. In the US, thymulin acetate sits in 503A Category 3, nominated without adequate support.</w:t>
      </w:r>
    </w:p>
    <w:p>
      <w:pPr>
        <w:pStyle w:val="BodyText"/>
      </w:pPr>
      <w:r>
        <w:t xml:space="preserve">Sources: Adil A 2017 · King B 2022 · US Food and Drug Administration 1988 · US Food and Drug Administration 1997 · US Food and Drug Administration 2022 · Lee SH 2017 · Dardenne M 1982 · US Food and Drug Administration 2026 · The Peptide Pocket Guide — 2026 Edition · Clinical Reference (seventy-two entries) 2026</w:t>
      </w:r>
    </w:p>
    <w:bookmarkEnd w:id="128"/>
    <w:bookmarkStart w:id="129" w:name="X25ad964860569b320524680b0d7986cc6acbd22"/>
    <w:p>
      <w:pPr>
        <w:pStyle w:val="Heading3"/>
      </w:pPr>
      <w:r>
        <w:t xml:space="preserve">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47"/>
        </w:numPr>
      </w:pPr>
      <w:r>
        <w:t xml:space="preserve">Thymulin acetate: 503A Category 3 (US, May 2026)</w:t>
      </w:r>
    </w:p>
    <w:p>
      <w:pPr>
        <w:pStyle w:val="Compact"/>
        <w:numPr>
          <w:ilvl w:val="0"/>
          <w:numId w:val="1047"/>
        </w:numPr>
      </w:pPr>
      <w:r>
        <w:t xml:space="preserve">PTD-DBM: on no FDA 503A list</w:t>
      </w:r>
    </w:p>
    <w:p>
      <w:pPr>
        <w:pStyle w:val="Compact"/>
        <w:numPr>
          <w:ilvl w:val="0"/>
          <w:numId w:val="104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 Mapping of UK and EU status for these two peptides is still under way.</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bookmarkEnd w:id="129"/>
    <w:bookmarkStart w:id="130" w:name="the-new-minoxidil"/>
    <w:p>
      <w:pPr>
        <w:pStyle w:val="Heading3"/>
      </w:pPr>
      <w:r>
        <w:t xml:space="preserve">18 / 19 · 'The new minoxidil'?</w:t>
      </w:r>
    </w:p>
    <w:p>
      <w:pPr>
        <w:pStyle w:val="FirstParagraph"/>
      </w:pPr>
      <w:r>
        <w:rPr>
          <w:i/>
          <w:iCs/>
        </w:rPr>
        <w:t xml:space="preserve">Your turn · quiz</w:t>
      </w:r>
    </w:p>
    <w:p>
      <w:pPr>
        <w:pStyle w:val="BodyText"/>
      </w:pPr>
      <w:r>
        <w:t xml:space="preserve">One question to close lesson 5.3.</w:t>
      </w:r>
    </w:p>
    <w:p>
      <w:pPr>
        <w:pStyle w:val="BodyText"/>
      </w:pPr>
      <w:r>
        <w:rPr>
          <w:b/>
          <w:bCs/>
        </w:rPr>
        <w:t xml:space="preserve">Q.</w:t>
      </w:r>
      <w:r>
        <w:t xml:space="preserve"> </w:t>
      </w:r>
      <w:r>
        <w:t xml:space="preserve">A patient with pattern thinning asks whether a compounded PTD-DBM spray is 'the new minoxidil'. What does the evidence support?</w:t>
      </w:r>
      <w:r>
        <w:t xml:space="preserve"> </w:t>
      </w:r>
      <w:r>
        <w:t xml:space="preserve">- ✗ Yes. It acts on the Wnt pathway, which drives hair growth. —</w:t>
      </w:r>
      <w:r>
        <w:t xml:space="preserve"> </w:t>
      </w:r>
      <w:r>
        <w:rPr>
          <w:i/>
          <w:iCs/>
        </w:rPr>
        <w:t xml:space="preserve">That is a mechanism argument. There is no human trial of PTD-DBM, so 'works like minoxidil' has nothing behind it.</w:t>
      </w:r>
      <w:r>
        <w:t xml:space="preserve"> </w:t>
      </w:r>
      <w:r>
        <w:t xml:space="preserve">- ✔ PTD-DBM has mouse data and no human trial (D); minoxidil has randomized-trial support and US approval (A). Start with the workup and the approved options. —</w:t>
      </w:r>
      <w:r>
        <w:t xml:space="preserve"> </w:t>
      </w:r>
      <w:r>
        <w:rPr>
          <w:i/>
          <w:iCs/>
        </w:rPr>
        <w:t xml:space="preserve">Correct. Name the grade of each, then go back to the diagnosis.</w:t>
      </w:r>
      <w:r>
        <w:t xml:space="preserve"> </w:t>
      </w:r>
      <w:r>
        <w:t xml:space="preserve">- ✗ It is safer than minoxidil because it is a peptide. —</w:t>
      </w:r>
      <w:r>
        <w:t xml:space="preserve"> </w:t>
      </w:r>
      <w:r>
        <w:rPr>
          <w:i/>
          <w:iCs/>
        </w:rPr>
        <w:t xml:space="preserve">Being a peptide says nothing about safety. Its effects in people, short or long term, are unknown.</w:t>
      </w:r>
    </w:p>
    <w:bookmarkEnd w:id="130"/>
    <w:bookmarkStart w:id="131" w:name="X68c0443655afec24b74ce7ff7120a2c9187bf4b"/>
    <w:p>
      <w:pPr>
        <w:pStyle w:val="Heading3"/>
      </w:pPr>
      <w:r>
        <w:t xml:space="preserve">19 / 19 · Before my next hair or tanning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follicle and pigment checklist</w:t>
      </w:r>
      <w:r>
        <w:t xml:space="preserve"> </w:t>
      </w:r>
      <w:r>
        <w:t xml:space="preserve">— Tap everything you will do. Choose as many as you like.</w:t>
      </w:r>
      <w:r>
        <w:t xml:space="preserve"> </w:t>
      </w:r>
      <w:r>
        <w:rPr>
          <w:i/>
          <w:iCs/>
        </w:rPr>
        <w:t xml:space="preserve">Before my next hair or tanning conversation I will …</w:t>
      </w:r>
      <w:r>
        <w:t xml:space="preserve"> </w:t>
      </w:r>
      <w:r>
        <w:t xml:space="preserve">work up the hair loss before any product · name the evidence grade out loud · ask exactly what was injected or sprayed, and from where · examine or refer new or changing moles · ask about a personal or family history of melanoma · check the product's current status with my regulator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product the patient used, the grade you quoted, and your referral.</w:t>
      </w:r>
      <w:r>
        <w:t xml:space="preserve"> </w:t>
      </w:r>
      <w:r>
        <w:t xml:space="preserve">-</w:t>
      </w:r>
      <w:r>
        <w:t xml:space="preserve"> </w:t>
      </w:r>
      <w:r>
        <w:rPr>
          <w:i/>
          <w:iCs/>
        </w:rPr>
        <w:t xml:space="preserve">Clinical staff:</w:t>
      </w:r>
      <w:r>
        <w:t xml:space="preserve"> </w:t>
      </w:r>
      <w:r>
        <w:t xml:space="preserve">Your checklist ends with escalation: melanocortin use, new moles or patchy hair loss go to the prescriber the same day.</w:t>
      </w:r>
      <w:r>
        <w:t xml:space="preserve"> </w:t>
      </w:r>
      <w:r>
        <w:t xml:space="preserve">-</w:t>
      </w:r>
      <w:r>
        <w:t xml:space="preserve"> </w:t>
      </w:r>
      <w:r>
        <w:rPr>
          <w:i/>
          <w:iCs/>
        </w:rPr>
        <w:t xml:space="preserve">Advisor:</w:t>
      </w:r>
      <w:r>
        <w:t xml:space="preserve"> </w:t>
      </w:r>
      <w:r>
        <w:t xml:space="preserve">Your checklist ends with referral: product facts you can give; skin changes and a hair-loss diagnosis go to a prescriber.</w:t>
      </w:r>
    </w:p>
    <w:p>
      <w:pPr>
        <w:pStyle w:val="BodyText"/>
      </w:pPr>
      <w:r>
        <w:t xml:space="preserve">Sources: Aesthetic &amp; Regenerative Endocrinology — A Clinician's Pocket Guide 2026 · Böhm M 2025</w:t>
      </w:r>
    </w:p>
    <w:bookmarkEnd w:id="131"/>
    <w:bookmarkEnd w:id="132"/>
    <w:bookmarkStart w:id="133" w:name="module-check-4"/>
    <w:p>
      <w:pPr>
        <w:pStyle w:val="Heading2"/>
      </w:pPr>
      <w:r>
        <w:t xml:space="preserve">Module check</w:t>
      </w:r>
    </w:p>
    <w:p>
      <w:pPr>
        <w:pStyle w:val="FirstParagraph"/>
      </w:pPr>
      <w:r>
        <w:rPr>
          <w:b/>
          <w:bCs/>
        </w:rPr>
        <w:t xml:space="preserve">Q.</w:t>
      </w:r>
      <w:r>
        <w:t xml:space="preserve"> </w:t>
      </w:r>
      <w:r>
        <w:t xml:space="preserve">Closing Module 5: which statement keeps the four registers apart for Melanotan II?</w:t>
      </w:r>
      <w:r>
        <w:t xml:space="preserve"> </w:t>
      </w:r>
      <w:r>
        <w:t xml:space="preserve">- ✗ It shares afamelanotide's receptor, so it shares afamelanotide's approval. —</w:t>
      </w:r>
      <w:r>
        <w:t xml:space="preserve"> </w:t>
      </w:r>
      <w:r>
        <w:rPr>
          <w:i/>
          <w:iCs/>
        </w:rPr>
        <w:t xml:space="preserve">That blends mechanism into regulatory status. The approval belongs to afamelanotide, for EPP only.</w:t>
      </w:r>
      <w:r>
        <w:t xml:space="preserve"> </w:t>
      </w:r>
      <w:r>
        <w:t xml:space="preserve">- ✔ Mechanism: a non-selective melanocortin agonist. Evidence: two tiny 1990s studies and case reports of harm (D). Status: approved nowhere, with US, UK and Australian regulators on record against it. Open question: whether it causes melanoma. —</w:t>
      </w:r>
      <w:r>
        <w:t xml:space="preserve"> </w:t>
      </w:r>
      <w:r>
        <w:rPr>
          <w:i/>
          <w:iCs/>
        </w:rPr>
        <w:t xml:space="preserve">Correct. Four separate answers, each with its own source.</w:t>
      </w:r>
      <w:r>
        <w:t xml:space="preserve"> </w:t>
      </w:r>
      <w:r>
        <w:t xml:space="preserve">- ✗ Because melanoma causation is unproven, it is safe to use with monitoring. —</w:t>
      </w:r>
      <w:r>
        <w:t xml:space="preserve"> </w:t>
      </w:r>
      <w:r>
        <w:rPr>
          <w:i/>
          <w:iCs/>
        </w:rPr>
        <w:t xml:space="preserve">An unproven cause is an open question and offers no reassurance; the documented harms and the lack of approval still stand.</w:t>
      </w:r>
    </w:p>
    <w:p>
      <w:r>
        <w:pict>
          <v:rect style="width:0;height:1.5pt" o:hralign="center" o:hrstd="t" o:hr="t"/>
        </w:pict>
      </w:r>
    </w:p>
    <w:bookmarkEnd w:id="133"/>
    <w:bookmarkEnd w:id="134"/>
    <w:bookmarkStart w:id="158" w:name="X97e028be6ef20639e874c3be1ecc4cf8a7d439e"/>
    <w:p>
      <w:pPr>
        <w:pStyle w:val="Heading1"/>
      </w:pPr>
      <w:r>
        <w:t xml:space="preserve">Hormones and Peptides for Skin · Module 06 — review draft</w:t>
      </w:r>
    </w:p>
    <w:p>
      <w:pPr>
        <w:pStyle w:val="FirstParagraph"/>
      </w:pPr>
      <w:r>
        <w:rPr>
          <w:i/>
          <w:iCs/>
        </w:rPr>
        <w:t xml:space="preserve">ai_draft · authored 2026-09-24 · 19 moments, ~26 min + module check · 38 sources · 19 claims</w:t>
      </w:r>
    </w:p>
    <w:p>
      <w:pPr>
        <w:pStyle w:val="BodyText"/>
      </w:pPr>
      <w:r>
        <w:t xml:space="preserve">Every factual sentence traces to the graded registry (</w:t>
      </w:r>
      <w:r>
        <w:rPr>
          <w:rStyle w:val="VerbatimChar"/>
        </w:rPr>
        <w:t xml:space="preserve">citations/m06.md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41" w:name="X1aefa51e1c03b8604534c3723470338a58ea8af"/>
    <w:p>
      <w:pPr>
        <w:pStyle w:val="Heading2"/>
      </w:pPr>
      <w:r>
        <w:t xml:space="preserve">Lesson 6.1 · Growth hormone and IGF-1 in skin homeostasis</w:t>
      </w:r>
    </w:p>
    <w:bookmarkStart w:id="135" w:name="X04e2f29e10eb0164a459637f7a82717bf5f9d29"/>
    <w:p>
      <w:pPr>
        <w:pStyle w:val="Heading3"/>
      </w:pPr>
      <w:r>
        <w:t xml:space="preserve">01 / 19 · Real endocrinology, borrowed for marketing.</w:t>
      </w:r>
    </w:p>
    <w:p>
      <w:pPr>
        <w:pStyle w:val="FirstParagraph"/>
      </w:pPr>
      <w:r>
        <w:rPr>
          <w:i/>
          <w:iCs/>
        </w:rPr>
        <w:t xml:space="preserve">Module 06 · The growth-hormone axis and the skin · title</w:t>
      </w:r>
    </w:p>
    <w:p>
      <w:pPr>
        <w:pStyle w:val="BodyText"/>
      </w:pPr>
      <w:r>
        <w:t xml:space="preserve">Growth hormone and IGF-1 genuinely shape skin, and one peptide on this axis has approval-grade trials. Most of what patients are offered has much less behind it. In three lessons you will separate the physiology from the promise, the approved from the anecdotal, and the side-effects you can see from the risks nobody has measured.</w:t>
      </w:r>
    </w:p>
    <w:p>
      <w:pPr>
        <w:pStyle w:val="Compact"/>
        <w:numPr>
          <w:ilvl w:val="0"/>
          <w:numId w:val="1048"/>
        </w:numPr>
      </w:pPr>
      <w:r>
        <w:t xml:space="preserve">6.1 Growth hormone and IGF-1 in the skin</w:t>
      </w:r>
    </w:p>
    <w:p>
      <w:pPr>
        <w:pStyle w:val="Compact"/>
        <w:numPr>
          <w:ilvl w:val="0"/>
          <w:numId w:val="1048"/>
        </w:numPr>
      </w:pPr>
      <w:r>
        <w:t xml:space="preserve">6.2 GHRH analogues and secretagogues: what stands behind each</w:t>
      </w:r>
    </w:p>
    <w:p>
      <w:pPr>
        <w:pStyle w:val="Compact"/>
        <w:numPr>
          <w:ilvl w:val="0"/>
          <w:numId w:val="1048"/>
        </w:numPr>
      </w:pPr>
      <w:r>
        <w:t xml:space="preserve">6.3 Signs of excess, oedema and mitogenic risk</w:t>
      </w:r>
    </w:p>
    <w:bookmarkEnd w:id="135"/>
    <w:bookmarkStart w:id="136" w:name="two-hormones-two-layers-of-skin."/>
    <w:p>
      <w:pPr>
        <w:pStyle w:val="Heading3"/>
      </w:pPr>
      <w:r>
        <w:t xml:space="preserve">02 / 19 · Two hormones, two layers of skin.</w:t>
      </w:r>
    </w:p>
    <w:p>
      <w:pPr>
        <w:pStyle w:val="FirstParagraph"/>
      </w:pPr>
      <w:r>
        <w:rPr>
          <w:i/>
          <w:iCs/>
        </w:rPr>
        <w:t xml:space="preserve">Lesson 6.1 · Mechanism · audio</w:t>
      </w:r>
    </w:p>
    <w:p>
      <w:pPr>
        <w:pStyle w:val="BodyText"/>
      </w:pPr>
      <w:r>
        <w:t xml:space="preserve">Growth hormone acts mostly in the dermis. Its receptor is expressed more by fibroblasts than by keratinocytes, and it increases fibroblast numbers and supports collagen synthesis. IGF-1, made locally by fibroblasts and melanocytes, reaches keratinocytes through the IGF-1 receptor and makes them divide. Human hair follicles even run their own small growth-hormone loop in the laboratory. With age, GH secretion and IGF-1 fall steadily; this is the somatopause.</w:t>
      </w:r>
    </w:p>
    <w:p>
      <w:pPr>
        <w:pStyle w:val="Compact"/>
        <w:numPr>
          <w:ilvl w:val="0"/>
          <w:numId w:val="1049"/>
        </w:numPr>
      </w:pPr>
      <w:r>
        <w:t xml:space="preserve">GH: dermal fibroblasts and collagen</w:t>
      </w:r>
    </w:p>
    <w:p>
      <w:pPr>
        <w:pStyle w:val="Compact"/>
        <w:numPr>
          <w:ilvl w:val="0"/>
          <w:numId w:val="1049"/>
        </w:numPr>
      </w:pPr>
      <w:r>
        <w:t xml:space="preserve">IGF-1: keratinocyte proliferation, supplied locally</w:t>
      </w:r>
    </w:p>
    <w:p>
      <w:pPr>
        <w:pStyle w:val="Compact"/>
        <w:numPr>
          <w:ilvl w:val="0"/>
          <w:numId w:val="1049"/>
        </w:numPr>
      </w:pPr>
      <w:r>
        <w:t xml:space="preserve">Somatopause: GH and IGF-1 fall with age</w:t>
      </w:r>
    </w:p>
    <w:p>
      <w:pPr>
        <w:pStyle w:val="FirstParagraph"/>
      </w:pPr>
      <w:r>
        <w:t xml:space="preserve">Narration script</w:t>
      </w:r>
    </w:p>
    <w:p>
      <w:pPr>
        <w:pStyle w:val="BodyText"/>
      </w:pPr>
      <w:r>
        <w:t xml:space="preserve">Two layers of skin listen to two different parts of the same axis. Growth hormone speaks mainly to the dermis. Its receptor is expressed more on fibroblasts than on keratinocytes, and in culture growth hormone increases fibroblast numbers and supports collagen synthesis, sometimes directly and sometimes through IGF-1. The epidermis listens to IGF-1. Keratinocytes carry the IGF-1 receptor, their neighbours in the dermis supply the hormone, and in culture IGF-1 makes keratinocytes divide where growth hormone on its own does nothing. Human hair follicles even keep a small growth-hormone loop running when they are cultured outside the body. With age, growth-hormone pulses and IGF-1 fall steadily, a change called the somatopause. Hold all of this as mechanism. It explains why the axis could matter for skin. Whether changing it helps a patient is a separate question, and the trials answer it.</w:t>
      </w:r>
    </w:p>
    <w:p>
      <w:pPr>
        <w:pStyle w:val="BodyText"/>
      </w:pPr>
      <w:r>
        <w:t xml:space="preserve">Sources: Tavakkol A 1992 · Edmondson SR 2003 · Horesh EJ 2023 · Veldhuis JD 2008 · Aesthetic &amp; Regenerative Endocrinology — A Clinician's Pocket Guide 2026</w:t>
      </w:r>
    </w:p>
    <w:bookmarkEnd w:id="136"/>
    <w:bookmarkStart w:id="137" w:name="a-much-cited-skin-result-read-again."/>
    <w:p>
      <w:pPr>
        <w:pStyle w:val="Heading3"/>
      </w:pPr>
      <w:r>
        <w:t xml:space="preserve">03 / 19 · A much-cited skin result, read again.</w:t>
      </w:r>
    </w:p>
    <w:p>
      <w:pPr>
        <w:pStyle w:val="FirstParagraph"/>
      </w:pPr>
      <w:r>
        <w:rPr>
          <w:i/>
          <w:iCs/>
        </w:rPr>
        <w:t xml:space="preserve">Human evidence · stat</w:t>
      </w:r>
    </w:p>
    <w:p>
      <w:pPr>
        <w:pStyle w:val="BodyText"/>
      </w:pPr>
      <w:r>
        <w:t xml:space="preserve">In 1990 a much-cited New England Journal of Medicine study gave growth hormone for six months to 12 healthy men over 60, with nine untreated men for comparison and no placebo. Lean mass rose and fat fell. Skin thickness rose 7.1%, with P = 0.07, short of statistical significance. A small 1996 randomized trial in 28 older men found 15% more collagen laid down in implanted wound tubes on GH, a laboratory surrogate for repair.</w:t>
      </w:r>
    </w:p>
    <w:p>
      <w:pPr>
        <w:pStyle w:val="BodyText"/>
      </w:pPr>
      <w:r>
        <w:rPr>
          <w:b/>
          <w:bCs/>
        </w:rPr>
        <w:t xml:space="preserve">7.1%</w:t>
      </w:r>
      <w:r>
        <w:t xml:space="preserve"> </w:t>
      </w:r>
      <w:r>
        <w:t xml:space="preserve">— rise in skin thickness in 12 older men given growth hormone for six months (1990) (P = 0.07 · nine untreated men as comparison · no placebo)</w:t>
      </w:r>
      <w:r>
        <w:br/>
      </w:r>
      <w:r>
        <w:rPr>
          <w:i/>
          <w:iCs/>
        </w:rPr>
        <w:t xml:space="preserve">Means:</w:t>
      </w:r>
      <w:r>
        <w:t xml:space="preserve"> </w:t>
      </w:r>
      <w:r>
        <w:t xml:space="preserve">A skin result still quoted for growth hormone comes from 12 treated men, without a placebo, and it missed statistical significance. Graded on its design, it is D.</w:t>
      </w:r>
      <w:r>
        <w:br/>
      </w:r>
      <w:r>
        <w:rPr>
          <w:i/>
          <w:iCs/>
        </w:rPr>
        <w:t xml:space="preserve">Does not mean:</w:t>
      </w:r>
      <w:r>
        <w:t xml:space="preserve"> </w:t>
      </w:r>
      <w:r>
        <w:t xml:space="preserve">It does not show that GH thins skin or that it fails in true deficiency, and it says nothing about secretagogues. It shows how thin the direct skin evidence for growth hormone in healthy ageing is.</w:t>
      </w:r>
    </w:p>
    <w:p>
      <w:pPr>
        <w:pStyle w:val="BodyText"/>
      </w:pPr>
      <w:r>
        <w:t xml:space="preserve">Sources: Rudman D 1990 · Papadakis MA 1996</w:t>
      </w:r>
    </w:p>
    <w:bookmarkEnd w:id="137"/>
    <w:bookmarkStart w:id="138" w:name="X3712699165567ea527d82d1e95b824c701a6d89"/>
    <w:p>
      <w:pPr>
        <w:pStyle w:val="Heading3"/>
      </w:pPr>
      <w:r>
        <w:t xml:space="preserve">04 / 19 · Mechanism, human evidence or open question?</w:t>
      </w:r>
    </w:p>
    <w:p>
      <w:pPr>
        <w:pStyle w:val="FirstParagraph"/>
      </w:pPr>
      <w:r>
        <w:rPr>
          <w:i/>
          <w:iCs/>
        </w:rPr>
        <w:t xml:space="preserve">Sort the evidence · tool</w:t>
      </w:r>
    </w:p>
    <w:p>
      <w:pPr>
        <w:pStyle w:val="BodyText"/>
      </w:pPr>
      <w:r>
        <w:t xml:space="preserve">Six things you will hear about growth hormone and skin, each accurate as worded. Before you see the answer, decide what kind of statement each one 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Keratinocytes</w:t>
            </w:r>
          </w:p>
        </w:tc>
        <w:tc>
          <w:tcPr/>
          <w:p>
            <w:pPr>
              <w:pStyle w:val="Compact"/>
            </w:pPr>
            <w:r>
              <w:t xml:space="preserve">IGF-1 makes them divide in culture; GH alone does not</w:t>
            </w:r>
          </w:p>
        </w:tc>
        <w:tc>
          <w:tcPr/>
          <w:p>
            <w:pPr>
              <w:pStyle w:val="Compact"/>
            </w:pPr>
            <w:r>
              <w:t xml:space="preserve">1992</w:t>
            </w:r>
          </w:p>
        </w:tc>
      </w:tr>
      <w:tr>
        <w:tc>
          <w:tcPr/>
          <w:p>
            <w:pPr>
              <w:pStyle w:val="Compact"/>
            </w:pPr>
            <w:r>
              <w:t xml:space="preserve">GH deficiency</w:t>
            </w:r>
          </w:p>
        </w:tc>
        <w:tc>
          <w:tcPr/>
          <w:p>
            <w:pPr>
              <w:pStyle w:val="Compact"/>
            </w:pPr>
            <w:r>
              <w:t xml:space="preserve">Adults with untreated deficiency have a thinner epidermis on biopsy</w:t>
            </w:r>
          </w:p>
        </w:tc>
        <w:tc>
          <w:tcPr/>
          <w:p>
            <w:pPr>
              <w:pStyle w:val="Compact"/>
            </w:pPr>
            <w:r>
              <w:t xml:space="preserve">2001</w:t>
            </w:r>
          </w:p>
        </w:tc>
      </w:tr>
      <w:tr>
        <w:tc>
          <w:tcPr/>
          <w:p>
            <w:pPr>
              <w:pStyle w:val="Compact"/>
            </w:pPr>
            <w:r>
              <w:t xml:space="preserve">Major burns</w:t>
            </w:r>
          </w:p>
        </w:tc>
        <w:tc>
          <w:tcPr/>
          <w:p>
            <w:pPr>
              <w:pStyle w:val="Compact"/>
            </w:pPr>
            <w:r>
              <w:t xml:space="preserve">GH shortened donor-site healing by about three days in adults</w:t>
            </w:r>
          </w:p>
        </w:tc>
        <w:tc>
          <w:tcPr/>
          <w:p>
            <w:pPr>
              <w:pStyle w:val="Compact"/>
            </w:pPr>
            <w:r>
              <w:t xml:space="preserve">2014</w:t>
            </w:r>
          </w:p>
        </w:tc>
      </w:tr>
      <w:tr>
        <w:tc>
          <w:tcPr/>
          <w:p>
            <w:pPr>
              <w:pStyle w:val="Compact"/>
            </w:pPr>
            <w:r>
              <w:t xml:space="preserve">Hair follicle</w:t>
            </w:r>
          </w:p>
        </w:tc>
        <w:tc>
          <w:tcPr/>
          <w:p>
            <w:pPr>
              <w:pStyle w:val="Compact"/>
            </w:pPr>
            <w:r>
              <w:t xml:space="preserve">Follicles keep a GH–IGF-1 loop running outside the body</w:t>
            </w:r>
          </w:p>
        </w:tc>
        <w:tc>
          <w:tcPr/>
          <w:p>
            <w:pPr>
              <w:pStyle w:val="Compact"/>
            </w:pPr>
            <w:r>
              <w:t xml:space="preserve">2023</w:t>
            </w:r>
          </w:p>
        </w:tc>
      </w:tr>
      <w:tr>
        <w:tc>
          <w:tcPr/>
          <w:p>
            <w:pPr>
              <w:pStyle w:val="Compact"/>
            </w:pPr>
            <w:r>
              <w:t xml:space="preserve">Acromegaly</w:t>
            </w:r>
          </w:p>
        </w:tc>
        <w:tc>
          <w:tcPr/>
          <w:p>
            <w:pPr>
              <w:pStyle w:val="Compact"/>
            </w:pPr>
            <w:r>
              <w:t xml:space="preserve">Glycosaminoglycan deposits and oedema thicken and puff the skin</w:t>
            </w:r>
          </w:p>
        </w:tc>
        <w:tc>
          <w:tcPr/>
          <w:p>
            <w:pPr>
              <w:pStyle w:val="Compact"/>
            </w:pPr>
            <w:r>
              <w:t xml:space="preserve">2006</w:t>
            </w:r>
          </w:p>
        </w:tc>
      </w:tr>
      <w:tr>
        <w:tc>
          <w:tcPr/>
          <w:p>
            <w:pPr>
              <w:pStyle w:val="Compact"/>
            </w:pPr>
            <w:r>
              <w:t xml:space="preserve">Healthy adults</w:t>
            </w:r>
          </w:p>
        </w:tc>
        <w:tc>
          <w:tcPr/>
          <w:p>
            <w:pPr>
              <w:pStyle w:val="Compact"/>
            </w:pPr>
            <w:r>
              <w:t xml:space="preserve">Whether raising GH or IGF-1 makes facial skin look younger</w:t>
            </w:r>
          </w:p>
        </w:tc>
        <w:tc>
          <w:tcPr/>
          <w:p>
            <w:pPr>
              <w:pStyle w:val="Compact"/>
            </w:pPr>
            <w:r>
              <w:t xml:space="preserve">—</w:t>
            </w:r>
          </w:p>
        </w:tc>
      </w:tr>
    </w:tbl>
    <w:p>
      <w:pPr>
        <w:pStyle w:val="BodyText"/>
      </w:pPr>
      <w:r>
        <w:rPr>
          <w:b/>
          <w:bCs/>
        </w:rPr>
        <w:t xml:space="preserve">Callout:</w:t>
      </w:r>
      <w:r>
        <w:t xml:space="preserve"> </w:t>
      </w:r>
      <w:r>
        <w:t xml:space="preserve">Knowing what growth hormone does to skin in disease is different from knowing what it does to healthy skin.</w:t>
      </w:r>
    </w:p>
    <w:p>
      <w:pPr>
        <w:pStyle w:val="BodyText"/>
      </w:pPr>
      <w:r>
        <w:rPr>
          <w:b/>
          <w:bCs/>
        </w:rPr>
        <w:t xml:space="preserve">Exercise (classify) · Which register?</w:t>
      </w:r>
      <w:r>
        <w:t xml:space="preserve"> </w:t>
      </w:r>
      <w:r>
        <w:t xml:space="preserve">— Tap the kind of statement each one is.</w:t>
      </w:r>
      <w:r>
        <w:t xml:space="preserve"> </w:t>
      </w:r>
      <w:r>
        <w:t xml:space="preserve">- IGF-1 makes keratinocytes divide in culture; GH alone does not →</w:t>
      </w:r>
      <w:r>
        <w:t xml:space="preserve"> </w:t>
      </w:r>
      <w:r>
        <w:rPr>
          <w:b/>
          <w:bCs/>
        </w:rPr>
        <w:t xml:space="preserve">Mechanism</w:t>
      </w:r>
      <w:r>
        <w:t xml:space="preserve"> </w:t>
      </w:r>
      <w:r>
        <w:t xml:space="preserve">—</w:t>
      </w:r>
      <w:r>
        <w:t xml:space="preserve"> </w:t>
      </w:r>
      <w:r>
        <w:rPr>
          <w:i/>
          <w:iCs/>
        </w:rPr>
        <w:t xml:space="preserve">Mechanism (D). Cell-culture work from 1992 explains a pathway; it tells you nothing about a patient's skin.</w:t>
      </w:r>
      <w:r>
        <w:t xml:space="preserve"> </w:t>
      </w:r>
      <w:r>
        <w:t xml:space="preserve">- Adults with untreated GH deficiency have a thinner epidermis on biopsy →</w:t>
      </w:r>
      <w:r>
        <w:t xml:space="preserve"> </w:t>
      </w:r>
      <w:r>
        <w:rPr>
          <w:b/>
          <w:bCs/>
        </w:rPr>
        <w:t xml:space="preserve">Human evidence</w:t>
      </w:r>
      <w:r>
        <w:t xml:space="preserve"> </w:t>
      </w:r>
      <w:r>
        <w:t xml:space="preserve">—</w:t>
      </w:r>
      <w:r>
        <w:t xml:space="preserve"> </w:t>
      </w:r>
      <w:r>
        <w:rPr>
          <w:i/>
          <w:iCs/>
        </w:rPr>
        <w:t xml:space="preserve">Human evidence (C), small and observational: 45 people biopsied in 2001. Treatment of childhood-onset deficiency did not fully normalise the skin.</w:t>
      </w:r>
      <w:r>
        <w:t xml:space="preserve"> </w:t>
      </w:r>
      <w:r>
        <w:t xml:space="preserve">- GH shortened donor-site healing in adults with major burns →</w:t>
      </w:r>
      <w:r>
        <w:t xml:space="preserve"> </w:t>
      </w:r>
      <w:r>
        <w:rPr>
          <w:b/>
          <w:bCs/>
        </w:rPr>
        <w:t xml:space="preserve">Human evidence</w:t>
      </w:r>
      <w:r>
        <w:t xml:space="preserve"> </w:t>
      </w:r>
      <w:r>
        <w:t xml:space="preserve">—</w:t>
      </w:r>
      <w:r>
        <w:t xml:space="preserve"> </w:t>
      </w:r>
      <w:r>
        <w:rPr>
          <w:i/>
          <w:iCs/>
        </w:rPr>
        <w:t xml:space="preserve">Human evidence (C): 13 small randomized trials pooled by Cochrane in 2014, with more hyperglycaemia on GH and a risk of bias. Burns over 40% of the body, far from cosmetic use.</w:t>
      </w:r>
      <w:r>
        <w:t xml:space="preserve"> </w:t>
      </w:r>
      <w:r>
        <w:t xml:space="preserve">- Hair follicles keep a GH–IGF-1 loop running outside the body →</w:t>
      </w:r>
      <w:r>
        <w:t xml:space="preserve"> </w:t>
      </w:r>
      <w:r>
        <w:rPr>
          <w:b/>
          <w:bCs/>
        </w:rPr>
        <w:t xml:space="preserve">Mechanism</w:t>
      </w:r>
      <w:r>
        <w:t xml:space="preserve"> </w:t>
      </w:r>
      <w:r>
        <w:t xml:space="preserve">—</w:t>
      </w:r>
      <w:r>
        <w:t xml:space="preserve"> </w:t>
      </w:r>
      <w:r>
        <w:rPr>
          <w:i/>
          <w:iCs/>
        </w:rPr>
        <w:t xml:space="preserve">Mechanism (D). An ex vivo finding from 2023 about follicle biology.</w:t>
      </w:r>
      <w:r>
        <w:t xml:space="preserve"> </w:t>
      </w:r>
      <w:r>
        <w:t xml:space="preserve">- In acromegaly, glycosaminoglycan deposits and oedema thicken the skin →</w:t>
      </w:r>
      <w:r>
        <w:t xml:space="preserve"> </w:t>
      </w:r>
      <w:r>
        <w:rPr>
          <w:b/>
          <w:bCs/>
        </w:rPr>
        <w:t xml:space="preserve">Human evidence</w:t>
      </w:r>
      <w:r>
        <w:t xml:space="preserve"> </w:t>
      </w:r>
      <w:r>
        <w:t xml:space="preserve">—</w:t>
      </w:r>
      <w:r>
        <w:t xml:space="preserve"> </w:t>
      </w:r>
      <w:r>
        <w:rPr>
          <w:i/>
          <w:iCs/>
        </w:rPr>
        <w:t xml:space="preserve">Human evidence from disease. It shows what too much growth hormone does to skin, and says nothing about a cosmetic benefit.</w:t>
      </w:r>
      <w:r>
        <w:t xml:space="preserve"> </w:t>
      </w:r>
      <w:r>
        <w:t xml:space="preserve">- Whether raising GH or IGF-1 makes a healthy adult's facial skin look younger →</w:t>
      </w:r>
      <w:r>
        <w:t xml:space="preserve"> </w:t>
      </w:r>
      <w:r>
        <w:rPr>
          <w:b/>
          <w:bCs/>
        </w:rPr>
        <w:t xml:space="preserve">Open question</w:t>
      </w:r>
      <w:r>
        <w:t xml:space="preserve"> </w:t>
      </w:r>
      <w:r>
        <w:t xml:space="preserve">—</w:t>
      </w:r>
      <w:r>
        <w:t xml:space="preserve"> </w:t>
      </w:r>
      <w:r>
        <w:rPr>
          <w:i/>
          <w:iCs/>
        </w:rPr>
        <w:t xml:space="preserve">Open question. No randomized trial has measured it, and the 1990 skin result missed statistical significance.</w:t>
      </w:r>
    </w:p>
    <w:p>
      <w:pPr>
        <w:pStyle w:val="BodyText"/>
      </w:pPr>
      <w:r>
        <w:t xml:space="preserve">Sources: Tavakkol A 1992 · Lange M 2001 · Breederveld RS 2014 · Horesh EJ 2023 · Ben-Shlomo A 2006 · Rudman D 1990 · Edmondson SR 2003</w:t>
      </w:r>
    </w:p>
    <w:bookmarkEnd w:id="138"/>
    <w:bookmarkStart w:id="139" w:name="X486a3913ba3fc45409490ad485bd226715c7861"/>
    <w:p>
      <w:pPr>
        <w:pStyle w:val="Heading3"/>
      </w:pPr>
      <w:r>
        <w:t xml:space="preserve">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50"/>
        </w:numPr>
      </w:pPr>
      <w:r>
        <w:t xml:space="preserve">Healthy ageing: small body-composition change, more side-effects</w:t>
      </w:r>
    </w:p>
    <w:p>
      <w:pPr>
        <w:pStyle w:val="Compact"/>
        <w:numPr>
          <w:ilvl w:val="0"/>
          <w:numId w:val="1050"/>
        </w:numPr>
      </w:pPr>
      <w:r>
        <w:t xml:space="preserve">Grade B on the trials (guide: A), same conclusion</w:t>
      </w:r>
    </w:p>
    <w:p>
      <w:pPr>
        <w:pStyle w:val="Compact"/>
        <w:numPr>
          <w:ilvl w:val="0"/>
          <w:numId w:val="1050"/>
        </w:numPr>
      </w:pPr>
      <w:r>
        <w:t xml:space="preserve">US: distribution for anti-ageing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Liu H 2007 · Blackman MR 2002 · Office of the Law Revision Counsel 2026 · Pfizer (FDA-approved labeling) 2026 · Aesthetic &amp; Regenerative Endocrinology — A Clinician's Pocket Guide 2026</w:t>
      </w:r>
    </w:p>
    <w:bookmarkEnd w:id="139"/>
    <w:bookmarkStart w:id="140" w:name="low-for-my-age."/>
    <w:p>
      <w:pPr>
        <w:pStyle w:val="Heading3"/>
      </w:pPr>
      <w:r>
        <w:t xml:space="preserve">06 / 19 · 'Low for my age.'</w:t>
      </w:r>
    </w:p>
    <w:p>
      <w:pPr>
        <w:pStyle w:val="FirstParagraph"/>
      </w:pPr>
      <w:r>
        <w:rPr>
          <w:i/>
          <w:iCs/>
        </w:rPr>
        <w:t xml:space="preserve">Your turn · quiz</w:t>
      </w:r>
    </w:p>
    <w:p>
      <w:pPr>
        <w:pStyle w:val="BodyText"/>
      </w:pPr>
      <w:r>
        <w:t xml:space="preserve">One question to close lesson 6.1.</w:t>
      </w:r>
    </w:p>
    <w:p>
      <w:pPr>
        <w:pStyle w:val="BodyText"/>
      </w:pPr>
      <w:r>
        <w:rPr>
          <w:b/>
          <w:bCs/>
        </w:rPr>
        <w:t xml:space="preserve">Q.</w:t>
      </w:r>
      <w:r>
        <w:t xml:space="preserve"> </w:t>
      </w:r>
      <w:r>
        <w:t xml:space="preserve">Fictional chart note: a healthy 58-year-old asks for growth hormone 'for her skin' after an online test reported her IGF-1 as 'below the range for a 30-year-old'. She has no pituitary history. What does the evidence support?</w:t>
      </w:r>
      <w:r>
        <w:t xml:space="preserve"> </w:t>
      </w:r>
      <w:r>
        <w:t xml:space="preserve">- ✗ Start growth hormone, because restoring a youthful IGF-1 thickens skin. —</w:t>
      </w:r>
      <w:r>
        <w:t xml:space="preserve"> </w:t>
      </w:r>
      <w:r>
        <w:rPr>
          <w:i/>
          <w:iCs/>
        </w:rPr>
        <w:t xml:space="preserve">The much-cited skin result for that idea missed statistical significance, and trials in healthy adults show more side-effects than benefit.</w:t>
      </w:r>
      <w:r>
        <w:t xml:space="preserve"> </w:t>
      </w:r>
      <w:r>
        <w:t xml:space="preserve">- ✔ Read her IGF-1 against an age-matched range; without a diagnosed deficiency, the trials show small gains and more side-effects, so growth hormone is not the answer. —</w:t>
      </w:r>
      <w:r>
        <w:t xml:space="preserve"> </w:t>
      </w:r>
      <w:r>
        <w:rPr>
          <w:i/>
          <w:iCs/>
        </w:rPr>
        <w:t xml:space="preserve">Correct. A low-for-young IGF-1 is often normal for age, and the healthy-ageing trials point against treatment.</w:t>
      </w:r>
      <w:r>
        <w:t xml:space="preserve"> </w:t>
      </w:r>
      <w:r>
        <w:t xml:space="preserve">- ✗ Offer a secretagogue instead, because it raises her own growth hormone more gently. —</w:t>
      </w:r>
      <w:r>
        <w:t xml:space="preserve"> </w:t>
      </w:r>
      <w:r>
        <w:rPr>
          <w:i/>
          <w:iCs/>
        </w:rPr>
        <w:t xml:space="preserve">That is a mechanism argument. No secretagogue has trial evidence of benefit for skin or healthy ageing, as lesson 6.2 shows.</w:t>
      </w:r>
    </w:p>
    <w:bookmarkEnd w:id="140"/>
    <w:bookmarkEnd w:id="141"/>
    <w:bookmarkStart w:id="149" w:name="Xc86538447d128292dfc312c7136a62fb0c82eb3"/>
    <w:p>
      <w:pPr>
        <w:pStyle w:val="Heading2"/>
      </w:pPr>
      <w:r>
        <w:t xml:space="preserve">Lesson 6.2 · GHRH analogues and secretagogues: clinical pharmacology</w:t>
      </w:r>
    </w:p>
    <w:bookmarkStart w:id="142" w:name="one-axis-four-ways-in."/>
    <w:p>
      <w:pPr>
        <w:pStyle w:val="Heading3"/>
      </w:pPr>
      <w:r>
        <w:t xml:space="preserve">07 / 19 · One axis, four ways in.</w:t>
      </w:r>
    </w:p>
    <w:p>
      <w:pPr>
        <w:pStyle w:val="FirstParagraph"/>
      </w:pPr>
      <w:r>
        <w:rPr>
          <w:i/>
          <w:iCs/>
        </w:rPr>
        <w:t xml:space="preserve">Lesson 6.2 · Concept · audio</w:t>
      </w:r>
    </w:p>
    <w:p>
      <w:pPr>
        <w:pStyle w:val="BodyText"/>
      </w:pPr>
      <w:r>
        <w:t xml:space="preserve">Somatropin is growth hormone itself. GHRH analogues (sermorelin, tesamorelin, CJC-1295) stimulate the pituitary's GHRH receptor. Ghrelin-receptor agonists (ipamorelin, GHRP-2, GHRP-6 and the oral ibutamoren, MK-677) stimulate GH release through a second pituitary receptor. IGF-1 analogues such as IGF-1 LR3 bypass the pituitary altogether. They are sold as one family, and the next moments take them apart.</w:t>
      </w:r>
    </w:p>
    <w:p>
      <w:pPr>
        <w:pStyle w:val="Compact"/>
        <w:numPr>
          <w:ilvl w:val="0"/>
          <w:numId w:val="1051"/>
        </w:numPr>
      </w:pPr>
      <w:r>
        <w:t xml:space="preserve">Replace: somatropin</w:t>
      </w:r>
    </w:p>
    <w:p>
      <w:pPr>
        <w:pStyle w:val="Compact"/>
        <w:numPr>
          <w:ilvl w:val="0"/>
          <w:numId w:val="1051"/>
        </w:numPr>
      </w:pPr>
      <w:r>
        <w:t xml:space="preserve">Stimulate: GHRH analogues and ghrelin-receptor agonists</w:t>
      </w:r>
    </w:p>
    <w:p>
      <w:pPr>
        <w:pStyle w:val="Compact"/>
        <w:numPr>
          <w:ilvl w:val="0"/>
          <w:numId w:val="1051"/>
        </w:numPr>
      </w:pPr>
      <w:r>
        <w:t xml:space="preserve">Bypass: IGF-1 analogues</w:t>
      </w:r>
    </w:p>
    <w:p>
      <w:pPr>
        <w:pStyle w:val="FirstParagraph"/>
      </w:pPr>
      <w:r>
        <w:t xml:space="preserve">Narration script</w:t>
      </w:r>
    </w:p>
    <w:p>
      <w:pPr>
        <w:pStyle w:val="BodyText"/>
      </w:pPr>
      <w:r>
        <w:t xml:space="preserve">Four routes lead into the same axis, and patients rarely know which one they are on. Somatropin is growth hormone itself, made by recombinant technology. GHRH analogues, sermorelin, tesamorelin and CJC-1295, press on the pituitary's releasing-hormone receptor, so the gland releases its own growth hormone in pulses. Ghrelin-receptor agonists, ipamorelin, GHRP-2, GHRP-6 and the oral compound ibutamoren, press on a second pituitary receptor. IGF-1 analogues such as IGF-1 LR3 skip the pituitary and act on the IGF-1 receptor directly. Every route ends at that same receptor, which is why lesson three treats their risks together. Clinics often sell all of these as one family with one promise. Keep them apart, because the trials, the approvals and the side-effects belong to each molecule separately.</w:t>
      </w:r>
    </w:p>
    <w:p>
      <w:pPr>
        <w:pStyle w:val="BodyText"/>
      </w:pPr>
      <w:r>
        <w:t xml:space="preserve">Sources: Dominikowski A 2026 · Teichman SL 2006 · Nass R 2008 · Pfizer (FDA-approved labeling) 2026 · Aesthetic &amp; Regenerative Endocrinology — A Clinician's Pocket Guide 2026 · The Peptide Pocket Guide — 2026 Edition · Clinical Reference (seventy-two entries) 2026</w:t>
      </w:r>
    </w:p>
    <w:bookmarkEnd w:id="142"/>
    <w:bookmarkStart w:id="143" w:name="what-real-peptide-evidence-looks-like."/>
    <w:p>
      <w:pPr>
        <w:pStyle w:val="Heading3"/>
      </w:pPr>
      <w:r>
        <w:t xml:space="preserve">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w:t>
      </w:r>
    </w:p>
    <w:bookmarkEnd w:id="143"/>
    <w:bookmarkStart w:id="144" w:name="zero-skin-trials."/>
    <w:p>
      <w:pPr>
        <w:pStyle w:val="Heading3"/>
      </w:pPr>
      <w:r>
        <w:t xml:space="preserve">09 / 19 · Zero skin trials.</w:t>
      </w:r>
    </w:p>
    <w:p>
      <w:pPr>
        <w:pStyle w:val="FirstParagraph"/>
      </w:pPr>
      <w:r>
        <w:rPr>
          <w:i/>
          <w:iCs/>
        </w:rPr>
        <w:t xml:space="preserve">The evidence · stat</w:t>
      </w:r>
    </w:p>
    <w:p>
      <w:pPr>
        <w:pStyle w:val="BodyText"/>
      </w:pPr>
      <w:r>
        <w:t xml:space="preserve">A PubMed search in September 2026 found no randomized trial with a skin outcome for tesamorelin, CJC-1295, ipamorelin or IGF-1 LR3. The nearest is a 1997 study of a GHRH(1-29) analogue related to sermorelin, in 19 older adults. Skin thickness measured by caliper rose after 16 weeks, compared with a placebo lead-in rather than a parallel control group.</w:t>
      </w:r>
    </w:p>
    <w:p>
      <w:pPr>
        <w:pStyle w:val="BodyText"/>
      </w:pPr>
      <w:r>
        <w:rPr>
          <w:b/>
          <w:bCs/>
        </w:rPr>
        <w:t xml:space="preserve">0</w:t>
      </w:r>
      <w:r>
        <w:t xml:space="preserve"> </w:t>
      </w:r>
      <w:r>
        <w:t xml:space="preserve">— randomized trials with a skin outcome for tesamorelin, CJC-1295, ipamorelin or IGF-1 LR3 (PubMed, September 2026) (Closest: a 1997 single-blind study of a GHRH(1-29) analogue, 19 older adults, skin thickness by caliper)</w:t>
      </w:r>
      <w:r>
        <w:br/>
      </w:r>
      <w:r>
        <w:rPr>
          <w:i/>
          <w:iCs/>
        </w:rPr>
        <w:t xml:space="preserve">Means:</w:t>
      </w:r>
      <w:r>
        <w:t xml:space="preserve"> </w:t>
      </w:r>
      <w:r>
        <w:t xml:space="preserve">Every skin promise made for these peptides rests on mechanism and anecdote. The nearest data are one small study without a parallel control group (D).</w:t>
      </w:r>
      <w:r>
        <w:br/>
      </w:r>
      <w:r>
        <w:rPr>
          <w:i/>
          <w:iCs/>
        </w:rPr>
        <w:t xml:space="preserve">Does not mean:</w:t>
      </w:r>
      <w:r>
        <w:t xml:space="preserve"> </w:t>
      </w:r>
      <w:r>
        <w:t xml:space="preserve">It does not show these peptides harm skin or do nothing for it. It shows the question has never been properly tested, and a clinic brochure cannot fill that gap.</w:t>
      </w:r>
    </w:p>
    <w:p>
      <w:pPr>
        <w:pStyle w:val="BodyText"/>
      </w:pPr>
      <w:r>
        <w:t xml:space="preserve">Sources: Khorram O 1997 · Dominikowski A 2026 · The Peptide Pocket Guide — 2026 Edition · Clinical Reference (seventy-two entries) 2026</w:t>
      </w:r>
    </w:p>
    <w:bookmarkEnd w:id="144"/>
    <w:bookmarkStart w:id="145" w:name="approval-grade-hormone-levels-or-nothing"/>
    <w:p>
      <w:pPr>
        <w:pStyle w:val="Heading3"/>
      </w:pPr>
      <w:r>
        <w:t xml:space="preserve">10 / 19 · Approval-grade, hormone levels, or nothing?</w:t>
      </w:r>
    </w:p>
    <w:p>
      <w:pPr>
        <w:pStyle w:val="FirstParagraph"/>
      </w:pPr>
      <w:r>
        <w:rPr>
          <w:i/>
          <w:iCs/>
        </w:rPr>
        <w:t xml:space="preserve">Sort the evidence · tool</w:t>
      </w:r>
    </w:p>
    <w:p>
      <w:pPr>
        <w:pStyle w:val="BodyText"/>
      </w:pPr>
      <w:r>
        <w:t xml:space="preserve">Seven products on this axis and the use each one is offered for. Decide what actually stands behind each before you see its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Tesamorelin</w:t>
            </w:r>
          </w:p>
        </w:tc>
        <w:tc>
          <w:tcPr/>
          <w:p>
            <w:pPr>
              <w:pStyle w:val="Compact"/>
            </w:pPr>
            <w:r>
              <w:t xml:space="preserve">Less visceral fat in HIV-associated lipodystrophy</w:t>
            </w:r>
          </w:p>
        </w:tc>
        <w:tc>
          <w:tcPr/>
          <w:p>
            <w:pPr>
              <w:pStyle w:val="Compact"/>
            </w:pPr>
            <w:r>
              <w:t xml:space="preserve">GHRH analogue</w:t>
            </w:r>
          </w:p>
        </w:tc>
      </w:tr>
      <w:tr>
        <w:tc>
          <w:tcPr/>
          <w:p>
            <w:pPr>
              <w:pStyle w:val="Compact"/>
            </w:pPr>
            <w:r>
              <w:t xml:space="preserve">Somatropin</w:t>
            </w:r>
          </w:p>
        </w:tc>
        <w:tc>
          <w:tcPr/>
          <w:p>
            <w:pPr>
              <w:pStyle w:val="Compact"/>
            </w:pPr>
            <w:r>
              <w:t xml:space="preserve">Treats adult growth-hormone deficiency</w:t>
            </w:r>
          </w:p>
        </w:tc>
        <w:tc>
          <w:tcPr/>
          <w:p>
            <w:pPr>
              <w:pStyle w:val="Compact"/>
            </w:pPr>
            <w:r>
              <w:t xml:space="preserve">Recombinant GH</w:t>
            </w:r>
          </w:p>
        </w:tc>
      </w:tr>
      <w:tr>
        <w:tc>
          <w:tcPr/>
          <w:p>
            <w:pPr>
              <w:pStyle w:val="Compact"/>
            </w:pPr>
            <w:r>
              <w:t xml:space="preserve">Sermorelin</w:t>
            </w:r>
          </w:p>
        </w:tc>
        <w:tc>
          <w:tcPr/>
          <w:p>
            <w:pPr>
              <w:pStyle w:val="Compact"/>
            </w:pPr>
            <w:r>
              <w:t xml:space="preserve">Youthful GH levels in healthy adults</w:t>
            </w:r>
          </w:p>
        </w:tc>
        <w:tc>
          <w:tcPr/>
          <w:p>
            <w:pPr>
              <w:pStyle w:val="Compact"/>
            </w:pPr>
            <w:r>
              <w:t xml:space="preserve">GHRH(1-29)</w:t>
            </w:r>
          </w:p>
        </w:tc>
      </w:tr>
      <w:tr>
        <w:tc>
          <w:tcPr/>
          <w:p>
            <w:pPr>
              <w:pStyle w:val="Compact"/>
            </w:pPr>
            <w:r>
              <w:t xml:space="preserve">CJC-1295 with DAC</w:t>
            </w:r>
          </w:p>
        </w:tc>
        <w:tc>
          <w:tcPr/>
          <w:p>
            <w:pPr>
              <w:pStyle w:val="Compact"/>
            </w:pPr>
            <w:r>
              <w:t xml:space="preserve">A weeks-long GH boost for skin and recovery</w:t>
            </w:r>
          </w:p>
        </w:tc>
        <w:tc>
          <w:tcPr/>
          <w:p>
            <w:pPr>
              <w:pStyle w:val="Compact"/>
            </w:pPr>
            <w:r>
              <w:t xml:space="preserve">Long-acting GHRH analogue</w:t>
            </w:r>
          </w:p>
        </w:tc>
      </w:tr>
      <w:tr>
        <w:tc>
          <w:tcPr/>
          <w:p>
            <w:pPr>
              <w:pStyle w:val="Compact"/>
            </w:pPr>
            <w:r>
              <w:t xml:space="preserve">CJC-1295 without DAC ('Mod GRF 1-29')</w:t>
            </w:r>
          </w:p>
        </w:tc>
        <w:tc>
          <w:tcPr/>
          <w:p>
            <w:pPr>
              <w:pStyle w:val="Compact"/>
            </w:pPr>
            <w:r>
              <w:t xml:space="preserve">Pulsed GH for skin and sleep</w:t>
            </w:r>
          </w:p>
        </w:tc>
        <w:tc>
          <w:tcPr/>
          <w:p>
            <w:pPr>
              <w:pStyle w:val="Compact"/>
            </w:pPr>
            <w:r>
              <w:t xml:space="preserve">GHRH analogue</w:t>
            </w:r>
          </w:p>
        </w:tc>
      </w:tr>
      <w:tr>
        <w:tc>
          <w:tcPr/>
          <w:p>
            <w:pPr>
              <w:pStyle w:val="Compact"/>
            </w:pPr>
            <w:r>
              <w:t xml:space="preserve">Ipamorelin</w:t>
            </w:r>
          </w:p>
        </w:tc>
        <w:tc>
          <w:tcPr/>
          <w:p>
            <w:pPr>
              <w:pStyle w:val="Compact"/>
            </w:pPr>
            <w:r>
              <w:t xml:space="preserve">'Clean' GH release for anti-ageing</w:t>
            </w:r>
          </w:p>
        </w:tc>
        <w:tc>
          <w:tcPr/>
          <w:p>
            <w:pPr>
              <w:pStyle w:val="Compact"/>
            </w:pPr>
            <w:r>
              <w:t xml:space="preserve">Ghrelin-receptor agonist</w:t>
            </w:r>
          </w:p>
        </w:tc>
      </w:tr>
      <w:tr>
        <w:tc>
          <w:tcPr/>
          <w:p>
            <w:pPr>
              <w:pStyle w:val="Compact"/>
            </w:pPr>
            <w:r>
              <w:t xml:space="preserve">IGF-1 LR3</w:t>
            </w:r>
          </w:p>
        </w:tc>
        <w:tc>
          <w:tcPr/>
          <w:p>
            <w:pPr>
              <w:pStyle w:val="Compact"/>
            </w:pPr>
            <w:r>
              <w:t xml:space="preserve">Muscle and skin repair</w:t>
            </w:r>
          </w:p>
        </w:tc>
        <w:tc>
          <w:tcPr/>
          <w:p>
            <w:pPr>
              <w:pStyle w:val="Compact"/>
            </w:pPr>
            <w:r>
              <w:t xml:space="preserve">IGF-1 analogue</w:t>
            </w:r>
          </w:p>
        </w:tc>
      </w:tr>
    </w:tbl>
    <w:p>
      <w:pPr>
        <w:pStyle w:val="BodyText"/>
      </w:pPr>
      <w:r>
        <w:rPr>
          <w:b/>
          <w:bCs/>
        </w:rPr>
        <w:t xml:space="preserve">Callout:</w:t>
      </w:r>
      <w:r>
        <w:t xml:space="preserve"> </w:t>
      </w:r>
      <w:r>
        <w:t xml:space="preserve">A higher IGF-1 is a laboratory result. Benefit to a patient needs a clinical trial.</w:t>
      </w:r>
    </w:p>
    <w:p>
      <w:pPr>
        <w:pStyle w:val="BodyText"/>
      </w:pPr>
      <w:r>
        <w:rPr>
          <w:b/>
          <w:bCs/>
        </w:rPr>
        <w:t xml:space="preserve">Exercise (quickfire) · What stands behind it?</w:t>
      </w:r>
      <w:r>
        <w:t xml:space="preserve"> </w:t>
      </w:r>
      <w:r>
        <w:t xml:space="preserve">— One product at a time: approval-grade trials, hormone levels only, or no human studies?</w:t>
      </w:r>
      <w:r>
        <w:t xml:space="preserve"> </w:t>
      </w:r>
      <w:r>
        <w:t xml:space="preserve">- Tesamorelin, for HIV-associated abdominal fat →</w:t>
      </w:r>
      <w:r>
        <w:t xml:space="preserve"> </w:t>
      </w:r>
      <w:r>
        <w:rPr>
          <w:b/>
          <w:bCs/>
        </w:rPr>
        <w:t xml:space="preserve">Approval-grade trials for this use</w:t>
      </w:r>
      <w:r>
        <w:t xml:space="preserve"> </w:t>
      </w:r>
      <w:r>
        <w:t xml:space="preserve">—</w:t>
      </w:r>
      <w:r>
        <w:t xml:space="preserve"> </w:t>
      </w:r>
      <w:r>
        <w:rPr>
          <w:i/>
          <w:iCs/>
        </w:rPr>
        <w:t xml:space="preserve">GRADE A. Two phase 3 trials and FDA approval in 2010, for this indication and no other.</w:t>
      </w:r>
      <w:r>
        <w:t xml:space="preserve"> </w:t>
      </w:r>
      <w:r>
        <w:t xml:space="preserve">- Somatropin, for adult GH deficiency →</w:t>
      </w:r>
      <w:r>
        <w:t xml:space="preserve"> </w:t>
      </w:r>
      <w:r>
        <w:rPr>
          <w:b/>
          <w:bCs/>
        </w:rPr>
        <w:t xml:space="preserve">Approval-grade trials for this use</w:t>
      </w:r>
      <w:r>
        <w:t xml:space="preserve"> </w:t>
      </w:r>
      <w:r>
        <w:t xml:space="preserve">—</w:t>
      </w:r>
      <w:r>
        <w:t xml:space="preserve"> </w:t>
      </w:r>
      <w:r>
        <w:rPr>
          <w:i/>
          <w:iCs/>
        </w:rPr>
        <w:t xml:space="preserve">GRADE A for diagnosed deficiency, on decades of trials. For healthy ageing, the trials show more side-effects than benefit.</w:t>
      </w:r>
      <w:r>
        <w:t xml:space="preserve"> </w:t>
      </w:r>
      <w:r>
        <w:t xml:space="preserve">- Sermorelin, for youthful GH in healthy adults →</w:t>
      </w:r>
      <w:r>
        <w:t xml:space="preserve"> </w:t>
      </w:r>
      <w:r>
        <w:rPr>
          <w:b/>
          <w:bCs/>
        </w:rPr>
        <w:t xml:space="preserve">Hormone levels rise; no benefit shown</w:t>
      </w:r>
      <w:r>
        <w:t xml:space="preserve"> </w:t>
      </w:r>
      <w:r>
        <w:t xml:space="preserve">—</w:t>
      </w:r>
      <w:r>
        <w:t xml:space="preserve"> </w:t>
      </w:r>
      <w:r>
        <w:rPr>
          <w:i/>
          <w:iCs/>
        </w:rPr>
        <w:t xml:space="preserve">In this course, GRADE D for this use. Small studies show GH and IGF-1 rising; none shows a clinical or skin benefit. Its former US approval was for children with GH deficiency.</w:t>
      </w:r>
      <w:r>
        <w:t xml:space="preserve"> </w:t>
      </w:r>
      <w:r>
        <w:t xml:space="preserve">- CJC-1295 with DAC, for skin and recovery →</w:t>
      </w:r>
      <w:r>
        <w:t xml:space="preserve"> </w:t>
      </w:r>
      <w:r>
        <w:rPr>
          <w:b/>
          <w:bCs/>
        </w:rPr>
        <w:t xml:space="preserve">Hormone levels rise; no benefit shown</w:t>
      </w:r>
      <w:r>
        <w:t xml:space="preserve"> </w:t>
      </w:r>
      <w:r>
        <w:t xml:space="preserve">—</w:t>
      </w:r>
      <w:r>
        <w:t xml:space="preserve"> </w:t>
      </w:r>
      <w:r>
        <w:rPr>
          <w:i/>
          <w:iCs/>
        </w:rPr>
        <w:t xml:space="preserve">GRADE D for any clinical use. Two phase 1 trials in healthy adults showed GH and IGF-1 rising for days; neither measured a clinical outcome. The Hormonaly guides rate it C; the trials stop at hormone levels.</w:t>
      </w:r>
      <w:r>
        <w:t xml:space="preserve"> </w:t>
      </w:r>
      <w:r>
        <w:t xml:space="preserve">- CJC-1295 without DAC, for skin and sleep →</w:t>
      </w:r>
      <w:r>
        <w:t xml:space="preserve"> </w:t>
      </w:r>
      <w:r>
        <w:rPr>
          <w:b/>
          <w:bCs/>
        </w:rPr>
        <w:t xml:space="preserve">No published human studies</w:t>
      </w:r>
      <w:r>
        <w:t xml:space="preserve"> </w:t>
      </w:r>
      <w:r>
        <w:t xml:space="preserve">—</w:t>
      </w:r>
      <w:r>
        <w:t xml:space="preserve"> </w:t>
      </w:r>
      <w:r>
        <w:rPr>
          <w:i/>
          <w:iCs/>
        </w:rPr>
        <w:t xml:space="preserve">GRADE D. No peer-reviewed human study of this form exists; its promises are borrowed from sermorelin and from the DAC version.</w:t>
      </w:r>
      <w:r>
        <w:t xml:space="preserve"> </w:t>
      </w:r>
      <w:r>
        <w:t xml:space="preserve">- Ipamorelin, for anti-ageing →</w:t>
      </w:r>
      <w:r>
        <w:t xml:space="preserve"> </w:t>
      </w:r>
      <w:r>
        <w:rPr>
          <w:b/>
          <w:bCs/>
        </w:rPr>
        <w:t xml:space="preserve">Hormone levels rise; no benefit shown</w:t>
      </w:r>
      <w:r>
        <w:t xml:space="preserve"> </w:t>
      </w:r>
      <w:r>
        <w:t xml:space="preserve">—</w:t>
      </w:r>
      <w:r>
        <w:t xml:space="preserve"> </w:t>
      </w:r>
      <w:r>
        <w:rPr>
          <w:i/>
          <w:iCs/>
        </w:rPr>
        <w:t xml:space="preserve">GRADE D for anti-ageing and skin. Human studies show GH release; its only phase 2 trial, in postoperative ileus, showed no benefit over placebo.</w:t>
      </w:r>
      <w:r>
        <w:t xml:space="preserve"> </w:t>
      </w:r>
      <w:r>
        <w:t xml:space="preserve">- IGF-1 LR3, for muscle and skin repair →</w:t>
      </w:r>
      <w:r>
        <w:t xml:space="preserve"> </w:t>
      </w:r>
      <w:r>
        <w:rPr>
          <w:b/>
          <w:bCs/>
        </w:rPr>
        <w:t xml:space="preserve">No published human studies</w:t>
      </w:r>
      <w:r>
        <w:t xml:space="preserve"> </w:t>
      </w:r>
      <w:r>
        <w:t xml:space="preserve">—</w:t>
      </w:r>
      <w:r>
        <w:t xml:space="preserve"> </w:t>
      </w:r>
      <w:r>
        <w:rPr>
          <w:i/>
          <w:iCs/>
        </w:rPr>
        <w:t xml:space="preserve">GRADE D. No peer-reviewed human study; mechanism and user reports only.</w:t>
      </w:r>
    </w:p>
    <w:p>
      <w:pPr>
        <w:pStyle w:val="BodyText"/>
      </w:pPr>
      <w:r>
        <w:t xml:space="preserve">Sources: Falutz J 2007 · Pfizer (FDA-approved labeling) 2026 · Teichman SL 2006 · Beck DE 2014 · Dominikowski A 2026 · US Food and Drug Administration 2013 · Aesthetic &amp; Regenerative Endocrinology — A Clinician's Pocket Guide 2026 · The Peptide Pocket Guide — 2026 Edition · Clinical Reference (seventy-two entries) 2026</w:t>
      </w:r>
    </w:p>
    <w:bookmarkEnd w:id="145"/>
    <w:bookmarkStart w:id="146" w:name="where-each-one-stands-in-the-us."/>
    <w:p>
      <w:pPr>
        <w:pStyle w:val="Heading3"/>
      </w:pPr>
      <w:r>
        <w:t xml:space="preserve">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bookmarkEnd w:id="146"/>
    <w:bookmarkStart w:id="147" w:name="name-the-indication-before-the-molecule."/>
    <w:p>
      <w:pPr>
        <w:pStyle w:val="Heading3"/>
      </w:pPr>
      <w:r>
        <w:t xml:space="preserve">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52"/>
        </w:numPr>
      </w:pPr>
      <w:r>
        <w:t xml:space="preserve">Which molecule, exactly</w:t>
      </w:r>
    </w:p>
    <w:p>
      <w:pPr>
        <w:pStyle w:val="Compact"/>
        <w:numPr>
          <w:ilvl w:val="0"/>
          <w:numId w:val="1052"/>
        </w:numPr>
      </w:pPr>
      <w:r>
        <w:t xml:space="preserve">What stands behind it</w:t>
      </w:r>
    </w:p>
    <w:p>
      <w:pPr>
        <w:pStyle w:val="Compact"/>
        <w:numPr>
          <w:ilvl w:val="0"/>
          <w:numId w:val="1052"/>
        </w:numPr>
      </w:pPr>
      <w:r>
        <w:t xml:space="preserve">Where it stands in the US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 UK and EU status is still being mapped for this course, so treat these as US facts.</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w:t>
      </w:r>
    </w:p>
    <w:bookmarkEnd w:id="147"/>
    <w:bookmarkStart w:id="148" w:name="basically-tesamorelin"/>
    <w:p>
      <w:pPr>
        <w:pStyle w:val="Heading3"/>
      </w:pPr>
      <w:r>
        <w:t xml:space="preserve">13 / 19 · 'Basically tesamorelin?'</w:t>
      </w:r>
    </w:p>
    <w:p>
      <w:pPr>
        <w:pStyle w:val="FirstParagraph"/>
      </w:pPr>
      <w:r>
        <w:rPr>
          <w:i/>
          <w:iCs/>
        </w:rPr>
        <w:t xml:space="preserve">Your turn · quiz</w:t>
      </w:r>
    </w:p>
    <w:p>
      <w:pPr>
        <w:pStyle w:val="BodyText"/>
      </w:pPr>
      <w:r>
        <w:t xml:space="preserve">One question to close lesson 6.2.</w:t>
      </w:r>
    </w:p>
    <w:p>
      <w:pPr>
        <w:pStyle w:val="BodyText"/>
      </w:pPr>
      <w:r>
        <w:rPr>
          <w:b/>
          <w:bCs/>
        </w:rPr>
        <w:t xml:space="preserve">Q.</w:t>
      </w:r>
      <w:r>
        <w:t xml:space="preserve"> </w:t>
      </w:r>
      <w:r>
        <w:t xml:space="preserve">Fictional chart note: a 47-year-old has been prescribed a compounded 'CJC-1295/ipamorelin' product by a wellness clinic for skin quality. She asks whether it is 'basically tesamorelin'. What is the most accurate answer?</w:t>
      </w:r>
      <w:r>
        <w:t xml:space="preserve"> </w:t>
      </w:r>
      <w:r>
        <w:t xml:space="preserve">- ✗ Yes. Both work on the growth-hormone pathway, so tesamorelin's approval covers the class. —</w:t>
      </w:r>
      <w:r>
        <w:t xml:space="preserve"> </w:t>
      </w:r>
      <w:r>
        <w:rPr>
          <w:i/>
          <w:iCs/>
        </w:rPr>
        <w:t xml:space="preserve">An approval and its GRADE A belong to tesamorelin, for HIV-associated abdominal fat. They do not transfer to other molecules or uses.</w:t>
      </w:r>
      <w:r>
        <w:t xml:space="preserve"> </w:t>
      </w:r>
      <w:r>
        <w:t xml:space="preserve">- ✔ No. Tesamorelin has phase 3 trials and a US approval for HIV-associated abdominal fat; CJC-1295 and ipamorelin have hormone-level data at best and no skin trials; neither is on the US 503A bulks list. —</w:t>
      </w:r>
      <w:r>
        <w:t xml:space="preserve"> </w:t>
      </w:r>
      <w:r>
        <w:rPr>
          <w:i/>
          <w:iCs/>
        </w:rPr>
        <w:t xml:space="preserve">Correct. Different molecules, different evidence, different regulatory standing.</w:t>
      </w:r>
      <w:r>
        <w:t xml:space="preserve"> </w:t>
      </w:r>
      <w:r>
        <w:t xml:space="preserve">- ✗ Yes, provided the compounding pharmacy is licensed. —</w:t>
      </w:r>
      <w:r>
        <w:t xml:space="preserve"> </w:t>
      </w:r>
      <w:r>
        <w:rPr>
          <w:i/>
          <w:iCs/>
        </w:rPr>
        <w:t xml:space="preserve">A licensed pharmacy changes neither the evidence nor the fact that, in the US, these substances have no bulks-list standing.</w:t>
      </w:r>
    </w:p>
    <w:bookmarkEnd w:id="148"/>
    <w:bookmarkEnd w:id="149"/>
    <w:bookmarkStart w:id="156" w:name="Xde8836c6ecbaf4301e43350c63565f2e051bde8"/>
    <w:p>
      <w:pPr>
        <w:pStyle w:val="Heading2"/>
      </w:pPr>
      <w:r>
        <w:t xml:space="preserve">Lesson 6.3 · GH excess, oedema and mitogenic risk</w:t>
      </w:r>
    </w:p>
    <w:bookmarkStart w:id="150" w:name="what-too-much-growth-hormone-looks-like."/>
    <w:p>
      <w:pPr>
        <w:pStyle w:val="Heading3"/>
      </w:pPr>
      <w:r>
        <w:t xml:space="preserve">14 / 19 · What too much growth hormone looks like.</w:t>
      </w:r>
    </w:p>
    <w:p>
      <w:pPr>
        <w:pStyle w:val="FirstParagraph"/>
      </w:pPr>
      <w:r>
        <w:rPr>
          <w:i/>
          <w:iCs/>
        </w:rPr>
        <w:t xml:space="preserve">Lesson 6.3 · Recognition · audio</w:t>
      </w:r>
    </w:p>
    <w:p>
      <w:pPr>
        <w:pStyle w:val="BodyText"/>
      </w:pPr>
      <w:r>
        <w:t xml:space="preserve">Sustained GH excess changes skin in ways you can see. In acromegaly, glycosaminoglycan deposits and oedema make the face, hands and feet puffy and thick; the skin turns oily with large pores; sweating increases; skin tags and acanthosis nigricans appear. Drugs on this axis bring their own signs: fluid retention with swelling, joint pain, tingling and carpal tunnel symptoms. The Endocrine Society recommends measuring IGF-1 when typical acral and facial features are present.</w:t>
      </w:r>
    </w:p>
    <w:p>
      <w:pPr>
        <w:pStyle w:val="Compact"/>
        <w:numPr>
          <w:ilvl w:val="0"/>
          <w:numId w:val="1053"/>
        </w:numPr>
      </w:pPr>
      <w:r>
        <w:t xml:space="preserve">Soft tissue: puffy, thickened face, hands and feet</w:t>
      </w:r>
    </w:p>
    <w:p>
      <w:pPr>
        <w:pStyle w:val="Compact"/>
        <w:numPr>
          <w:ilvl w:val="0"/>
          <w:numId w:val="1053"/>
        </w:numPr>
      </w:pPr>
      <w:r>
        <w:t xml:space="preserve">Skin: oily, sweaty, skin tags, acanthosis nigricans</w:t>
      </w:r>
    </w:p>
    <w:p>
      <w:pPr>
        <w:pStyle w:val="Compact"/>
        <w:numPr>
          <w:ilvl w:val="0"/>
          <w:numId w:val="1053"/>
        </w:numPr>
      </w:pPr>
      <w:r>
        <w:t xml:space="preserve">On treatment: swelling, joint pain, tingling</w:t>
      </w:r>
    </w:p>
    <w:p>
      <w:pPr>
        <w:pStyle w:val="FirstParagraph"/>
      </w:pPr>
      <w:r>
        <w:t xml:space="preserve">Narration script</w:t>
      </w:r>
    </w:p>
    <w:p>
      <w:pPr>
        <w:pStyle w:val="BodyText"/>
      </w:pPr>
      <w:r>
        <w:t xml:space="preserve">Excess growth hormone leaves visible marks on skin and soft tissue, and noticing them early matters. In acromegaly, glycosaminoglycan deposits and oedema thicken the face, hands and feet, so features look puffy and coarse. The skin turns oily with large pores, sweating increases, and skin tags and acanthosis nigricans appear. Hands and feet enlarge slowly, and the jaw widens. Drugs on this axis bring their own signs, usually transient, with swelling, joint pain, tingling fingers and carpal tunnel symptoms. On somatropin, the label asks for existing moles to be watched for growth or malignant change. The Endocrine Society recommends measuring IGF-1 when typical acral and facial features are present, and suggests it when several associated conditions cluster. For most of you the job is recognition and referral, and the diagnosis belongs to endocrinology.</w:t>
      </w:r>
    </w:p>
    <w:p>
      <w:pPr>
        <w:pStyle w:val="BodyText"/>
      </w:pPr>
      <w:r>
        <w:t xml:space="preserve">Sources: Ben-Shlomo A 2006 · Katznelson L 2014 · Giustina A 2024 · Pfizer (FDA-approved labeling) 2026 · Liu H 2007</w:t>
      </w:r>
    </w:p>
    <w:bookmarkEnd w:id="150"/>
    <w:bookmarkStart w:id="151" w:name="does-raising-igf-1-cause-cancer"/>
    <w:p>
      <w:pPr>
        <w:pStyle w:val="Heading3"/>
      </w:pPr>
      <w:r>
        <w:t xml:space="preserve">15 / 19 · Does raising IGF-1 cause cancer?</w:t>
      </w:r>
    </w:p>
    <w:p>
      <w:pPr>
        <w:pStyle w:val="FirstParagraph"/>
      </w:pPr>
      <w:r>
        <w:rPr>
          <w:i/>
          <w:iCs/>
        </w:rPr>
        <w:t xml:space="preserve">Four registers · tool</w:t>
      </w:r>
    </w:p>
    <w:p>
      <w:pPr>
        <w:pStyle w:val="BodyText"/>
      </w:pPr>
      <w:r>
        <w:t xml:space="preserve">The honest answer has four parts, and each has its own source. Keep them apart, or a mechanism will be heard as a measured risk.</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IGF-1 receptor signalling drives cell proliferation and survival, which gives any IGF-1-raising product a theoretical concern</w:t>
            </w:r>
          </w:p>
        </w:tc>
      </w:tr>
      <w:tr>
        <w:tc>
          <w:tcPr/>
          <w:p>
            <w:pPr>
              <w:pStyle w:val="Compact"/>
            </w:pPr>
            <w:r>
              <w:t xml:space="preserve">Human observation</w:t>
            </w:r>
          </w:p>
        </w:tc>
        <w:tc>
          <w:tcPr/>
          <w:p>
            <w:pPr>
              <w:pStyle w:val="Compact"/>
            </w:pPr>
            <w:r>
              <w:t xml:space="preserve">Modest associations</w:t>
            </w:r>
          </w:p>
        </w:tc>
        <w:tc>
          <w:tcPr/>
          <w:p>
            <w:pPr>
              <w:pStyle w:val="Compact"/>
            </w:pPr>
            <w:r>
              <w:t xml:space="preserve">In large studies, higher natural IGF-1 goes with slightly higher risks of prostate, breast, colorectal and thyroid cancer; reverse causation is not excluded. In one Ecuadorian cohort, people with GH-receptor deficiency had almost no cancer.</w:t>
            </w:r>
          </w:p>
        </w:tc>
      </w:tr>
      <w:tr>
        <w:tc>
          <w:tcPr/>
          <w:p>
            <w:pPr>
              <w:pStyle w:val="Compact"/>
            </w:pPr>
            <w:r>
              <w:t xml:space="preserve">Acromegaly</w:t>
            </w:r>
          </w:p>
        </w:tc>
        <w:tc>
          <w:tcPr/>
          <w:p>
            <w:pPr>
              <w:pStyle w:val="Compact"/>
            </w:pPr>
            <w:r>
              <w:t xml:space="preserve">Slightly raised, inconsistently</w:t>
            </w:r>
          </w:p>
        </w:tc>
        <w:tc>
          <w:tcPr/>
          <w:p>
            <w:pPr>
              <w:pStyle w:val="Compact"/>
            </w:pPr>
            <w:r>
              <w:t xml:space="preserve">Pooled studies show about 1.5 times the expected cancer incidence, with the highest estimates from small single-centre series; a Danish nationwide cohort found no clear rise</w:t>
            </w:r>
          </w:p>
        </w:tc>
      </w:tr>
      <w:tr>
        <w:tc>
          <w:tcPr/>
          <w:p>
            <w:pPr>
              <w:pStyle w:val="Compact"/>
            </w:pPr>
            <w:r>
              <w:t xml:space="preserve">GH replacement</w:t>
            </w:r>
          </w:p>
        </w:tc>
        <w:tc>
          <w:tcPr/>
          <w:p>
            <w:pPr>
              <w:pStyle w:val="Compact"/>
            </w:pPr>
            <w:r>
              <w:t xml:space="preserve">Largely reassuring</w:t>
            </w:r>
          </w:p>
        </w:tc>
        <w:tc>
          <w:tcPr/>
          <w:p>
            <w:pPr>
              <w:pStyle w:val="Compact"/>
            </w:pPr>
            <w:r>
              <w:t xml:space="preserve">No clear raised risk in 23,984 GH-treated children with growth failure and no other disease; a 2022 consensus found no link with primary tumours or recurrence in survivors</w:t>
            </w:r>
          </w:p>
        </w:tc>
      </w:tr>
      <w:tr>
        <w:tc>
          <w:tcPr/>
          <w:p>
            <w:pPr>
              <w:pStyle w:val="Compact"/>
            </w:pPr>
            <w:r>
              <w:t xml:space="preserve">Open question</w:t>
            </w:r>
          </w:p>
        </w:tc>
        <w:tc>
          <w:tcPr/>
          <w:p>
            <w:pPr>
              <w:pStyle w:val="Compact"/>
            </w:pPr>
            <w:r>
              <w:t xml:space="preserve">Unmeasured</w:t>
            </w:r>
          </w:p>
        </w:tc>
        <w:tc>
          <w:tcPr/>
          <w:p>
            <w:pPr>
              <w:pStyle w:val="Compact"/>
            </w:pPr>
            <w:r>
              <w:t xml:space="preserve">No long-term cancer data exist for secretagogues or IGF-1 LR3 used for ageing or skin</w:t>
            </w:r>
          </w:p>
        </w:tc>
      </w:tr>
    </w:tbl>
    <w:p>
      <w:pPr>
        <w:pStyle w:val="BodyText"/>
      </w:pPr>
      <w:r>
        <w:rPr>
          <w:b/>
          <w:bCs/>
        </w:rPr>
        <w:t xml:space="preserve">Callout:</w:t>
      </w:r>
      <w:r>
        <w:t xml:space="preserve"> </w:t>
      </w:r>
      <w:r>
        <w:t xml:space="preserve">A plausible mechanism plus a modest association is a reason for caution and consent. It is a different thing from a measured risk.</w:t>
      </w:r>
    </w:p>
    <w:p>
      <w:pPr>
        <w:pStyle w:val="BodyText"/>
      </w:pPr>
      <w:r>
        <w:t xml:space="preserve">Sources: Edmondson SR 2003 · Renehan AG 2004 · Knuppel A 2020 · Dal J 2018 · Swerdlow AJ 2017 · Boguszewski MCS 2022 · Guevara-Aguirre J 2011 · Dominikowski A 2026</w:t>
      </w:r>
    </w:p>
    <w:bookmarkEnd w:id="151"/>
    <w:bookmarkStart w:id="152" w:name="half-the-patients-on-the-approved-one."/>
    <w:p>
      <w:pPr>
        <w:pStyle w:val="Heading3"/>
      </w:pPr>
      <w:r>
        <w:t xml:space="preserve">16 / 19 · Half the patients on the approved one.</w:t>
      </w:r>
    </w:p>
    <w:p>
      <w:pPr>
        <w:pStyle w:val="FirstParagraph"/>
      </w:pPr>
      <w:r>
        <w:rPr>
          <w:i/>
          <w:iCs/>
        </w:rPr>
        <w:t xml:space="preserve">The evidence · stat</w:t>
      </w:r>
    </w:p>
    <w:p>
      <w:pPr>
        <w:pStyle w:val="BodyText"/>
      </w:pPr>
      <w:r>
        <w:t xml:space="preserve">Tesamorelin is the best-studied peptide on this axis. In its pivotal trials, 47% of treated patients had IGF-1 more than two standard deviations above the mean at 26 weeks, and 36% more than three. Its label states that the effects of prolonged IGF-1 elevation are unknown. For unapproved secretagogues bought for skin, nobody has published the equivalent figure.</w:t>
      </w:r>
    </w:p>
    <w:p>
      <w:pPr>
        <w:pStyle w:val="BodyText"/>
      </w:pPr>
      <w:r>
        <w:rPr>
          <w:b/>
          <w:bCs/>
        </w:rPr>
        <w:t xml:space="preserve">47%</w:t>
      </w:r>
      <w:r>
        <w:t xml:space="preserve"> </w:t>
      </w:r>
      <w:r>
        <w:t xml:space="preserve">— of tesamorelin-treated patients with IGF-1 above +2 SD at 26 weeks in its pivotal trials (36% above +3 SD · label: effects of prolonged elevation unknown)</w:t>
      </w:r>
      <w:r>
        <w:br/>
      </w:r>
      <w:r>
        <w:rPr>
          <w:i/>
          <w:iCs/>
        </w:rPr>
        <w:t xml:space="preserve">Means:</w:t>
      </w:r>
      <w:r>
        <w:t xml:space="preserve"> </w:t>
      </w:r>
      <w:r>
        <w:t xml:space="preserve">Pushing IGF-1 above the normal range is common even with an approved GHRH analogue used as labelled, in monitored trials.</w:t>
      </w:r>
      <w:r>
        <w:br/>
      </w:r>
      <w:r>
        <w:rPr>
          <w:i/>
          <w:iCs/>
        </w:rPr>
        <w:t xml:space="preserve">Does not mean:</w:t>
      </w:r>
      <w:r>
        <w:t xml:space="preserve"> </w:t>
      </w:r>
      <w:r>
        <w:t xml:space="preserve">It does not show that tesamorelin causes cancer, and it is no target to aim for. It shows why sustained, unmonitored use of any IGF-1-raising product is an open safety question.</w:t>
      </w:r>
    </w:p>
    <w:p>
      <w:pPr>
        <w:pStyle w:val="BodyText"/>
      </w:pPr>
      <w:r>
        <w:t xml:space="preserve">Sources: Theratechnologies Inc. (FDA-approved labeling) 2026 · Falutz J 2010 · Dominikowski A 2026</w:t>
      </w:r>
    </w:p>
    <w:bookmarkEnd w:id="152"/>
    <w:bookmarkStart w:id="153" w:name="tight-rings-eight-months-into-cjcipa."/>
    <w:p>
      <w:pPr>
        <w:pStyle w:val="Heading3"/>
      </w:pPr>
      <w:r>
        <w:t xml:space="preserve">17 / 19 · Tight rings, eight months into 'CJC/ipa'.</w:t>
      </w:r>
    </w:p>
    <w:p>
      <w:pPr>
        <w:pStyle w:val="FirstParagraph"/>
      </w:pPr>
      <w:r>
        <w:rPr>
          <w:i/>
          <w:iCs/>
        </w:rPr>
        <w:t xml:space="preserve">Fictional case · audio</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 This case is fictional, built from the lesson's evidence; there is one best first step.</w:t>
      </w:r>
    </w:p>
    <w:p>
      <w:pPr>
        <w:pStyle w:val="Compact"/>
        <w:numPr>
          <w:ilvl w:val="0"/>
          <w:numId w:val="1054"/>
        </w:numPr>
      </w:pPr>
      <w:r>
        <w:t xml:space="preserve">Tight rings, puffy hands and face</w:t>
      </w:r>
    </w:p>
    <w:p>
      <w:pPr>
        <w:pStyle w:val="Compact"/>
        <w:numPr>
          <w:ilvl w:val="0"/>
          <w:numId w:val="1054"/>
        </w:numPr>
      </w:pPr>
      <w:r>
        <w:t xml:space="preserve">Night-time tingling, sweating, new skin tags</w:t>
      </w:r>
    </w:p>
    <w:p>
      <w:pPr>
        <w:pStyle w:val="Compact"/>
        <w:numPr>
          <w:ilvl w:val="0"/>
          <w:numId w:val="1054"/>
        </w:numPr>
      </w:pPr>
      <w:r>
        <w:t xml:space="preserve">An unapproved product with no skin trials</w:t>
      </w:r>
    </w:p>
    <w:p>
      <w:pPr>
        <w:pStyle w:val="FirstParagraph"/>
      </w:pPr>
      <w:r>
        <w:rPr>
          <w:b/>
          <w:bCs/>
        </w:rPr>
        <w:t xml:space="preserve">Exercise (scenario) · What do you do first?</w:t>
      </w:r>
      <w:r>
        <w:t xml:space="preserve"> </w:t>
      </w:r>
      <w:r>
        <w:t xml:space="preserve">—</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w:t>
      </w:r>
    </w:p>
    <w:p>
      <w:pPr>
        <w:pStyle w:val="Compact"/>
        <w:numPr>
          <w:ilvl w:val="0"/>
          <w:numId w:val="1055"/>
        </w:numPr>
      </w:pPr>
      <w:r>
        <w:t xml:space="preserve">✗ Reassure her that mild water retention is expected on growth-hormone peptides and review in three months. —</w:t>
      </w:r>
      <w:r>
        <w:t xml:space="preserve"> </w:t>
      </w:r>
      <w:r>
        <w:rPr>
          <w:i/>
          <w:iCs/>
        </w:rPr>
        <w:t xml:space="preserve">Fluid retention is a known effect, but this cluster is the pattern the Endocrine Society says should prompt IGF-1 testing. Three more months on an unmonitored product leaves it unassessed.</w:t>
      </w:r>
    </w:p>
    <w:p>
      <w:pPr>
        <w:pStyle w:val="Compact"/>
        <w:numPr>
          <w:ilvl w:val="0"/>
          <w:numId w:val="1055"/>
        </w:numPr>
      </w:pPr>
      <w:r>
        <w:t xml:space="preserve">✔ Advise stopping the product, record exactly what she used, from where and for how long, and route her promptly to a prescriber for assessment of GH excess, including IGF-1. —</w:t>
      </w:r>
      <w:r>
        <w:t xml:space="preserve"> </w:t>
      </w:r>
      <w:r>
        <w:rPr>
          <w:i/>
          <w:iCs/>
        </w:rPr>
        <w:t xml:space="preserve">Right. Stop the exposure, capture the product details, and get the signs assessed. Fluid retention on these agents usually settles when treatment stops; signs that persist need an endocrine work-up.</w:t>
      </w:r>
    </w:p>
    <w:p>
      <w:pPr>
        <w:pStyle w:val="Compact"/>
        <w:numPr>
          <w:ilvl w:val="0"/>
          <w:numId w:val="1055"/>
        </w:numPr>
      </w:pPr>
      <w:r>
        <w:t xml:space="preserve">✗ Switch her to tesamorelin, since it is FDA-approved. —</w:t>
      </w:r>
      <w:r>
        <w:t xml:space="preserve"> </w:t>
      </w:r>
      <w:r>
        <w:rPr>
          <w:i/>
          <w:iCs/>
        </w:rPr>
        <w:t xml:space="preserve">Tesamorelin's approval covers HIV-associated abdominal fat, and it pushes IGF-1 above the normal range in about half of treated patients. It would add to the problem.</w:t>
      </w:r>
    </w:p>
    <w:p>
      <w:pPr>
        <w:pStyle w:val="FirstParagraph"/>
      </w:pPr>
      <w:r>
        <w:t xml:space="preserve">Follow-up: Then document the conversation: the product and its source, the signs you saw, what you advised, and who assesses her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examine for acral and facial change, measure IGF-1 or refer to endocrinology, check glucose and blood pressure, and document the unapproved product and your advice.</w:t>
      </w:r>
      <w:r>
        <w:t xml:space="preserve"> </w:t>
      </w:r>
      <w:r>
        <w:t xml:space="preserve">-</w:t>
      </w:r>
      <w:r>
        <w:t xml:space="preserve"> </w:t>
      </w:r>
      <w:r>
        <w:rPr>
          <w:i/>
          <w:iCs/>
        </w:rPr>
        <w:t xml:space="preserve">Clinical staff:</w:t>
      </w:r>
      <w:r>
        <w:t xml:space="preserve"> </w:t>
      </w:r>
      <w:r>
        <w:t xml:space="preserve">You record the product name, supplier and duration, note the swelling and tingling,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 stronger product or another supplier.</w:t>
      </w:r>
    </w:p>
    <w:p>
      <w:pPr>
        <w:pStyle w:val="BodyText"/>
      </w:pPr>
      <w:r>
        <w:t xml:space="preserve">Narration script</w:t>
      </w:r>
    </w:p>
    <w:p>
      <w:pPr>
        <w:pStyle w:val="BodyText"/>
      </w:pPr>
      <w:r>
        <w:t xml:space="preserve">This patient is fictional, built from the lesson's evidence. She is fifty-two and has injected a clinic-supplied product labelled CJC-1295 and ipamorelin for eight months, for skin and recovery. Her rings no longer fit. Her face and hands look puffy, her fingers tingle at night, she sweats more than she used to, and small skin tags have appeared on her neck. She likes her skin and asks for a stronger version. Read the cluster before the request. Swollen hands and face, tingling, sweating and new skin tags together make up the soft-tissue pattern of growth-hormone excess, and carpal tunnel symptoms and heavy sweating are among the conditions that prompt an IGF-1 test. Neither peptide has a skin trial behind it. Choose the move you would make first.</w:t>
      </w:r>
    </w:p>
    <w:p>
      <w:pPr>
        <w:pStyle w:val="BodyText"/>
      </w:pPr>
      <w:r>
        <w:t xml:space="preserve">Sources: Katznelson L 2014 · Ben-Shlomo A 2006 · Giustina A 2024 · Theratechnologies Inc. (FDA-approved labeling) 2026 · US Food and Drug Administration 2026 · Dominikowski A 2026 · The Peptide Pocket Guide — 2026 Edition · Clinical Reference (seventy-two entries) 2026</w:t>
      </w:r>
    </w:p>
    <w:bookmarkEnd w:id="153"/>
    <w:bookmarkStart w:id="154" w:name="will-it-give-me-cancer"/>
    <w:p>
      <w:pPr>
        <w:pStyle w:val="Heading3"/>
      </w:pPr>
      <w:r>
        <w:t xml:space="preserve">18 / 19 · 'Will it give me cancer?'</w:t>
      </w:r>
    </w:p>
    <w:p>
      <w:pPr>
        <w:pStyle w:val="FirstParagraph"/>
      </w:pPr>
      <w:r>
        <w:rPr>
          <w:i/>
          <w:iCs/>
        </w:rPr>
        <w:t xml:space="preserve">Your turn · quiz</w:t>
      </w:r>
    </w:p>
    <w:p>
      <w:pPr>
        <w:pStyle w:val="BodyText"/>
      </w:pPr>
      <w:r>
        <w:t xml:space="preserve">One question to close lesson 6.3.</w:t>
      </w:r>
    </w:p>
    <w:p>
      <w:pPr>
        <w:pStyle w:val="BodyText"/>
      </w:pPr>
      <w:r>
        <w:rPr>
          <w:b/>
          <w:bCs/>
        </w:rPr>
        <w:t xml:space="preserve">Q.</w:t>
      </w:r>
      <w:r>
        <w:t xml:space="preserve"> </w:t>
      </w:r>
      <w:r>
        <w:t xml:space="preserve">Fictional chart note: a 44-year-old using an IGF-1 LR3 product bought online asks you directly whether it causes cancer. Which answer keeps the registers apart?</w:t>
      </w:r>
      <w:r>
        <w:t xml:space="preserve"> </w:t>
      </w:r>
      <w:r>
        <w:t xml:space="preserve">- ✗ Yes. IGF-1 drives cell growth, so it causes cancer. —</w:t>
      </w:r>
      <w:r>
        <w:t xml:space="preserve"> </w:t>
      </w:r>
      <w:r>
        <w:rPr>
          <w:i/>
          <w:iCs/>
        </w:rPr>
        <w:t xml:space="preserve">That turns a mechanism into a measured risk. The mechanism is plausible; the effect of this product on cancer has never been studied.</w:t>
      </w:r>
      <w:r>
        <w:t xml:space="preserve"> </w:t>
      </w:r>
      <w:r>
        <w:t xml:space="preserve">- ✔ The mechanism makes it a concern; people with higher natural IGF-1 have slightly higher rates of some cancers; IGF-1 LR3 itself has no human studies, so the risk is plausible and unmeasured. —</w:t>
      </w:r>
      <w:r>
        <w:t xml:space="preserve"> </w:t>
      </w:r>
      <w:r>
        <w:rPr>
          <w:i/>
          <w:iCs/>
        </w:rPr>
        <w:t xml:space="preserve">Correct. Mechanism, observation and the open question, each stated for what it is.</w:t>
      </w:r>
      <w:r>
        <w:t xml:space="preserve"> </w:t>
      </w:r>
      <w:r>
        <w:t xml:space="preserve">- ✗ No. Large studies of growth-hormone treatment found no cancer signal. —</w:t>
      </w:r>
      <w:r>
        <w:t xml:space="preserve"> </w:t>
      </w:r>
      <w:r>
        <w:rPr>
          <w:i/>
          <w:iCs/>
        </w:rPr>
        <w:t xml:space="preserve">Those cohorts studied replacement in children with growth failure, and even they flagged a few signals. They say nothing about an unstudied IGF-1 analogue used for skin.</w:t>
      </w:r>
    </w:p>
    <w:bookmarkEnd w:id="154"/>
    <w:bookmarkStart w:id="155" w:name="X0c99b433cfe667ba336fb94f00f589d98f5be31"/>
    <w:p>
      <w:pPr>
        <w:pStyle w:val="Heading3"/>
      </w:pPr>
      <w:r>
        <w:t xml:space="preserve">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US status on the live FDA lists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bookmarkEnd w:id="155"/>
    <w:bookmarkEnd w:id="156"/>
    <w:bookmarkStart w:id="157" w:name="module-check-5"/>
    <w:p>
      <w:pPr>
        <w:pStyle w:val="Heading2"/>
      </w:pPr>
      <w:r>
        <w:t xml:space="preserve">Module check</w:t>
      </w:r>
    </w:p>
    <w:p>
      <w:pPr>
        <w:pStyle w:val="FirstParagraph"/>
      </w:pPr>
      <w:r>
        <w:rPr>
          <w:b/>
          <w:bCs/>
        </w:rPr>
        <w:t xml:space="preserve">Q.</w:t>
      </w:r>
      <w:r>
        <w:t xml:space="preserve"> </w:t>
      </w:r>
      <w:r>
        <w:t xml:space="preserve">Closing Module 6: which statement about tesamorelin keeps the four registers apart?</w:t>
      </w:r>
      <w:r>
        <w:t xml:space="preserve"> </w:t>
      </w:r>
      <w:r>
        <w:t xml:space="preserve">- ✗ Tesamorelin raises growth hormone through the pituitary, so its GRADE A covers skin ageing. —</w:t>
      </w:r>
      <w:r>
        <w:t xml:space="preserve"> </w:t>
      </w:r>
      <w:r>
        <w:rPr>
          <w:i/>
          <w:iCs/>
        </w:rPr>
        <w:t xml:space="preserve">That stretches a mechanism and an indication-specific grade to a use no trial has tested.</w:t>
      </w:r>
      <w:r>
        <w:t xml:space="preserve"> </w:t>
      </w:r>
      <w:r>
        <w:t xml:space="preserve">- ✔ GHRH-receptor agonist (mechanism); GRADE A for HIV-associated abdominal fat (human evidence); FDA-approved in the US for that use since 2010 (regulatory status); whether sustained IGF-1 elevation carries long-term risk is unknown (open question). —</w:t>
      </w:r>
      <w:r>
        <w:t xml:space="preserve"> </w:t>
      </w:r>
      <w:r>
        <w:rPr>
          <w:i/>
          <w:iCs/>
        </w:rPr>
        <w:t xml:space="preserve">Correct. Four separate answers, each with its own source.</w:t>
      </w:r>
      <w:r>
        <w:t xml:space="preserve"> </w:t>
      </w:r>
      <w:r>
        <w:t xml:space="preserve">- ✗ Because it is FDA-approved, tesamorelin is safe to use for skin. —</w:t>
      </w:r>
      <w:r>
        <w:t xml:space="preserve"> </w:t>
      </w:r>
      <w:r>
        <w:rPr>
          <w:i/>
          <w:iCs/>
        </w:rPr>
        <w:t xml:space="preserve">Approval covers one indication, and its own label lists raised IGF-1, fluid retention and glucose intolerance.</w:t>
      </w:r>
    </w:p>
    <w:p>
      <w:r>
        <w:pict>
          <v:rect style="width:0;height:1.5pt" o:hralign="center" o:hrstd="t" o:hr="t"/>
        </w:pict>
      </w:r>
    </w:p>
    <w:bookmarkEnd w:id="157"/>
    <w:bookmarkEnd w:id="158"/>
    <w:bookmarkStart w:id="183" w:name="Xe8c7545b6b7f980972282acde12209c0dba2287"/>
    <w:p>
      <w:pPr>
        <w:pStyle w:val="Heading1"/>
      </w:pPr>
      <w:r>
        <w:t xml:space="preserve">Hormones and Peptides for Skin · Module 07 — review draft</w:t>
      </w:r>
    </w:p>
    <w:p>
      <w:pPr>
        <w:pStyle w:val="FirstParagraph"/>
      </w:pPr>
      <w:r>
        <w:rPr>
          <w:i/>
          <w:iCs/>
        </w:rPr>
        <w:t xml:space="preserve">ai_draft · authored 2026-09-24 · 20 moments, ~27 min + module check · 37 sources · 20 claims</w:t>
      </w:r>
    </w:p>
    <w:p>
      <w:pPr>
        <w:pStyle w:val="BodyText"/>
      </w:pPr>
      <w:r>
        <w:t xml:space="preserve">Every factual sentence traces to the graded registry (</w:t>
      </w:r>
      <w:r>
        <w:rPr>
          <w:rStyle w:val="VerbatimChar"/>
        </w:rPr>
        <w:t xml:space="preserve">citations/m07.md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65" w:name="Xedd1554cfa136123dd227fcf3bc2d148ccb01ac"/>
    <w:p>
      <w:pPr>
        <w:pStyle w:val="Heading2"/>
      </w:pPr>
      <w:r>
        <w:t xml:space="preserve">Lesson 7.1 · Grading the evidence behind an aesthetic claim</w:t>
      </w:r>
    </w:p>
    <w:bookmarkStart w:id="159" w:name="grade-it-check-it-write-it-down."/>
    <w:p>
      <w:pPr>
        <w:pStyle w:val="Heading3"/>
      </w:pPr>
      <w:r>
        <w:t xml:space="preserve">01 / 20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US; UK and EU mapping for this course is still in progress.</w:t>
      </w:r>
    </w:p>
    <w:p>
      <w:pPr>
        <w:pStyle w:val="Compact"/>
        <w:numPr>
          <w:ilvl w:val="0"/>
          <w:numId w:val="1056"/>
        </w:numPr>
      </w:pPr>
      <w:r>
        <w:t xml:space="preserve">7.1 Grading the evidence behind an aesthetic claim</w:t>
      </w:r>
    </w:p>
    <w:p>
      <w:pPr>
        <w:pStyle w:val="Compact"/>
        <w:numPr>
          <w:ilvl w:val="0"/>
          <w:numId w:val="1056"/>
        </w:numPr>
      </w:pPr>
      <w:r>
        <w:t xml:space="preserve">7.2 Compounding law, the 40-amino-acid line and certificates of analysis</w:t>
      </w:r>
    </w:p>
    <w:p>
      <w:pPr>
        <w:pStyle w:val="Compact"/>
        <w:numPr>
          <w:ilvl w:val="0"/>
          <w:numId w:val="1056"/>
        </w:numPr>
      </w:pPr>
      <w:r>
        <w:t xml:space="preserve">7.3 Cosmetic, compounded or investigational: consent and the chart</w:t>
      </w:r>
    </w:p>
    <w:bookmarkEnd w:id="159"/>
    <w:bookmarkStart w:id="160" w:name="Xf1f737f3136c767c1f12b443976753840513c48"/>
    <w:p>
      <w:pPr>
        <w:pStyle w:val="Heading3"/>
      </w:pPr>
      <w:r>
        <w:t xml:space="preserve">02 / 20 · GRADE rates certainty in an effect, one outcome at a time.</w:t>
      </w:r>
    </w:p>
    <w:p>
      <w:pPr>
        <w:pStyle w:val="FirstParagraph"/>
      </w:pPr>
      <w:r>
        <w:rPr>
          <w:i/>
          <w:iCs/>
        </w:rPr>
        <w:t xml:space="preserve">Lesson 7.1 · Concept · audio</w:t>
      </w:r>
    </w:p>
    <w:p>
      <w:pPr>
        <w:pStyle w:val="BodyText"/>
      </w:pPr>
      <w:r>
        <w:t xml:space="preserve">GRADE sorts the evidence on a specific question into four levels of certainty: high, moderate, low and very low. The rating applies to a body of evidence for one outcome, never to a single study or to a molecule. Randomized trials start high and observational studies start low; certainty then falls for risk of bias, inconsistency, indirectness, imprecision or suspected publication bias, and occasionally rises for a very large effect. Both Hormonaly guides print the letters A to D for the same idea, adapted, and attach each letter to a specific use.</w:t>
      </w:r>
    </w:p>
    <w:p>
      <w:pPr>
        <w:pStyle w:val="Compact"/>
        <w:numPr>
          <w:ilvl w:val="0"/>
          <w:numId w:val="1057"/>
        </w:numPr>
      </w:pPr>
      <w:r>
        <w:t xml:space="preserve">Four levels, applied to a body of evidence</w:t>
      </w:r>
    </w:p>
    <w:p>
      <w:pPr>
        <w:pStyle w:val="Compact"/>
        <w:numPr>
          <w:ilvl w:val="0"/>
          <w:numId w:val="1057"/>
        </w:numPr>
      </w:pPr>
      <w:r>
        <w:t xml:space="preserve">Five named reasons to rate down</w:t>
      </w:r>
    </w:p>
    <w:p>
      <w:pPr>
        <w:pStyle w:val="Compact"/>
        <w:numPr>
          <w:ilvl w:val="0"/>
          <w:numId w:val="1057"/>
        </w:numPr>
      </w:pPr>
      <w:r>
        <w:t xml:space="preserve">The letter belongs to a use, never to a molecule</w:t>
      </w:r>
    </w:p>
    <w:p>
      <w:pPr>
        <w:pStyle w:val="FirstParagraph"/>
      </w:pPr>
      <w:r>
        <w:t xml:space="preserve">Narration script</w:t>
      </w:r>
    </w:p>
    <w:p>
      <w:pPr>
        <w:pStyle w:val="BodyText"/>
      </w:pPr>
      <w:r>
        <w:t xml:space="preserve">Every claim you hear about a skin peptide carries a hidden question. How sure can we be? GRADE answers it with four levels of certainty, from high to very low. The rating belongs to a body of evidence for one outcome, such as wrinkle depth at twelve weeks, and never to a single study or to the molecule itself. Randomized trials start high and observational studies start low. From there, certainty drops for five reasons you can name, which are risk of bias, inconsistency between trials, indirectness, imprecision, and suspected publication bias. It can occasionally rise, for example when an effect is very large. Both Hormonaly guides print a letter from A to D beside each use. Read those letters as the same four levels, adapted. They rate the evidence for that use, and they say nothing about whether a product is legal.</w:t>
      </w:r>
    </w:p>
    <w:p>
      <w:pPr>
        <w:pStyle w:val="BodyText"/>
      </w:pPr>
      <w:r>
        <w:t xml:space="preserve">Sources: Balshem H 2011 · Guyatt GH 2008 · Guyatt G 2025 · The Peptide Pocket Guide — 2026 Edition · Clinical Reference (seventy-two entries) 2026 · Aesthetic &amp; Regenerative Endocrinology — A Clinician's Pocket Guide 2026</w:t>
      </w:r>
    </w:p>
    <w:bookmarkEnd w:id="160"/>
    <w:bookmarkStart w:id="161" w:name="sponsored-studies-come-out-better."/>
    <w:p>
      <w:pPr>
        <w:pStyle w:val="Heading3"/>
      </w:pPr>
      <w:r>
        <w:t xml:space="preserve">03 / 20 · Sponsored studies come out better.</w:t>
      </w:r>
    </w:p>
    <w:p>
      <w:pPr>
        <w:pStyle w:val="FirstParagraph"/>
      </w:pPr>
      <w:r>
        <w:rPr>
          <w:i/>
          <w:iCs/>
        </w:rPr>
        <w:t xml:space="preserve">Who paid · stat</w:t>
      </w:r>
    </w:p>
    <w:p>
      <w:pPr>
        <w:pStyle w:val="BodyText"/>
      </w:pPr>
      <w:r>
        <w:t xml:space="preserve">A Cochrane methodology review brought together 75 papers, each comparing studies sponsored by the manufacturer with studies funded in other ways. Industry-sponsored drug and device studies more often reported favourable efficacy results and favourable conclusions, and the difference was not explained by the usual risk-of-bias checks. It is the pattern you met with oral collagen in module 04.</w:t>
      </w:r>
    </w:p>
    <w:p>
      <w:pPr>
        <w:pStyle w:val="BodyText"/>
      </w:pPr>
      <w:r>
        <w:rPr>
          <w:b/>
          <w:bCs/>
        </w:rPr>
        <w:t xml:space="preserve">1.27</w:t>
      </w:r>
      <w:r>
        <w:t xml:space="preserve"> </w:t>
      </w:r>
      <w:r>
        <w:t xml:space="preserve">— risk ratio for a favourable efficacy result, industry-sponsored versus other studies (Lundh et al., Cochrane 2017 · 95% CI 1.17–1.37 · moderate-certainty evidence)</w:t>
      </w:r>
      <w:r>
        <w:br/>
      </w:r>
      <w:r>
        <w:rPr>
          <w:i/>
          <w:iCs/>
        </w:rPr>
        <w:t xml:space="preserve">Means:</w:t>
      </w:r>
      <w:r>
        <w:t xml:space="preserve"> </w:t>
      </w:r>
      <w:r>
        <w:t xml:space="preserve">When a manufacturer pays for the trial, a favourable result is more likely. Funding is a reason to read a trial harder and to look for independent replication.</w:t>
      </w:r>
      <w:r>
        <w:br/>
      </w:r>
      <w:r>
        <w:rPr>
          <w:i/>
          <w:iCs/>
        </w:rPr>
        <w:t xml:space="preserve">Does not mean:</w:t>
      </w:r>
      <w:r>
        <w:t xml:space="preserve"> </w:t>
      </w:r>
      <w:r>
        <w:t xml:space="preserve">It does not make a sponsored trial wrong or an independent one right. It describes an average tilt across many studies and says nothing about any single product.</w:t>
      </w:r>
    </w:p>
    <w:p>
      <w:pPr>
        <w:pStyle w:val="BodyText"/>
      </w:pPr>
      <w:r>
        <w:t xml:space="preserve">Sources: Lundh A 2017 · Myung SK 2025 · Guyatt G 2025</w:t>
      </w:r>
    </w:p>
    <w:bookmarkEnd w:id="161"/>
    <w:bookmarkStart w:id="162" w:name="name-what-lowers-certainty."/>
    <w:p>
      <w:pPr>
        <w:pStyle w:val="Heading3"/>
      </w:pPr>
      <w:r>
        <w:t xml:space="preserve">04 / 20 · Name what lowers certainty.</w:t>
      </w:r>
    </w:p>
    <w:p>
      <w:pPr>
        <w:pStyle w:val="FirstParagraph"/>
      </w:pPr>
      <w:r>
        <w:rPr>
          <w:i/>
          <w:iCs/>
        </w:rPr>
        <w:t xml:space="preserve">Worked example · tool</w:t>
      </w:r>
    </w:p>
    <w:p>
      <w:pPr>
        <w:pStyle w:val="BodyText"/>
      </w:pPr>
      <w:r>
        <w:t xml:space="preserve">GRADE names the ways a body of evidence can mislead. Read the four you will use most. Then sort four cases from this course by the reason that most lowers certainty. The fifth, publication bias, is suspected when the evidence is a handful of small, mostly commercially funded studies.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Risk of bias</w:t>
            </w:r>
          </w:p>
        </w:tc>
        <w:tc>
          <w:tcPr/>
          <w:p>
            <w:pPr>
              <w:pStyle w:val="Compact"/>
            </w:pPr>
            <w:r>
              <w:t xml:space="preserve">How the trials were run</w:t>
            </w:r>
          </w:p>
        </w:tc>
        <w:tc>
          <w:tcPr/>
          <w:p>
            <w:pPr>
              <w:pStyle w:val="Compact"/>
            </w:pPr>
            <w:r>
              <w:t xml:space="preserve">Flaws in design or conduct that can exaggerate an effect; check whether low- and high-quality trials disagree</w:t>
            </w:r>
          </w:p>
        </w:tc>
      </w:tr>
      <w:tr>
        <w:tc>
          <w:tcPr/>
          <w:p>
            <w:pPr>
              <w:pStyle w:val="Compact"/>
            </w:pPr>
            <w:r>
              <w:t xml:space="preserve">Inconsistency</w:t>
            </w:r>
          </w:p>
        </w:tc>
        <w:tc>
          <w:tcPr/>
          <w:p>
            <w:pPr>
              <w:pStyle w:val="Compact"/>
            </w:pPr>
            <w:r>
              <w:t xml:space="preserve">The trials disagree</w:t>
            </w:r>
          </w:p>
        </w:tc>
        <w:tc>
          <w:tcPr/>
          <w:p>
            <w:pPr>
              <w:pStyle w:val="Compact"/>
            </w:pPr>
            <w:r>
              <w:t xml:space="preserve">Unexplained differences in results between studies of the same question</w:t>
            </w:r>
          </w:p>
        </w:tc>
      </w:tr>
      <w:tr>
        <w:tc>
          <w:tcPr/>
          <w:p>
            <w:pPr>
              <w:pStyle w:val="Compact"/>
            </w:pPr>
            <w:r>
              <w:t xml:space="preserve">Indirectness</w:t>
            </w:r>
          </w:p>
        </w:tc>
        <w:tc>
          <w:tcPr/>
          <w:p>
            <w:pPr>
              <w:pStyle w:val="Compact"/>
            </w:pPr>
            <w:r>
              <w:t xml:space="preserve">A different question answered</w:t>
            </w:r>
          </w:p>
        </w:tc>
        <w:tc>
          <w:tcPr/>
          <w:p>
            <w:pPr>
              <w:pStyle w:val="Compact"/>
            </w:pPr>
            <w:r>
              <w:t xml:space="preserve">The studies differ from your question in population, intervention, comparison or outcome</w:t>
            </w:r>
          </w:p>
        </w:tc>
      </w:tr>
      <w:tr>
        <w:tc>
          <w:tcPr/>
          <w:p>
            <w:pPr>
              <w:pStyle w:val="Compact"/>
            </w:pPr>
            <w:r>
              <w:t xml:space="preserve">Imprecision</w:t>
            </w:r>
          </w:p>
        </w:tc>
        <w:tc>
          <w:tcPr/>
          <w:p>
            <w:pPr>
              <w:pStyle w:val="Compact"/>
            </w:pPr>
            <w:r>
              <w:t xml:space="preserve">Too little data</w:t>
            </w:r>
          </w:p>
        </w:tc>
        <w:tc>
          <w:tcPr/>
          <w:p>
            <w:pPr>
              <w:pStyle w:val="Compact"/>
            </w:pPr>
            <w:r>
              <w:t xml:space="preserve">Too few people or events; the confidence interval spans an important effect and little or none</w:t>
            </w:r>
          </w:p>
        </w:tc>
      </w:tr>
    </w:tbl>
    <w:p>
      <w:pPr>
        <w:pStyle w:val="BodyText"/>
      </w:pPr>
      <w:r>
        <w:rPr>
          <w:b/>
          <w:bCs/>
        </w:rPr>
        <w:t xml:space="preserve">Callout:</w:t>
      </w:r>
      <w:r>
        <w:t xml:space="preserve"> </w:t>
      </w:r>
      <w:r>
        <w:t xml:space="preserve">Name the reason and you can explain a grade to a patient in one sentence.</w:t>
      </w:r>
    </w:p>
    <w:p>
      <w:pPr>
        <w:pStyle w:val="BodyText"/>
      </w:pPr>
      <w:r>
        <w:rPr>
          <w:b/>
          <w:bCs/>
        </w:rPr>
        <w:t xml:space="preserve">Exercise (quickfire) · Name the problem</w:t>
      </w:r>
      <w:r>
        <w:t xml:space="preserve"> </w:t>
      </w:r>
      <w:r>
        <w:t xml:space="preserve">— One case at a time: which reason most lowers certainty here?</w:t>
      </w:r>
      <w:r>
        <w:t xml:space="preserve"> </w:t>
      </w:r>
      <w:r>
        <w:t xml:space="preserve">- Topical GHK-Cu: the only indexed trial measured healing after laser resurfacing. Your patient asks about photoageing. →</w:t>
      </w:r>
      <w:r>
        <w:t xml:space="preserve"> </w:t>
      </w:r>
      <w:r>
        <w:rPr>
          <w:b/>
          <w:bCs/>
        </w:rPr>
        <w:t xml:space="preserve">Indirectness</w:t>
      </w:r>
      <w:r>
        <w:t xml:space="preserve"> </w:t>
      </w:r>
      <w:r>
        <w:t xml:space="preserve">—</w:t>
      </w:r>
      <w:r>
        <w:t xml:space="preserve"> </w:t>
      </w:r>
      <w:r>
        <w:rPr>
          <w:i/>
          <w:iCs/>
        </w:rPr>
        <w:t xml:space="preserve">Indirectness. The trial's outcome, healing after resurfacing, is a neighbour of your patient's question, photoageing, so it answers a different question.</w:t>
      </w:r>
      <w:r>
        <w:t xml:space="preserve"> </w:t>
      </w:r>
      <w:r>
        <w:t xml:space="preserve">- LL-37 in venous leg ulcers: a 34-person trial was positive; a 148-person multicentre trial was negative in its full cohort. →</w:t>
      </w:r>
      <w:r>
        <w:t xml:space="preserve"> </w:t>
      </w:r>
      <w:r>
        <w:rPr>
          <w:b/>
          <w:bCs/>
        </w:rPr>
        <w:t xml:space="preserve">Inconsistency</w:t>
      </w:r>
      <w:r>
        <w:t xml:space="preserve"> </w:t>
      </w:r>
      <w:r>
        <w:t xml:space="preserve">—</w:t>
      </w:r>
      <w:r>
        <w:t xml:space="preserve"> </w:t>
      </w:r>
      <w:r>
        <w:rPr>
          <w:i/>
          <w:iCs/>
        </w:rPr>
        <w:t xml:space="preserve">Inconsistency. Two randomized trials of the same question point in different directions, and the larger one found no effect overall.</w:t>
      </w:r>
      <w:r>
        <w:t xml:space="preserve"> </w:t>
      </w:r>
      <w:r>
        <w:t xml:space="preserve">- Oral collagen: the pooled benefit disappears when only high-quality trials are kept. →</w:t>
      </w:r>
      <w:r>
        <w:t xml:space="preserve"> </w:t>
      </w:r>
      <w:r>
        <w:rPr>
          <w:b/>
          <w:bCs/>
        </w:rPr>
        <w:t xml:space="preserve">Risk of bias</w:t>
      </w:r>
      <w:r>
        <w:t xml:space="preserve"> </w:t>
      </w:r>
      <w:r>
        <w:t xml:space="preserve">—</w:t>
      </w:r>
      <w:r>
        <w:t xml:space="preserve"> </w:t>
      </w:r>
      <w:r>
        <w:rPr>
          <w:i/>
          <w:iCs/>
        </w:rPr>
        <w:t xml:space="preserve">Risk of bias. When low- and high-quality trials disagree, GRADE gives the high-quality ones the weight, and here they show no effect.</w:t>
      </w:r>
      <w:r>
        <w:t xml:space="preserve"> </w:t>
      </w:r>
      <w:r>
        <w:t xml:space="preserve">- BPC-157 for skin healing: the wound data come from animal models, mostly rodents. →</w:t>
      </w:r>
      <w:r>
        <w:t xml:space="preserve"> </w:t>
      </w:r>
      <w:r>
        <w:rPr>
          <w:b/>
          <w:bCs/>
        </w:rPr>
        <w:t xml:space="preserve">Indirectness</w:t>
      </w:r>
      <w:r>
        <w:t xml:space="preserve"> </w:t>
      </w:r>
      <w:r>
        <w:t xml:space="preserve">—</w:t>
      </w:r>
      <w:r>
        <w:t xml:space="preserve"> </w:t>
      </w:r>
      <w:r>
        <w:rPr>
          <w:i/>
          <w:iCs/>
        </w:rPr>
        <w:t xml:space="preserve">Indirectness. The population is animals and your question is about people, as indirect as evidence gets.</w:t>
      </w:r>
    </w:p>
    <w:p>
      <w:pPr>
        <w:pStyle w:val="BodyText"/>
      </w:pPr>
      <w:r>
        <w:t xml:space="preserve">Sources: Guyatt G 2025 · Guyatt G 2025 · Guyatt G 2025 · Guyatt G 2025 · Miller TR 2006 · Grönberg A 2014 · Mahlapuu M 2021 · Myung SK 2025 · Seiwerth S 2021</w:t>
      </w:r>
    </w:p>
    <w:bookmarkEnd w:id="162"/>
    <w:bookmarkStart w:id="163" w:name="two-checks-never-one."/>
    <w:p>
      <w:pPr>
        <w:pStyle w:val="Heading3"/>
      </w:pPr>
      <w:r>
        <w:t xml:space="preserve">05 / 20 · Two checks, never one.</w:t>
      </w:r>
    </w:p>
    <w:p>
      <w:pPr>
        <w:pStyle w:val="FirstParagraph"/>
      </w:pPr>
      <w:r>
        <w:rPr>
          <w:i/>
          <w:iCs/>
        </w:rPr>
        <w:t xml:space="preserve">What changes in practice · audio</w:t>
      </w:r>
    </w:p>
    <w:p>
      <w:pPr>
        <w:pStyle w:val="BodyText"/>
      </w:pPr>
      <w:r>
        <w:t xml:space="preserve">Evidence grade and regulatory status are separate axes, and both Hormonaly guides ask you to clear both. An approved drug can carry a low grade for the use a patient wants, and a compound with stronger human data can still have no lawful route. A plausible mechanism never raises a grade. Say the outcome, the grade and who ran the trials, then check the status as its own step.</w:t>
      </w:r>
    </w:p>
    <w:p>
      <w:pPr>
        <w:pStyle w:val="Compact"/>
        <w:numPr>
          <w:ilvl w:val="0"/>
          <w:numId w:val="1058"/>
        </w:numPr>
      </w:pPr>
      <w:r>
        <w:t xml:space="preserve">Grade: certainty for this outcome</w:t>
      </w:r>
    </w:p>
    <w:p>
      <w:pPr>
        <w:pStyle w:val="Compact"/>
        <w:numPr>
          <w:ilvl w:val="0"/>
          <w:numId w:val="1058"/>
        </w:numPr>
      </w:pPr>
      <w:r>
        <w:t xml:space="preserve">Status: what the law allows, checked separately</w:t>
      </w:r>
    </w:p>
    <w:p>
      <w:pPr>
        <w:pStyle w:val="Compact"/>
        <w:numPr>
          <w:ilvl w:val="0"/>
          <w:numId w:val="1058"/>
        </w:numPr>
      </w:pPr>
      <w:r>
        <w:t xml:space="preserve">Mechanism never raises a grade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you recommend or prescribe, write the outcome and its grade in the note, and record the product's regulatory status on a separate line. If no trial addresses the outcome the patient wants, say so and record it.</w:t>
      </w:r>
      <w:r>
        <w:t xml:space="preserve"> </w:t>
      </w:r>
      <w:r>
        <w:t xml:space="preserve">-</w:t>
      </w:r>
      <w:r>
        <w:t xml:space="preserve"> </w:t>
      </w:r>
      <w:r>
        <w:rPr>
          <w:i/>
          <w:iCs/>
        </w:rPr>
        <w:t xml:space="preserve">Clinical staff:</w:t>
      </w:r>
      <w:r>
        <w:t xml:space="preserve"> </w:t>
      </w:r>
      <w:r>
        <w:t xml:space="preserve">When a patient quotes a result, note which outcome it was and where it came from, and pass questions about grades and status to the prescriber rather than rating the product yourself.</w:t>
      </w:r>
      <w:r>
        <w:t xml:space="preserve"> </w:t>
      </w:r>
      <w:r>
        <w:t xml:space="preserve">-</w:t>
      </w:r>
      <w:r>
        <w:t xml:space="preserve"> </w:t>
      </w:r>
      <w:r>
        <w:rPr>
          <w:i/>
          <w:iCs/>
        </w:rPr>
        <w:t xml:space="preserve">Advisor:</w:t>
      </w:r>
      <w:r>
        <w:t xml:space="preserve"> </w:t>
      </w:r>
      <w:r>
        <w:t xml:space="preserve">Describe what a product has been shown to do, for which outcome, and who funded the trials. Leave the question of whether it can lawfully be prescribed to a prescriber.</w:t>
      </w:r>
    </w:p>
    <w:p>
      <w:pPr>
        <w:pStyle w:val="BodyText"/>
      </w:pPr>
      <w:r>
        <w:t xml:space="preserve">Narration script</w:t>
      </w:r>
    </w:p>
    <w:p>
      <w:pPr>
        <w:pStyle w:val="BodyText"/>
      </w:pPr>
      <w:r>
        <w:t xml:space="preserve">Suppose a patient asks whether a peptide works. Start with the outcome they care about, say fewer lines around the eyes, and give the certainty for that outcome, along with who paid for the trials behind it. Then, as a separate step, check what the product legally is. The Hormonaly guides keep these two checks apart for a reason. An approved drug can carry a low grade for the particular use a patient has in mind, and a compound with stronger human data may still have no lawful route in the United States. A persuasive mechanism leaves the grade exactly where it is. Whatever your role, say the outcome and the grade in one breath, and treat the regulatory answer as a question of its own.</w:t>
      </w:r>
    </w:p>
    <w:p>
      <w:pPr>
        <w:pStyle w:val="BodyText"/>
      </w:pPr>
      <w:r>
        <w:t xml:space="preserve">Sources: The Peptide Pocket Guide — 2026 Edition · Clinical Reference (seventy-two entries) 2026 · Aesthetic &amp; Regenerative Endocrinology — A Clinician's Pocket Guide 2026 · Balshem H 2011 · Lundh A 2017</w:t>
      </w:r>
    </w:p>
    <w:bookmarkEnd w:id="163"/>
    <w:bookmarkStart w:id="164" w:name="three-trials-grade-a"/>
    <w:p>
      <w:pPr>
        <w:pStyle w:val="Heading3"/>
      </w:pPr>
      <w:r>
        <w:t xml:space="preserve">06 / 20 · Three trials, grade A?</w:t>
      </w:r>
    </w:p>
    <w:p>
      <w:pPr>
        <w:pStyle w:val="FirstParagraph"/>
      </w:pPr>
      <w:r>
        <w:rPr>
          <w:i/>
          <w:iCs/>
        </w:rPr>
        <w:t xml:space="preserve">Your turn · quiz</w:t>
      </w:r>
    </w:p>
    <w:p>
      <w:pPr>
        <w:pStyle w:val="BodyText"/>
      </w:pPr>
      <w:r>
        <w:t xml:space="preserve">One question to close lesson 7.1.</w:t>
      </w:r>
    </w:p>
    <w:p>
      <w:pPr>
        <w:pStyle w:val="BodyText"/>
      </w:pPr>
      <w:r>
        <w:rPr>
          <w:b/>
          <w:bCs/>
        </w:rPr>
        <w:t xml:space="preserve">Q.</w:t>
      </w:r>
      <w:r>
        <w:t xml:space="preserve"> </w:t>
      </w:r>
      <w:r>
        <w:t xml:space="preserve">A fictional serum's brochure says 'GRADE A: three randomized trials'. All three were run by the maker, enrolled 20 to 30 people each, lasted four weeks and measured skin hydration. Your patient wants fewer wrinkles. What is the most defensible certainty for that outcome?</w:t>
      </w:r>
      <w:r>
        <w:t xml:space="preserve"> </w:t>
      </w:r>
      <w:r>
        <w:t xml:space="preserve">- ✗ High, because three randomized trials agree. —</w:t>
      </w:r>
      <w:r>
        <w:t xml:space="preserve"> </w:t>
      </w:r>
      <w:r>
        <w:rPr>
          <w:i/>
          <w:iCs/>
        </w:rPr>
        <w:t xml:space="preserve">Randomized trials start high, but these are small, sponsor-run and measured a different outcome, and each of those lowers certainty.</w:t>
      </w:r>
      <w:r>
        <w:t xml:space="preserve"> </w:t>
      </w:r>
      <w:r>
        <w:t xml:space="preserve">- ✔ Low or very low: small sponsor-run trials that measured hydration, not wrinkles. —</w:t>
      </w:r>
      <w:r>
        <w:t xml:space="preserve"> </w:t>
      </w:r>
      <w:r>
        <w:rPr>
          <w:i/>
          <w:iCs/>
        </w:rPr>
        <w:t xml:space="preserve">Correct. Indirectness (the wrong outcome), imprecision (few people) and suspected publication bias (small industry-funded studies) all rate it down.</w:t>
      </w:r>
      <w:r>
        <w:t xml:space="preserve"> </w:t>
      </w:r>
      <w:r>
        <w:t xml:space="preserve">- ✗ It cannot be graded, because industry-funded trials are invalid. —</w:t>
      </w:r>
      <w:r>
        <w:t xml:space="preserve"> </w:t>
      </w:r>
      <w:r>
        <w:rPr>
          <w:i/>
          <w:iCs/>
        </w:rPr>
        <w:t xml:space="preserve">Sponsored trials are still evidence. Funding is a reason to rate cautiously and to look for replication; it never deletes a trial.</w:t>
      </w:r>
    </w:p>
    <w:bookmarkEnd w:id="164"/>
    <w:bookmarkEnd w:id="165"/>
    <w:bookmarkStart w:id="174" w:name="Xf5176edd93e4a5c8395d3707e9b4f71345197e8"/>
    <w:p>
      <w:pPr>
        <w:pStyle w:val="Heading2"/>
      </w:pPr>
      <w:r>
        <w:t xml:space="preserve">Lesson 7.2 · Compounding law, the 40-amino-acid line and certificates of analysis</w:t>
      </w:r>
    </w:p>
    <w:bookmarkStart w:id="166" w:name="two-compounding-routes-one-strict-order."/>
    <w:p>
      <w:pPr>
        <w:pStyle w:val="Heading3"/>
      </w:pPr>
      <w:r>
        <w:t xml:space="preserve">07 / 20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59"/>
        </w:numPr>
      </w:pPr>
      <w:r>
        <w:t xml:space="preserve">503A: patient-specific, three exemptions</w:t>
      </w:r>
    </w:p>
    <w:p>
      <w:pPr>
        <w:pStyle w:val="Compact"/>
        <w:numPr>
          <w:ilvl w:val="0"/>
          <w:numId w:val="1059"/>
        </w:numPr>
      </w:pPr>
      <w:r>
        <w:t xml:space="preserve">Monograph, then approved component, then the bulks list</w:t>
      </w:r>
    </w:p>
    <w:p>
      <w:pPr>
        <w:pStyle w:val="Compact"/>
        <w:numPr>
          <w:ilvl w:val="0"/>
          <w:numId w:val="1059"/>
        </w:numPr>
      </w:pPr>
      <w:r>
        <w:t xml:space="preserve">503B: registered, inspected, held to good manufacturing practice</w:t>
      </w:r>
    </w:p>
    <w:p>
      <w:pPr>
        <w:pStyle w:val="FirstParagraph"/>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bookmarkEnd w:id="166"/>
    <w:bookmarkStart w:id="167" w:name="X6a4a02fbc04f985bae7952ea7d80ae1bf8acfec"/>
    <w:p>
      <w:pPr>
        <w:pStyle w:val="Heading3"/>
      </w:pPr>
      <w:r>
        <w:t xml:space="preserve">08 / 20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bookmarkEnd w:id="167"/>
    <w:bookmarkStart w:id="168" w:name="forty-amino-acids."/>
    <w:p>
      <w:pPr>
        <w:pStyle w:val="Heading3"/>
      </w:pPr>
      <w:r>
        <w:t xml:space="preserve">09 / 20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t xml:space="preserve">Sources: US Food and Drug Administration 2020 · US Food and Drug Administration 2020 · US Food and Drug Administration 2020 · US District Court 2025 · US Court of Appeals for the Seventh Circuit 2026 · The Peptide Pocket Guide — 2026 Edition · Clinical Reference (seventy-two entries) 2026</w:t>
      </w:r>
    </w:p>
    <w:bookmarkEnd w:id="168"/>
    <w:bookmarkStart w:id="169" w:name="what-a-certificate-can-and-cannot-prove."/>
    <w:p>
      <w:pPr>
        <w:pStyle w:val="Heading3"/>
      </w:pPr>
      <w:r>
        <w:t xml:space="preserve">10 / 20 · What a certificate can and cannot prove.</w:t>
      </w:r>
    </w:p>
    <w:p>
      <w:pPr>
        <w:pStyle w:val="FirstParagraph"/>
      </w:pPr>
      <w:r>
        <w:rPr>
          <w:i/>
          <w:iCs/>
        </w:rPr>
        <w:t xml:space="preserve">Concept · audio</w:t>
      </w:r>
    </w:p>
    <w:p>
      <w:pPr>
        <w:pStyle w:val="BodyText"/>
      </w:pPr>
      <w:r>
        <w:t xml:space="preserve">A certificate of analysis is the supplier's own report on a named lot. Mass spectrometry checks identity, and a careful certificate prints the expected mass beside the observed one. HPLC gives purity as a percentage, which says nothing about what the impurities are. Endotoxin, microbial, water, counter-ion, metal and solvent results complete it. A certificate cannot prove that the vial in your hand came from that lot, how it was stored since, or that it is sterile and suitable to inject.</w:t>
      </w:r>
    </w:p>
    <w:p>
      <w:pPr>
        <w:pStyle w:val="Compact"/>
        <w:numPr>
          <w:ilvl w:val="0"/>
          <w:numId w:val="1060"/>
        </w:numPr>
      </w:pPr>
      <w:r>
        <w:t xml:space="preserve">Identity: mass spectrometry, observed against expected</w:t>
      </w:r>
    </w:p>
    <w:p>
      <w:pPr>
        <w:pStyle w:val="Compact"/>
        <w:numPr>
          <w:ilvl w:val="0"/>
          <w:numId w:val="1060"/>
        </w:numPr>
      </w:pPr>
      <w:r>
        <w:t xml:space="preserve">Purity: an HPLC percentage, impurities unnamed</w:t>
      </w:r>
    </w:p>
    <w:p>
      <w:pPr>
        <w:pStyle w:val="Compact"/>
        <w:numPr>
          <w:ilvl w:val="0"/>
          <w:numId w:val="1060"/>
        </w:numPr>
      </w:pPr>
      <w:r>
        <w:t xml:space="preserve">Suitability to inject needs sterility, endotoxin and the right lot</w:t>
      </w:r>
    </w:p>
    <w:p>
      <w:pPr>
        <w:pStyle w:val="FirstParagraph"/>
      </w:pPr>
      <w:r>
        <w:t xml:space="preserve">Narration script</w:t>
      </w:r>
    </w:p>
    <w:p>
      <w:pPr>
        <w:pStyle w:val="BodyText"/>
      </w:pPr>
      <w:r>
        <w:t xml:space="preserve">Picture the certificate a patient hands you, and read it line by line, asking what each line actually tests. Mass spectrometry checks identity, and a careful certificate shows the expected mass next to the one measured. HPLC reports purity as a percentage of the main peak, which tells you how much else is present and nothing about what that something else is. Endotoxin matters for anything injected, and FDA's guidance says the acceptable limit is calculated from the dose and the route, so a bare figure settles little. When FDA reviewed BPC-157 for its advisory committee, most public certificates listed purity alone, and the one a nominator supplied mentioned no endotoxin test. Then remember what paper cannot do. A certificate describes a lot. It cannot show that your vial came from that lot, how the vial was stored, or that it is sterile.</w:t>
      </w:r>
    </w:p>
    <w:p>
      <w:pPr>
        <w:pStyle w:val="BodyText"/>
      </w:pPr>
      <w:r>
        <w:t xml:space="preserve">Sources: The Peptide Pocket Guide — 2026 Edition · Clinical Reference (seventy-two entries) 2026 · US Food and Drug Administration 2026 · US Food and Drug Administration 2026 · Popławska M 2019 · United States Code (as codified) 2026</w:t>
      </w:r>
    </w:p>
    <w:bookmarkEnd w:id="169"/>
    <w:bookmarkStart w:id="170" w:name="audit-this-certificate."/>
    <w:p>
      <w:pPr>
        <w:pStyle w:val="Heading3"/>
      </w:pPr>
      <w:r>
        <w:t xml:space="preserve">11 / 20 · Audit this certificate.</w:t>
      </w:r>
    </w:p>
    <w:p>
      <w:pPr>
        <w:pStyle w:val="FirstParagraph"/>
      </w:pPr>
      <w:r>
        <w:rPr>
          <w:i/>
          <w:iCs/>
        </w:rPr>
        <w:t xml:space="preserve">Fictional certificate · tool</w:t>
      </w:r>
    </w:p>
    <w:p>
      <w:pPr>
        <w:pStyle w:val="BodyText"/>
      </w:pPr>
      <w:r>
        <w:t xml:space="preserve">A fictional certificate for a vial of a research-use-only peptide, sold online with injection instructions. Read each line, then decide which would count as useful evidence if it matched the vial, and which are red flags.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Lot number</w:t>
            </w:r>
          </w:p>
        </w:tc>
        <w:tc>
          <w:tcPr/>
          <w:p>
            <w:pPr>
              <w:pStyle w:val="Compact"/>
            </w:pPr>
            <w:r>
              <w:t xml:space="preserve">Printed</w:t>
            </w:r>
          </w:p>
        </w:tc>
        <w:tc>
          <w:tcPr/>
          <w:p>
            <w:pPr>
              <w:pStyle w:val="Compact"/>
            </w:pPr>
            <w:r>
              <w:t xml:space="preserve">Same number as on the vial label</w:t>
            </w:r>
          </w:p>
        </w:tc>
      </w:tr>
      <w:tr>
        <w:tc>
          <w:tcPr/>
          <w:p>
            <w:pPr>
              <w:pStyle w:val="Compact"/>
            </w:pPr>
            <w:r>
              <w:t xml:space="preserve">Purity (HPLC)</w:t>
            </w:r>
          </w:p>
        </w:tc>
        <w:tc>
          <w:tcPr/>
          <w:p>
            <w:pPr>
              <w:pStyle w:val="Compact"/>
            </w:pPr>
            <w:r>
              <w:t xml:space="preserve">99.2%</w:t>
            </w:r>
          </w:p>
        </w:tc>
        <w:tc>
          <w:tcPr/>
          <w:p>
            <w:pPr>
              <w:pStyle w:val="Compact"/>
            </w:pPr>
            <w:r>
              <w:t xml:space="preserve">No chromatogram attached</w:t>
            </w:r>
          </w:p>
        </w:tc>
      </w:tr>
      <w:tr>
        <w:tc>
          <w:tcPr/>
          <w:p>
            <w:pPr>
              <w:pStyle w:val="Compact"/>
            </w:pPr>
            <w:r>
              <w:t xml:space="preserve">Identity (mass spectrometry)</w:t>
            </w:r>
          </w:p>
        </w:tc>
        <w:tc>
          <w:tcPr/>
          <w:p>
            <w:pPr>
              <w:pStyle w:val="Compact"/>
            </w:pPr>
            <w:r>
              <w:t xml:space="preserve">Conforms</w:t>
            </w:r>
          </w:p>
        </w:tc>
        <w:tc>
          <w:tcPr/>
          <w:p>
            <w:pPr>
              <w:pStyle w:val="Compact"/>
            </w:pPr>
            <w:r>
              <w:t xml:space="preserve">Expected and observed mass both printed; spectrum attached</w:t>
            </w:r>
          </w:p>
        </w:tc>
      </w:tr>
      <w:tr>
        <w:tc>
          <w:tcPr/>
          <w:p>
            <w:pPr>
              <w:pStyle w:val="Compact"/>
            </w:pPr>
            <w:r>
              <w:t xml:space="preserve">Impurities</w:t>
            </w:r>
          </w:p>
        </w:tc>
        <w:tc>
          <w:tcPr/>
          <w:p>
            <w:pPr>
              <w:pStyle w:val="Compact"/>
            </w:pPr>
            <w:r>
              <w:t xml:space="preserve">Not listed</w:t>
            </w:r>
          </w:p>
        </w:tc>
        <w:tc>
          <w:tcPr/>
          <w:p>
            <w:pPr>
              <w:pStyle w:val="Compact"/>
            </w:pPr>
            <w:r>
              <w:t xml:space="preserve">No impurity limits or results</w:t>
            </w:r>
          </w:p>
        </w:tc>
      </w:tr>
      <w:tr>
        <w:tc>
          <w:tcPr/>
          <w:p>
            <w:pPr>
              <w:pStyle w:val="Compact"/>
            </w:pPr>
            <w:r>
              <w:t xml:space="preserve">Endotoxin</w:t>
            </w:r>
          </w:p>
        </w:tc>
        <w:tc>
          <w:tcPr/>
          <w:p>
            <w:pPr>
              <w:pStyle w:val="Compact"/>
            </w:pPr>
            <w:r>
              <w:t xml:space="preserve">Not tested</w:t>
            </w:r>
          </w:p>
        </w:tc>
        <w:tc>
          <w:tcPr/>
          <w:p>
            <w:pPr>
              <w:pStyle w:val="Compact"/>
            </w:pPr>
            <w:r>
              <w:t xml:space="preserve">Product page describes injection</w:t>
            </w:r>
          </w:p>
        </w:tc>
      </w:tr>
      <w:tr>
        <w:tc>
          <w:tcPr/>
          <w:p>
            <w:pPr>
              <w:pStyle w:val="Compact"/>
            </w:pPr>
            <w:r>
              <w:t xml:space="preserve">Test date</w:t>
            </w:r>
          </w:p>
        </w:tc>
        <w:tc>
          <w:tcPr/>
          <w:p>
            <w:pPr>
              <w:pStyle w:val="Compact"/>
            </w:pPr>
            <w:r>
              <w:t xml:space="preserve">20 months before purchase</w:t>
            </w:r>
          </w:p>
        </w:tc>
        <w:tc>
          <w:tcPr/>
          <w:p>
            <w:pPr>
              <w:pStyle w:val="Compact"/>
            </w:pPr>
            <w:r>
              <w:t xml:space="preserve">No retest shown</w:t>
            </w:r>
          </w:p>
        </w:tc>
      </w:tr>
    </w:tbl>
    <w:p>
      <w:pPr>
        <w:pStyle w:val="BodyText"/>
      </w:pPr>
      <w:r>
        <w:rPr>
          <w:b/>
          <w:bCs/>
        </w:rPr>
        <w:t xml:space="preserve">Callout:</w:t>
      </w:r>
      <w:r>
        <w:t xml:space="preserve"> </w:t>
      </w:r>
      <w:r>
        <w:t xml:space="preserve">A clean certificate is necessary and never sufficient. It cannot make a research-use-only vial sterile, lawful or the lot you think it is.</w:t>
      </w:r>
    </w:p>
    <w:p>
      <w:pPr>
        <w:pStyle w:val="BodyText"/>
      </w:pPr>
      <w:r>
        <w:rPr>
          <w:b/>
          <w:bCs/>
        </w:rPr>
        <w:t xml:space="preserve">Exercise (classify) · Useful or red flag?</w:t>
      </w:r>
      <w:r>
        <w:t xml:space="preserve"> </w:t>
      </w:r>
      <w:r>
        <w:t xml:space="preserve">— Tap what each line is worth.</w:t>
      </w:r>
      <w:r>
        <w:t xml:space="preserve"> </w:t>
      </w:r>
      <w:r>
        <w:t xml:space="preserve">- Lot number printed, matching the vial label →</w:t>
      </w:r>
      <w:r>
        <w:t xml:space="preserve"> </w:t>
      </w:r>
      <w:r>
        <w:rPr>
          <w:b/>
          <w:bCs/>
        </w:rPr>
        <w:t xml:space="preserve">Useful, if it matches the vial</w:t>
      </w:r>
      <w:r>
        <w:t xml:space="preserve"> </w:t>
      </w:r>
      <w:r>
        <w:t xml:space="preserve">—</w:t>
      </w:r>
      <w:r>
        <w:t xml:space="preserve"> </w:t>
      </w:r>
      <w:r>
        <w:rPr>
          <w:i/>
          <w:iCs/>
        </w:rPr>
        <w:t xml:space="preserve">A matching lot number links the paper to the product in hand. It is still the supplier's own claim.</w:t>
      </w:r>
      <w:r>
        <w:t xml:space="preserve"> </w:t>
      </w:r>
      <w:r>
        <w:t xml:space="preserve">- Purity 99.2% by HPLC, no chromatogram →</w:t>
      </w:r>
      <w:r>
        <w:t xml:space="preserve"> </w:t>
      </w:r>
      <w:r>
        <w:rPr>
          <w:b/>
          <w:bCs/>
        </w:rPr>
        <w:t xml:space="preserve">Red flag</w:t>
      </w:r>
      <w:r>
        <w:t xml:space="preserve"> </w:t>
      </w:r>
      <w:r>
        <w:t xml:space="preserve">—</w:t>
      </w:r>
      <w:r>
        <w:t xml:space="preserve"> </w:t>
      </w:r>
      <w:r>
        <w:rPr>
          <w:i/>
          <w:iCs/>
        </w:rPr>
        <w:t xml:space="preserve">A bare percentage cannot be checked, and it says nothing about which impurities make up the rest.</w:t>
      </w:r>
      <w:r>
        <w:t xml:space="preserve"> </w:t>
      </w:r>
      <w:r>
        <w:t xml:space="preserve">- Identity: expected and observed mass printed, spectrum attached →</w:t>
      </w:r>
      <w:r>
        <w:t xml:space="preserve"> </w:t>
      </w:r>
      <w:r>
        <w:rPr>
          <w:b/>
          <w:bCs/>
        </w:rPr>
        <w:t xml:space="preserve">Useful, if it matches the vial</w:t>
      </w:r>
      <w:r>
        <w:t xml:space="preserve"> </w:t>
      </w:r>
      <w:r>
        <w:t xml:space="preserve">—</w:t>
      </w:r>
      <w:r>
        <w:t xml:space="preserve"> </w:t>
      </w:r>
      <w:r>
        <w:rPr>
          <w:i/>
          <w:iCs/>
        </w:rPr>
        <w:t xml:space="preserve">That is how identity is shown. It confirms the molecule and tells you nothing about sterility.</w:t>
      </w:r>
      <w:r>
        <w:t xml:space="preserve"> </w:t>
      </w:r>
      <w:r>
        <w:t xml:space="preserve">- Impurities: not listed →</w:t>
      </w:r>
      <w:r>
        <w:t xml:space="preserve"> </w:t>
      </w:r>
      <w:r>
        <w:rPr>
          <w:b/>
          <w:bCs/>
        </w:rPr>
        <w:t xml:space="preserve">Red flag</w:t>
      </w:r>
      <w:r>
        <w:t xml:space="preserve"> </w:t>
      </w:r>
      <w:r>
        <w:t xml:space="preserve">—</w:t>
      </w:r>
      <w:r>
        <w:t xml:space="preserve"> </w:t>
      </w:r>
      <w:r>
        <w:rPr>
          <w:i/>
          <w:iCs/>
        </w:rPr>
        <w:t xml:space="preserve">FDA's reviewers flagged exactly this for BPC-157: purity reported, impurity profile missing, so immunogenic impurities cannot be ruled out.</w:t>
      </w:r>
      <w:r>
        <w:t xml:space="preserve"> </w:t>
      </w:r>
      <w:r>
        <w:t xml:space="preserve">- Endotoxin: not tested, on a product sold for injection →</w:t>
      </w:r>
      <w:r>
        <w:t xml:space="preserve"> </w:t>
      </w:r>
      <w:r>
        <w:rPr>
          <w:b/>
          <w:bCs/>
        </w:rPr>
        <w:t xml:space="preserve">Red flag</w:t>
      </w:r>
      <w:r>
        <w:t xml:space="preserve"> </w:t>
      </w:r>
      <w:r>
        <w:t xml:space="preserve">—</w:t>
      </w:r>
      <w:r>
        <w:t xml:space="preserve"> </w:t>
      </w:r>
      <w:r>
        <w:rPr>
          <w:i/>
          <w:iCs/>
        </w:rPr>
        <w:t xml:space="preserve">Endotoxin is a critical attribute for anything injected, and its limit depends on dose and route. 'Not tested' on an injectable is a hard stop.</w:t>
      </w:r>
      <w:r>
        <w:t xml:space="preserve"> </w:t>
      </w:r>
      <w:r>
        <w:t xml:space="preserve">- Tested 20 months before purchase →</w:t>
      </w:r>
      <w:r>
        <w:t xml:space="preserve"> </w:t>
      </w:r>
      <w:r>
        <w:rPr>
          <w:b/>
          <w:bCs/>
        </w:rPr>
        <w:t xml:space="preserve">Red flag</w:t>
      </w:r>
      <w:r>
        <w:t xml:space="preserve"> </w:t>
      </w:r>
      <w:r>
        <w:t xml:space="preserve">—</w:t>
      </w:r>
      <w:r>
        <w:t xml:space="preserve"> </w:t>
      </w:r>
      <w:r>
        <w:rPr>
          <w:i/>
          <w:iCs/>
        </w:rPr>
        <w:t xml:space="preserve">Peptides degrade in storage; the Peptide Pocket Guide treats a certificate more than 12 months older than the purchase as a warning sign.</w:t>
      </w:r>
    </w:p>
    <w:p>
      <w:pPr>
        <w:pStyle w:val="BodyText"/>
      </w:pPr>
      <w:r>
        <w:t xml:space="preserve">Sources: The Peptide Pocket Guide — 2026 Edition · Clinical Reference (seventy-two entries) 2026 · US Food and Drug Administration 2026 · US Food and Drug Administration 2026 · US Food and Drug Administration (Code of Federal Regulations) 2002</w:t>
      </w:r>
    </w:p>
    <w:bookmarkEnd w:id="170"/>
    <w:bookmarkStart w:id="171" w:name="on-the-label."/>
    <w:p>
      <w:pPr>
        <w:pStyle w:val="Heading3"/>
      </w:pPr>
      <w:r>
        <w:t xml:space="preserve">12 / 20 · 99% on the label.</w:t>
      </w:r>
    </w:p>
    <w:p>
      <w:pPr>
        <w:pStyle w:val="FirstParagraph"/>
      </w:pPr>
      <w:r>
        <w:rPr>
          <w:i/>
          <w:iCs/>
        </w:rPr>
        <w:t xml:space="preserve">Label against laboratory · stat</w:t>
      </w:r>
    </w:p>
    <w:p>
      <w:pPr>
        <w:pStyle w:val="BodyText"/>
      </w:pPr>
      <w:r>
        <w:t xml:space="preserve">Researchers made test purchases of semaglutide from illegal online pharmacies and analysed what arrived. The three vials that were delivered were all judged probably substandard or falsified: purity measured 7.7–14.4% against the 99% printed on the label, peptide content ran 29–39% above the labelled amount, and endotoxin was found in every vial, although none grew microorganisms.</w:t>
      </w:r>
    </w:p>
    <w:p>
      <w:pPr>
        <w:pStyle w:val="BodyText"/>
      </w:pPr>
      <w:r>
        <w:rPr>
          <w:b/>
          <w:bCs/>
        </w:rPr>
        <w:t xml:space="preserve">7.7–14.4%</w:t>
      </w:r>
      <w:r>
        <w:t xml:space="preserve"> </w:t>
      </w:r>
      <w:r>
        <w:t xml:space="preserve">— measured purity of online semaglutide vials labelled 99% (Ashraf et al., J Med Internet Res 2024 · three delivered vials · endotoxin detected in all three)</w:t>
      </w:r>
      <w:r>
        <w:br/>
      </w:r>
      <w:r>
        <w:rPr>
          <w:i/>
          <w:iCs/>
        </w:rPr>
        <w:t xml:space="preserve">Means:</w:t>
      </w:r>
      <w:r>
        <w:t xml:space="preserve"> </w:t>
      </w:r>
      <w:r>
        <w:t xml:space="preserve">Purity printed on a label can be wildly wrong, and a vial that grows nothing can still carry endotoxin. Independent testing found what the paperwork hid.</w:t>
      </w:r>
      <w:r>
        <w:br/>
      </w:r>
      <w:r>
        <w:rPr>
          <w:i/>
          <w:iCs/>
        </w:rPr>
        <w:t xml:space="preserve">Does not mean:</w:t>
      </w:r>
      <w:r>
        <w:t xml:space="preserve"> </w:t>
      </w:r>
      <w:r>
        <w:t xml:space="preserve">Three vials of one drug give no market-wide failure rate, and semaglutide is outside the skin-peptide shelf. It documents the gap between claim and content for one product; it does not measure research peptides as a class.</w:t>
      </w:r>
    </w:p>
    <w:p>
      <w:pPr>
        <w:pStyle w:val="BodyText"/>
      </w:pPr>
      <w:r>
        <w:t xml:space="preserve">Sources: Ashraf AR 2024 · The Peptide Pocket Guide — 2026 Edition · Clinical Reference (seventy-two entries) 2026</w:t>
      </w:r>
    </w:p>
    <w:bookmarkEnd w:id="171"/>
    <w:bookmarkStart w:id="172" w:name="X52eb1ed9dbfe644f4256706c167e3f1011c17bf"/>
    <w:p>
      <w:pPr>
        <w:pStyle w:val="Heading3"/>
      </w:pPr>
      <w:r>
        <w:t xml:space="preserve">13 / 20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61"/>
        </w:numPr>
      </w:pPr>
      <w:r>
        <w:t xml:space="preserve">The label permits laboratory research only</w:t>
      </w:r>
    </w:p>
    <w:p>
      <w:pPr>
        <w:pStyle w:val="Compact"/>
        <w:numPr>
          <w:ilvl w:val="0"/>
          <w:numId w:val="1061"/>
        </w:numPr>
      </w:pPr>
      <w:r>
        <w:t xml:space="preserve">Intended use is read from how a product is sold</w:t>
      </w:r>
    </w:p>
    <w:p>
      <w:pPr>
        <w:pStyle w:val="Compact"/>
        <w:numPr>
          <w:ilvl w:val="0"/>
          <w:numId w:val="1061"/>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bookmarkEnd w:id="172"/>
    <w:bookmarkStart w:id="173" w:name="a-clean-certificate."/>
    <w:p>
      <w:pPr>
        <w:pStyle w:val="Heading3"/>
      </w:pPr>
      <w:r>
        <w:t xml:space="preserve">14 / 20 · A clean certificate.</w:t>
      </w:r>
    </w:p>
    <w:p>
      <w:pPr>
        <w:pStyle w:val="FirstParagraph"/>
      </w:pPr>
      <w:r>
        <w:rPr>
          <w:i/>
          <w:iCs/>
        </w:rPr>
        <w:t xml:space="preserve">Your turn · quiz</w:t>
      </w:r>
    </w:p>
    <w:p>
      <w:pPr>
        <w:pStyle w:val="BodyText"/>
      </w:pPr>
      <w:r>
        <w:t xml:space="preserve">One question to close lesson 7.2.</w:t>
      </w:r>
    </w:p>
    <w:p>
      <w:pPr>
        <w:pStyle w:val="BodyText"/>
      </w:pPr>
      <w:r>
        <w:rPr>
          <w:b/>
          <w:bCs/>
        </w:rPr>
        <w:t xml:space="preserve">Q.</w:t>
      </w:r>
      <w:r>
        <w:t xml:space="preserve"> </w:t>
      </w:r>
      <w:r>
        <w:t xml:space="preserve">A patient shows you the certificate for a research-use-only peptide she injects: 99.1% purity by HPLC with a chromatogram, the correct mass by mass spectrometry, and a lot number that matches her vial. What does it establish?</w:t>
      </w:r>
      <w:r>
        <w:t xml:space="preserve"> </w:t>
      </w:r>
      <w:r>
        <w:t xml:space="preserve">- ✗ That the vial is safe to inject. —</w:t>
      </w:r>
      <w:r>
        <w:t xml:space="preserve"> </w:t>
      </w:r>
      <w:r>
        <w:rPr>
          <w:i/>
          <w:iCs/>
        </w:rPr>
        <w:t xml:space="preserve">Identity and purity say nothing about sterility, endotoxin or storage, and research-use-only products are labelled not for use in humans.</w:t>
      </w:r>
      <w:r>
        <w:t xml:space="preserve"> </w:t>
      </w:r>
      <w:r>
        <w:t xml:space="preserve">- ✔ That the supplier reports the right molecule at high purity for that lot, and nothing about sterility, storage since testing or a lawful route. —</w:t>
      </w:r>
      <w:r>
        <w:t xml:space="preserve"> </w:t>
      </w:r>
      <w:r>
        <w:rPr>
          <w:i/>
          <w:iCs/>
        </w:rPr>
        <w:t xml:space="preserve">Correct. A certificate describes a lot; it cannot make the product sterile, pharmaceutical or lawful.</w:t>
      </w:r>
      <w:r>
        <w:t xml:space="preserve"> </w:t>
      </w:r>
      <w:r>
        <w:t xml:space="preserve">- ✗ Nothing at all, because certificates are always forged. —</w:t>
      </w:r>
      <w:r>
        <w:t xml:space="preserve"> </w:t>
      </w:r>
      <w:r>
        <w:rPr>
          <w:i/>
          <w:iCs/>
        </w:rPr>
        <w:t xml:space="preserve">Some are unreliable, but a lot-specific certificate with spectra is real information. The problem is what it cannot cover.</w:t>
      </w:r>
    </w:p>
    <w:bookmarkEnd w:id="173"/>
    <w:bookmarkEnd w:id="174"/>
    <w:bookmarkStart w:id="181" w:name="X5c774faa2e2c278faf095a9228e12a20daf7930"/>
    <w:p>
      <w:pPr>
        <w:pStyle w:val="Heading2"/>
      </w:pPr>
      <w:r>
        <w:t xml:space="preserve">Lesson 7.3 · Cosmetic, compounded or investigational: consent and the chart</w:t>
      </w:r>
    </w:p>
    <w:bookmarkStart w:id="175" w:name="off-label-needs-a-label."/>
    <w:p>
      <w:pPr>
        <w:pStyle w:val="Heading3"/>
      </w:pPr>
      <w:r>
        <w:t xml:space="preserve">15 / 20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62"/>
        </w:numPr>
      </w:pPr>
      <w:r>
        <w:t xml:space="preserve">Off-label applies only to approved drugs</w:t>
      </w:r>
    </w:p>
    <w:p>
      <w:pPr>
        <w:pStyle w:val="Compact"/>
        <w:numPr>
          <w:ilvl w:val="0"/>
          <w:numId w:val="1062"/>
        </w:numPr>
      </w:pPr>
      <w:r>
        <w:t xml:space="preserve">A never-approved peptide has no label</w:t>
      </w:r>
    </w:p>
    <w:p>
      <w:pPr>
        <w:pStyle w:val="Compact"/>
        <w:numPr>
          <w:ilvl w:val="0"/>
          <w:numId w:val="1062"/>
        </w:numPr>
      </w:pPr>
      <w:r>
        <w:t xml:space="preserve">Compounded is still unapproved</w:t>
      </w:r>
    </w:p>
    <w:p>
      <w:pPr>
        <w:pStyle w:val="FirstParagraph"/>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bookmarkEnd w:id="175"/>
    <w:bookmarkStart w:id="176" w:name="same-molecule-different-rulebooks."/>
    <w:p>
      <w:pPr>
        <w:pStyle w:val="Heading3"/>
      </w:pPr>
      <w:r>
        <w:t xml:space="preserve">16 / 20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bookmarkEnd w:id="176"/>
    <w:bookmarkStart w:id="177" w:name="just-prescribe-it-off-label."/>
    <w:p>
      <w:pPr>
        <w:pStyle w:val="Heading3"/>
      </w:pPr>
      <w:r>
        <w:t xml:space="preserve">17 / 20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63"/>
        </w:numPr>
      </w:pPr>
      <w:r>
        <w:t xml:space="preserve">BPC-157 has no approval, so there is no label to go off</w:t>
      </w:r>
    </w:p>
    <w:p>
      <w:pPr>
        <w:pStyle w:val="Compact"/>
        <w:numPr>
          <w:ilvl w:val="0"/>
          <w:numId w:val="1063"/>
        </w:numPr>
      </w:pPr>
      <w:r>
        <w:t xml:space="preserve">It has no 503A route; FDA staff advised against listing it</w:t>
      </w:r>
    </w:p>
    <w:p>
      <w:pPr>
        <w:pStyle w:val="Compact"/>
        <w:numPr>
          <w:ilvl w:val="0"/>
          <w:numId w:val="1063"/>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64"/>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64"/>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64"/>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bookmarkEnd w:id="177"/>
    <w:bookmarkStart w:id="178" w:name="a-chart-note-a-reviewer-can-follow."/>
    <w:p>
      <w:pPr>
        <w:pStyle w:val="Heading3"/>
      </w:pPr>
      <w:r>
        <w:t xml:space="preserve">18 / 20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w:t>
            </w:r>
          </w:p>
        </w:tc>
      </w:tr>
    </w:tbl>
    <w:p>
      <w:pPr>
        <w:pStyle w:val="BodyText"/>
      </w:pPr>
      <w:r>
        <w:rPr>
          <w:b/>
          <w:bCs/>
        </w:rPr>
        <w:t xml:space="preserve">Callout:</w:t>
      </w:r>
      <w:r>
        <w:t xml:space="preserve"> </w:t>
      </w:r>
      <w:r>
        <w:t xml:space="preserve">A board reviews reasoning. Make yours visible in the note.</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w:t>
      </w:r>
    </w:p>
    <w:bookmarkEnd w:id="178"/>
    <w:bookmarkStart w:id="179" w:name="one-molecule-three-products."/>
    <w:p>
      <w:pPr>
        <w:pStyle w:val="Heading3"/>
      </w:pPr>
      <w:r>
        <w:t xml:space="preserve">19 / 20 · One molecule, three products.</w:t>
      </w:r>
    </w:p>
    <w:p>
      <w:pPr>
        <w:pStyle w:val="FirstParagraph"/>
      </w:pPr>
      <w:r>
        <w:rPr>
          <w:i/>
          <w:iCs/>
        </w:rPr>
        <w:t xml:space="preserve">Your turn · quiz</w:t>
      </w:r>
    </w:p>
    <w:p>
      <w:pPr>
        <w:pStyle w:val="BodyText"/>
      </w:pPr>
      <w:r>
        <w:t xml:space="preserve">One question to close lesson 7.3.</w:t>
      </w:r>
    </w:p>
    <w:p>
      <w:pPr>
        <w:pStyle w:val="BodyText"/>
      </w:pPr>
      <w:r>
        <w:rPr>
          <w:b/>
          <w:bCs/>
        </w:rPr>
        <w:t xml:space="preserve">Q.</w:t>
      </w:r>
      <w:r>
        <w:t xml:space="preserve"> </w:t>
      </w:r>
      <w:r>
        <w:t xml:space="preserve">GHK-Cu appears in three products: a cream sold 'for the look of fine lines', the same cream sold 'to regenerate skin cells', and an injectable vial labelled research use only. In the US, which statement is right?</w:t>
      </w:r>
      <w:r>
        <w:t xml:space="preserve"> </w:t>
      </w:r>
      <w:r>
        <w:t xml:space="preserve">- ✗ All three are cosmetics, because the molecule is the same. —</w:t>
      </w:r>
      <w:r>
        <w:t xml:space="preserve"> </w:t>
      </w:r>
      <w:r>
        <w:rPr>
          <w:i/>
          <w:iCs/>
        </w:rPr>
        <w:t xml:space="preserve">The regime follows the claim and the route. A structure-or-function claim makes the second cream a drug, and the vial is no cosmetic at all.</w:t>
      </w:r>
      <w:r>
        <w:t xml:space="preserve"> </w:t>
      </w:r>
      <w:r>
        <w:t xml:space="preserve">- ✔ The first is a cosmetic; the second makes a drug claim, so it is an unapproved drug; the vial is outside any clinical route. —</w:t>
      </w:r>
      <w:r>
        <w:t xml:space="preserve"> </w:t>
      </w:r>
      <w:r>
        <w:rPr>
          <w:i/>
          <w:iCs/>
        </w:rPr>
        <w:t xml:space="preserve">Correct. Claim and route decide the rulebook, whatever the molecule.</w:t>
      </w:r>
      <w:r>
        <w:t xml:space="preserve"> </w:t>
      </w:r>
      <w:r>
        <w:t xml:space="preserve">- ✗ All three are lawful, because GHK-Cu is in Category 1. —</w:t>
      </w:r>
      <w:r>
        <w:t xml:space="preserve"> </w:t>
      </w:r>
      <w:r>
        <w:rPr>
          <w:i/>
          <w:iCs/>
        </w:rPr>
        <w:t xml:space="preserve">Category 1 covers 503A compounding of non-injectable GHK-Cu under FDA's interim policy. It approves nothing, and it covers neither research products nor injection.</w:t>
      </w:r>
    </w:p>
    <w:bookmarkEnd w:id="179"/>
    <w:bookmarkStart w:id="180" w:name="my-practice-from-the-next-conversation."/>
    <w:p>
      <w:pPr>
        <w:pStyle w:val="Heading3"/>
      </w:pPr>
      <w:r>
        <w:t xml:space="preserve">20 / 20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FDA lists on the day,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180"/>
    <w:bookmarkEnd w:id="181"/>
    <w:bookmarkStart w:id="182" w:name="module-check-6"/>
    <w:p>
      <w:pPr>
        <w:pStyle w:val="Heading2"/>
      </w:pPr>
      <w:r>
        <w:t xml:space="preserve">Module check</w:t>
      </w:r>
    </w:p>
    <w:p>
      <w:pPr>
        <w:pStyle w:val="FirstParagraph"/>
      </w:pPr>
      <w:r>
        <w:rPr>
          <w:b/>
          <w:bCs/>
        </w:rPr>
        <w:t xml:space="preserve">Q.</w:t>
      </w:r>
      <w:r>
        <w:t xml:space="preserve"> </w:t>
      </w:r>
      <w:r>
        <w:t xml:space="preserve">Closing Module 7: which statement keeps evidence, regulatory status and product quality apart?</w:t>
      </w:r>
      <w:r>
        <w:t xml:space="preserve"> </w:t>
      </w:r>
      <w:r>
        <w:t xml:space="preserve">- ✗ The certificate shows 99% purity, so the peptide is evidence-based and fine to compound. —</w:t>
      </w:r>
      <w:r>
        <w:t xml:space="preserve"> </w:t>
      </w:r>
      <w:r>
        <w:rPr>
          <w:i/>
          <w:iCs/>
        </w:rPr>
        <w:t xml:space="preserve">That blends product quality into evidence and legality. Purity says nothing about whether it works or whether any route is lawful.</w:t>
      </w:r>
      <w:r>
        <w:t xml:space="preserve"> </w:t>
      </w:r>
      <w:r>
        <w:t xml:space="preserve">- ✔ Topical GHK-Cu: small-trial evidence (C); in the US, non-injectable use sits in 503A Category 1, under evaluation; its certificate can show identity and purity, never sterility or legality. —</w:t>
      </w:r>
      <w:r>
        <w:t xml:space="preserve"> </w:t>
      </w:r>
      <w:r>
        <w:rPr>
          <w:i/>
          <w:iCs/>
        </w:rPr>
        <w:t xml:space="preserve">Correct. Three separate answers, each with its own source.</w:t>
      </w:r>
      <w:r>
        <w:t xml:space="preserve"> </w:t>
      </w:r>
      <w:r>
        <w:t xml:space="preserve">- ✗ GHK-Cu is in Category 1, so it is approved for skin and the evidence question is settled. —</w:t>
      </w:r>
      <w:r>
        <w:t xml:space="preserve"> </w:t>
      </w:r>
      <w:r>
        <w:rPr>
          <w:i/>
          <w:iCs/>
        </w:rPr>
        <w:t xml:space="preserve">Category 1 is an enforcement posture while FDA evaluates. It approves nothing and says nothing about evidence.</w:t>
      </w:r>
    </w:p>
    <w:p>
      <w:r>
        <w:pict>
          <v:rect style="width:0;height:1.5pt" o:hralign="center" o:hrstd="t" o:hr="t"/>
        </w:pic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full course draft for medical review</dc:title>
  <dc:creator/>
  <cp:keywords/>
  <dcterms:created xsi:type="dcterms:W3CDTF">2026-09-24T19:16:40Z</dcterms:created>
  <dcterms:modified xsi:type="dcterms:W3CDTF">2026-09-24T19:16:40Z</dcterms:modified>
</cp:coreProperties>
</file>

<file path=docProps/custom.xml><?xml version="1.0" encoding="utf-8"?>
<Properties xmlns="http://schemas.openxmlformats.org/officeDocument/2006/custom-properties" xmlns:vt="http://schemas.openxmlformats.org/officeDocument/2006/docPropsVTypes"/>
</file>