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864"/>
          <w:sz w:val="52"/>
          <w:szCs w:val="52"/>
        </w:rPr>
        <w:t xml:space="preserve">Cart2Insights</w:t>
      </w:r>
    </w:p>
    <w:p>
      <w:pPr>
        <w:spacing w:after="80"/>
        <w:jc w:val="center"/>
      </w:pPr>
      <w:r>
        <w:rPr>
          <w:rFonts w:ascii="Calibri" w:cs="Calibri" w:eastAsia="Calibri" w:hAnsi="Calibri"/>
          <w:color w:val="2E5597"/>
          <w:sz w:val="28"/>
          <w:szCs w:val="28"/>
        </w:rPr>
        <w:t xml:space="preserve">Decoding E-Commerce Performance</w:t>
      </w:r>
    </w:p>
    <w:p>
      <w:pPr>
        <w:pBdr>
          <w:bottom w:val="single" w:color="1F3864" w:sz="12" w:space="6"/>
        </w:pBdr>
        <w:spacing w:after="240"/>
        <w:jc w:val="center"/>
      </w:pPr>
      <w:r>
        <w:rPr>
          <w:rFonts w:ascii="Calibri" w:cs="Calibri" w:eastAsia="Calibri" w:hAnsi="Calibri"/>
          <w:b/>
          <w:bCs/>
          <w:sz w:val="26"/>
          <w:szCs w:val="26"/>
        </w:rPr>
        <w:t xml:space="preserve">Business Insights and Recommendations</w:t>
      </w:r>
    </w:p>
    <w:p>
      <w:pPr>
        <w:pStyle w:val="Heading1"/>
        <w:pBdr>
          <w:bottom w:val="single" w:color="1F3864" w:sz="6" w:space="2"/>
        </w:pBdr>
        <w:spacing w:after="140" w:before="320"/>
      </w:pPr>
      <w:r>
        <w:rPr>
          <w:rFonts w:ascii="Calibri" w:cs="Calibri" w:eastAsia="Calibri" w:hAnsi="Calibri"/>
          <w:b/>
          <w:bCs/>
          <w:color w:val="1F3864"/>
          <w:sz w:val="30"/>
          <w:szCs w:val="30"/>
        </w:rPr>
        <w:t xml:space="preserve">Executive Summary</w:t>
      </w:r>
    </w:p>
    <w:p>
      <w:pPr>
        <w:spacing w:after="140" w:line="288"/>
        <w:jc w:val="both"/>
      </w:pPr>
      <w:r>
        <w:rPr>
          <w:rFonts w:ascii="Calibri" w:cs="Calibri" w:eastAsia="Calibri" w:hAnsi="Calibri"/>
          <w:sz w:val="22"/>
          <w:szCs w:val="22"/>
        </w:rPr>
        <w:t xml:space="preserve">Cart2Insights examines customer behavior, sales performance, seller activity, product characteristics, delivery performance, payments and customer reviews within an online marketplace. The study combines Python-based data preparation and exploratory analysis with MySQL queries and an interactive Streamlit dashboard.</w:t>
      </w:r>
    </w:p>
    <w:p>
      <w:pPr>
        <w:spacing w:after="140" w:line="288"/>
        <w:jc w:val="both"/>
      </w:pPr>
      <w:r>
        <w:rPr>
          <w:rFonts w:ascii="Calibri" w:cs="Calibri" w:eastAsia="Calibri" w:hAnsi="Calibri"/>
          <w:sz w:val="22"/>
          <w:szCs w:val="22"/>
        </w:rPr>
        <w:t xml:space="preserve">The analysis highlights five areas that merit management attention: delivery reliability, customer satisfaction, product and seller performance, repeat-customer opportunities and revenue monitoring. The recommendations that follow translate these findings into practical, actionable business measures.</w:t>
      </w:r>
    </w:p>
    <w:p>
      <w:pPr>
        <w:pStyle w:val="Heading1"/>
        <w:pBdr>
          <w:bottom w:val="single" w:color="1F3864" w:sz="6" w:space="2"/>
        </w:pBdr>
        <w:spacing w:after="140" w:before="320"/>
      </w:pPr>
      <w:r>
        <w:rPr>
          <w:rFonts w:ascii="Calibri" w:cs="Calibri" w:eastAsia="Calibri" w:hAnsi="Calibri"/>
          <w:b/>
          <w:bCs/>
          <w:color w:val="1F3864"/>
          <w:sz w:val="30"/>
          <w:szCs w:val="30"/>
        </w:rPr>
        <w:t xml:space="preserve">Key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Business Area</w:t>
            </w:r>
          </w:p>
        </w:tc>
        <w:tc>
          <w:tcPr>
            <w:tcW w:type="dxa" w:w="3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Key Finding</w:t>
            </w:r>
          </w:p>
        </w:tc>
        <w:tc>
          <w:tcPr>
            <w:tcW w:type="dxa" w:w="3838"/>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Business Implication</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Sales Performance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Revenue and order volumes fluctuate noticeably across months and product categories.</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Marketing and inventory planning should be concentrated on peak periods and top-performing categories.</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Customer Value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 small segment of repeat and high-value customers accounts for a disproportionate share of total customer value.</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Loyalty programs, personalized offers and cashback incentives can encourage repeat purchases.</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Customer Satisfaction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Review scores vary with the customer experience, particularly with delivery performance.</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Improving the end-to-end order experience can raise customer satisfaction.</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Delivery Performance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Most delivered orders were classified as Early or On Time, while a smaller proportion arrived late.</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Delayed shipments should be monitored continuously to detect recurring delay patterns.</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Severe Delays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Certain orders were delayed by more than 30 days, and a smaller number by more than 90 days.</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These extreme cases warrant investigation of carrier, location, seller and logistics factors.</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Product Performance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Sales and order contribution differ considerably across product categories and individual products.</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Stock levels for high-demand products should be safeguarded, and low-performing products reviewed.</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Seller Performance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Sellers differ in sales, order volume and delivery outcomes.</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Seller monitoring can highlight reliable sellers and those needing operational improvement.</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Payment Behavior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Customers use a variety of payment methods, including credit cards, vouchers and installments.</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Payment flexibility should be preserved, with targeted offers designed for distinct customer segments.</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Regional Opportunity</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Customer and seller activity varies across geographic regions.</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Regional sales and logistics data can inform targeted campaigns and delivery planning.</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Overall Business Opportunity</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Integrating sales, customer, seller, product, review and delivery data gives a more complete view of marketplace performance.</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Data-driven decision-making can improve revenue, customer retention, satisfaction and delivery efficiency.</w:t>
            </w:r>
          </w:p>
        </w:tc>
      </w:tr>
    </w:tbl>
    <w:p>
      <w:pPr>
        <w:spacing w:after="120"/>
      </w:pPr>
    </w:p>
    <w:p>
      <w:pPr>
        <w:pStyle w:val="Heading2"/>
        <w:keepNext/>
        <w:spacing w:after="80" w:before="220"/>
      </w:pPr>
      <w:r>
        <w:rPr>
          <w:rFonts w:ascii="Calibri" w:cs="Calibri" w:eastAsia="Calibri" w:hAnsi="Calibri"/>
          <w:b/>
          <w:bCs/>
          <w:color w:val="2E5597"/>
          <w:sz w:val="24"/>
          <w:szCs w:val="24"/>
        </w:rPr>
        <w:t xml:space="preserve">Key Takeaways</w:t>
      </w:r>
    </w:p>
    <w:p>
      <w:pPr>
        <w:pStyle w:val="ListParagraph"/>
        <w:numPr>
          <w:ilvl w:val="0"/>
          <w:numId w:val="2"/>
        </w:numPr>
        <w:spacing w:after="100" w:line="288"/>
      </w:pPr>
      <w:r>
        <w:rPr>
          <w:rFonts w:ascii="Calibri" w:cs="Calibri" w:eastAsia="Calibri" w:hAnsi="Calibri"/>
          <w:b/>
          <w:bCs/>
          <w:sz w:val="22"/>
          <w:szCs w:val="22"/>
        </w:rPr>
        <w:t xml:space="preserve">Increase repeat purchases </w:t>
      </w:r>
      <w:r>
        <w:rPr>
          <w:rFonts w:ascii="Calibri" w:cs="Calibri" w:eastAsia="Calibri" w:hAnsi="Calibri"/>
          <w:sz w:val="22"/>
          <w:szCs w:val="22"/>
        </w:rPr>
        <w:t xml:space="preserve">through customer segmentation, loyalty offers and targeted cashback.</w:t>
      </w:r>
    </w:p>
    <w:p>
      <w:pPr>
        <w:pStyle w:val="ListParagraph"/>
        <w:numPr>
          <w:ilvl w:val="0"/>
          <w:numId w:val="2"/>
        </w:numPr>
        <w:spacing w:after="100" w:line="288"/>
      </w:pPr>
      <w:r>
        <w:rPr>
          <w:rFonts w:ascii="Calibri" w:cs="Calibri" w:eastAsia="Calibri" w:hAnsi="Calibri"/>
          <w:b/>
          <w:bCs/>
          <w:sz w:val="22"/>
          <w:szCs w:val="22"/>
        </w:rPr>
        <w:t xml:space="preserve">Monitor delayed deliveries </w:t>
      </w:r>
      <w:r>
        <w:rPr>
          <w:rFonts w:ascii="Calibri" w:cs="Calibri" w:eastAsia="Calibri" w:hAnsi="Calibri"/>
          <w:sz w:val="22"/>
          <w:szCs w:val="22"/>
        </w:rPr>
        <w:t xml:space="preserve">and investigate extreme delays by seller, carrier and location.</w:t>
      </w:r>
    </w:p>
    <w:p>
      <w:pPr>
        <w:pStyle w:val="ListParagraph"/>
        <w:numPr>
          <w:ilvl w:val="0"/>
          <w:numId w:val="2"/>
        </w:numPr>
        <w:spacing w:after="100" w:line="288"/>
      </w:pPr>
      <w:r>
        <w:rPr>
          <w:rFonts w:ascii="Calibri" w:cs="Calibri" w:eastAsia="Calibri" w:hAnsi="Calibri"/>
          <w:b/>
          <w:bCs/>
          <w:sz w:val="22"/>
          <w:szCs w:val="22"/>
        </w:rPr>
        <w:t xml:space="preserve">Prioritize high-performing products and categories </w:t>
      </w:r>
      <w:r>
        <w:rPr>
          <w:rFonts w:ascii="Calibri" w:cs="Calibri" w:eastAsia="Calibri" w:hAnsi="Calibri"/>
          <w:sz w:val="22"/>
          <w:szCs w:val="22"/>
        </w:rPr>
        <w:t xml:space="preserve">in inventory and marketing decisions.</w:t>
      </w:r>
    </w:p>
    <w:p>
      <w:pPr>
        <w:pStyle w:val="ListParagraph"/>
        <w:numPr>
          <w:ilvl w:val="0"/>
          <w:numId w:val="2"/>
        </w:numPr>
        <w:spacing w:after="100" w:line="288"/>
      </w:pPr>
      <w:r>
        <w:rPr>
          <w:rFonts w:ascii="Calibri" w:cs="Calibri" w:eastAsia="Calibri" w:hAnsi="Calibri"/>
          <w:b/>
          <w:bCs/>
          <w:sz w:val="22"/>
          <w:szCs w:val="22"/>
        </w:rPr>
        <w:t xml:space="preserve">Track seller performance </w:t>
      </w:r>
      <w:r>
        <w:rPr>
          <w:rFonts w:ascii="Calibri" w:cs="Calibri" w:eastAsia="Calibri" w:hAnsi="Calibri"/>
          <w:sz w:val="22"/>
          <w:szCs w:val="22"/>
        </w:rPr>
        <w:t xml:space="preserve">using sales, delivery and customer-review metrics together.</w:t>
      </w:r>
    </w:p>
    <w:p>
      <w:pPr>
        <w:pStyle w:val="ListParagraph"/>
        <w:numPr>
          <w:ilvl w:val="0"/>
          <w:numId w:val="2"/>
        </w:numPr>
        <w:spacing w:after="100" w:line="288"/>
      </w:pPr>
      <w:r>
        <w:rPr>
          <w:rFonts w:ascii="Calibri" w:cs="Calibri" w:eastAsia="Calibri" w:hAnsi="Calibri"/>
          <w:b/>
          <w:bCs/>
          <w:sz w:val="22"/>
          <w:szCs w:val="22"/>
        </w:rPr>
        <w:t xml:space="preserve">Analyze customer reviews and delivery performance jointly </w:t>
      </w:r>
      <w:r>
        <w:rPr>
          <w:rFonts w:ascii="Calibri" w:cs="Calibri" w:eastAsia="Calibri" w:hAnsi="Calibri"/>
          <w:sz w:val="22"/>
          <w:szCs w:val="22"/>
        </w:rPr>
        <w:t xml:space="preserve">to identify the factors that influence customer satisfaction.</w:t>
      </w:r>
    </w:p>
    <w:p>
      <w:pPr>
        <w:pStyle w:val="ListParagraph"/>
        <w:numPr>
          <w:ilvl w:val="0"/>
          <w:numId w:val="2"/>
        </w:numPr>
        <w:spacing w:after="100" w:line="288"/>
      </w:pPr>
      <w:r>
        <w:rPr>
          <w:rFonts w:ascii="Calibri" w:cs="Calibri" w:eastAsia="Calibri" w:hAnsi="Calibri"/>
          <w:b/>
          <w:bCs/>
          <w:sz w:val="22"/>
          <w:szCs w:val="22"/>
        </w:rPr>
        <w:t xml:space="preserve">Use the Streamlit dashboard and SQL reports </w:t>
      </w:r>
      <w:r>
        <w:rPr>
          <w:rFonts w:ascii="Calibri" w:cs="Calibri" w:eastAsia="Calibri" w:hAnsi="Calibri"/>
          <w:sz w:val="22"/>
          <w:szCs w:val="22"/>
        </w:rPr>
        <w:t xml:space="preserve">for regular monitoring and informed business decision-making.</w:t>
      </w:r>
    </w:p>
    <w:p>
      <w:pPr>
        <w:pStyle w:val="Heading1"/>
        <w:pBdr>
          <w:bottom w:val="single" w:color="1F3864" w:sz="6" w:space="2"/>
        </w:pBdr>
        <w:spacing w:after="140" w:before="320"/>
      </w:pPr>
      <w:r>
        <w:rPr>
          <w:rFonts w:ascii="Calibri" w:cs="Calibri" w:eastAsia="Calibri" w:hAnsi="Calibri"/>
          <w:b/>
          <w:bCs/>
          <w:color w:val="1F3864"/>
          <w:sz w:val="30"/>
          <w:szCs w:val="30"/>
        </w:rPr>
        <w:t xml:space="preserve">Actionable Business Recommendations</w:t>
      </w:r>
    </w:p>
    <w:p>
      <w:pPr>
        <w:pStyle w:val="Heading2"/>
        <w:keepNext/>
        <w:spacing w:after="80" w:before="220"/>
      </w:pPr>
      <w:r>
        <w:rPr>
          <w:rFonts w:ascii="Calibri" w:cs="Calibri" w:eastAsia="Calibri" w:hAnsi="Calibri"/>
          <w:b/>
          <w:bCs/>
          <w:color w:val="2E5597"/>
          <w:sz w:val="24"/>
          <w:szCs w:val="24"/>
        </w:rPr>
        <w:t xml:space="preserve">1. Improve Delivery Reliability</w:t>
      </w:r>
    </w:p>
    <w:p>
      <w:pPr>
        <w:spacing w:after="140" w:line="288"/>
        <w:jc w:val="both"/>
      </w:pPr>
      <w:r>
        <w:rPr>
          <w:rFonts w:ascii="Calibri" w:cs="Calibri" w:eastAsia="Calibri" w:hAnsi="Calibri"/>
          <w:sz w:val="22"/>
          <w:szCs w:val="22"/>
        </w:rPr>
        <w:t xml:space="preserve">Establish a delivery-performance monitoring process based on the Early/On Time, Delayed and Not Delivered classifications. Performance should be tracked by seller, carrier, destination region and time period, with an exception review triggered whenever an order exceeds a predefined delay threshold.</w:t>
      </w:r>
    </w:p>
    <w:p>
      <w:pPr>
        <w:pStyle w:val="Heading2"/>
        <w:keepNext/>
        <w:spacing w:after="80" w:before="220"/>
      </w:pPr>
      <w:r>
        <w:rPr>
          <w:rFonts w:ascii="Calibri" w:cs="Calibri" w:eastAsia="Calibri" w:hAnsi="Calibri"/>
          <w:b/>
          <w:bCs/>
          <w:color w:val="2E5597"/>
          <w:sz w:val="24"/>
          <w:szCs w:val="24"/>
        </w:rPr>
        <w:t xml:space="preserve">2. Introduce a Severe-Delay Alert System</w:t>
      </w:r>
    </w:p>
    <w:p>
      <w:pPr>
        <w:spacing w:after="140" w:line="288"/>
        <w:jc w:val="both"/>
      </w:pPr>
      <w:r>
        <w:rPr>
          <w:rFonts w:ascii="Calibri" w:cs="Calibri" w:eastAsia="Calibri" w:hAnsi="Calibri"/>
          <w:sz w:val="22"/>
          <w:szCs w:val="22"/>
        </w:rPr>
        <w:t xml:space="preserve">Orders with extreme delays should be flagged automatically. The 30-day and 90-day delay groups can serve as exception categories that drive root-cause analysis, customer communication and operational escalation.</w:t>
      </w:r>
    </w:p>
    <w:p>
      <w:pPr>
        <w:pStyle w:val="Heading2"/>
        <w:keepNext/>
        <w:spacing w:after="80" w:before="220"/>
      </w:pPr>
      <w:r>
        <w:rPr>
          <w:rFonts w:ascii="Calibri" w:cs="Calibri" w:eastAsia="Calibri" w:hAnsi="Calibri"/>
          <w:b/>
          <w:bCs/>
          <w:color w:val="2E5597"/>
          <w:sz w:val="24"/>
          <w:szCs w:val="24"/>
        </w:rPr>
        <w:t xml:space="preserve">3. Link Customer Reviews to Operational Performance</w:t>
      </w:r>
    </w:p>
    <w:p>
      <w:pPr>
        <w:spacing w:after="140" w:line="288"/>
        <w:jc w:val="both"/>
      </w:pPr>
      <w:r>
        <w:rPr>
          <w:rFonts w:ascii="Calibri" w:cs="Calibri" w:eastAsia="Calibri" w:hAnsi="Calibri"/>
          <w:sz w:val="22"/>
          <w:szCs w:val="22"/>
        </w:rPr>
        <w:t xml:space="preserve">Low review scores should be analyzed alongside delivery delays, freight charges, sellers, product categories and order characteristics. This will help distinguish service-related dissatisfaction from product-related dissatisfaction.</w:t>
      </w:r>
    </w:p>
    <w:p>
      <w:pPr>
        <w:pStyle w:val="Heading2"/>
        <w:keepNext/>
        <w:spacing w:after="80" w:before="220"/>
      </w:pPr>
      <w:r>
        <w:rPr>
          <w:rFonts w:ascii="Calibri" w:cs="Calibri" w:eastAsia="Calibri" w:hAnsi="Calibri"/>
          <w:b/>
          <w:bCs/>
          <w:color w:val="2E5597"/>
          <w:sz w:val="24"/>
          <w:szCs w:val="24"/>
        </w:rPr>
        <w:t xml:space="preserve">4. Strengthen Seller Performance Management</w:t>
      </w:r>
    </w:p>
    <w:p>
      <w:pPr>
        <w:spacing w:after="140" w:line="288"/>
        <w:jc w:val="both"/>
      </w:pPr>
      <w:r>
        <w:rPr>
          <w:rFonts w:ascii="Calibri" w:cs="Calibri" w:eastAsia="Calibri" w:hAnsi="Calibri"/>
          <w:sz w:val="22"/>
          <w:szCs w:val="22"/>
        </w:rPr>
        <w:t xml:space="preserve">Develop a seller scorecard that combines order volume, delivery performance, review scores, cancellation or non-delivery indicators and revenue contribution. Sellers with recurring operational issues can then receive targeted support and closer monitoring.</w:t>
      </w:r>
    </w:p>
    <w:p>
      <w:pPr>
        <w:pStyle w:val="Heading2"/>
        <w:keepNext/>
        <w:spacing w:after="80" w:before="220"/>
      </w:pPr>
      <w:r>
        <w:rPr>
          <w:rFonts w:ascii="Calibri" w:cs="Calibri" w:eastAsia="Calibri" w:hAnsi="Calibri"/>
          <w:b/>
          <w:bCs/>
          <w:color w:val="2E5597"/>
          <w:sz w:val="24"/>
          <w:szCs w:val="24"/>
        </w:rPr>
        <w:t xml:space="preserve">5. Build Customer Retention Segments</w:t>
      </w:r>
    </w:p>
    <w:p>
      <w:pPr>
        <w:spacing w:after="140" w:line="288"/>
        <w:jc w:val="both"/>
      </w:pPr>
      <w:r>
        <w:rPr>
          <w:rFonts w:ascii="Calibri" w:cs="Calibri" w:eastAsia="Calibri" w:hAnsi="Calibri"/>
          <w:sz w:val="22"/>
          <w:szCs w:val="22"/>
        </w:rPr>
        <w:t xml:space="preserve">Use order history and customer lifetime value to classify customers as high-value, occasional or low-engagement. Retention campaigns should be built around encouraging repeat purchases rather than applying a uniform offer to all customers.</w:t>
      </w:r>
    </w:p>
    <w:p>
      <w:pPr>
        <w:pStyle w:val="Heading2"/>
        <w:keepNext/>
        <w:spacing w:after="80" w:before="220"/>
      </w:pPr>
      <w:r>
        <w:rPr>
          <w:rFonts w:ascii="Calibri" w:cs="Calibri" w:eastAsia="Calibri" w:hAnsi="Calibri"/>
          <w:b/>
          <w:bCs/>
          <w:color w:val="2E5597"/>
          <w:sz w:val="24"/>
          <w:szCs w:val="24"/>
        </w:rPr>
        <w:t xml:space="preserve">6. Use Targeted Discounts and Cashback</w:t>
      </w:r>
    </w:p>
    <w:p>
      <w:pPr>
        <w:spacing w:after="140" w:line="288"/>
        <w:jc w:val="both"/>
      </w:pPr>
      <w:r>
        <w:rPr>
          <w:rFonts w:ascii="Calibri" w:cs="Calibri" w:eastAsia="Calibri" w:hAnsi="Calibri"/>
          <w:sz w:val="22"/>
          <w:szCs w:val="22"/>
        </w:rPr>
        <w:t xml:space="preserve">Promotional offers should be aligned with customer behavior, purchase frequency, category preferences and customer value. This approach limits unnecessary discounting while supporting repeat purchases and retention.</w:t>
      </w:r>
    </w:p>
    <w:p>
      <w:pPr>
        <w:pStyle w:val="Heading2"/>
        <w:keepNext/>
        <w:spacing w:after="80" w:before="220"/>
      </w:pPr>
      <w:r>
        <w:rPr>
          <w:rFonts w:ascii="Calibri" w:cs="Calibri" w:eastAsia="Calibri" w:hAnsi="Calibri"/>
          <w:b/>
          <w:bCs/>
          <w:color w:val="2E5597"/>
          <w:sz w:val="24"/>
          <w:szCs w:val="24"/>
        </w:rPr>
        <w:t xml:space="preserve">7. Monitor Product Economics</w:t>
      </w:r>
    </w:p>
    <w:p>
      <w:pPr>
        <w:spacing w:after="140" w:line="288"/>
        <w:jc w:val="both"/>
      </w:pPr>
      <w:r>
        <w:rPr>
          <w:rFonts w:ascii="Calibri" w:cs="Calibri" w:eastAsia="Calibri" w:hAnsi="Calibri"/>
          <w:sz w:val="22"/>
          <w:szCs w:val="22"/>
        </w:rPr>
        <w:t xml:space="preserve">Compare product price, freight value, order frequency, review performance and seller information. Products with strong demand but a poor customer experience should be prioritized for improvements in quality, packaging or logistics.</w:t>
      </w:r>
    </w:p>
    <w:p>
      <w:pPr>
        <w:pStyle w:val="Heading2"/>
        <w:keepNext/>
        <w:spacing w:after="80" w:before="220"/>
      </w:pPr>
      <w:r>
        <w:rPr>
          <w:rFonts w:ascii="Calibri" w:cs="Calibri" w:eastAsia="Calibri" w:hAnsi="Calibri"/>
          <w:b/>
          <w:bCs/>
          <w:color w:val="2E5597"/>
          <w:sz w:val="24"/>
          <w:szCs w:val="24"/>
        </w:rPr>
        <w:t xml:space="preserve">8. Establish Data-Quality Controls</w:t>
      </w:r>
    </w:p>
    <w:p>
      <w:pPr>
        <w:spacing w:after="140" w:line="288"/>
        <w:jc w:val="both"/>
      </w:pPr>
      <w:r>
        <w:rPr>
          <w:rFonts w:ascii="Calibri" w:cs="Calibri" w:eastAsia="Calibri" w:hAnsi="Calibri"/>
          <w:sz w:val="22"/>
          <w:szCs w:val="22"/>
        </w:rPr>
        <w:t xml:space="preserve">Automate validation checks for dates, payment values, installment values, missing fields and relational consistency before data is loaded into the analytical database. This prevents inaccurate KPIs from reaching the dashboard.</w:t>
      </w:r>
    </w:p>
    <w:p>
      <w:pPr>
        <w:pStyle w:val="Heading2"/>
        <w:keepNext/>
        <w:spacing w:after="80" w:before="220"/>
      </w:pPr>
      <w:r>
        <w:rPr>
          <w:rFonts w:ascii="Calibri" w:cs="Calibri" w:eastAsia="Calibri" w:hAnsi="Calibri"/>
          <w:b/>
          <w:bCs/>
          <w:color w:val="2E5597"/>
          <w:sz w:val="24"/>
          <w:szCs w:val="24"/>
        </w:rPr>
        <w:t xml:space="preserve">9. Maintain Weekly SQL Reporting</w:t>
      </w:r>
    </w:p>
    <w:p>
      <w:pPr>
        <w:spacing w:after="140" w:line="288"/>
        <w:jc w:val="both"/>
      </w:pPr>
      <w:r>
        <w:rPr>
          <w:rFonts w:ascii="Calibri" w:cs="Calibri" w:eastAsia="Calibri" w:hAnsi="Calibri"/>
          <w:sz w:val="22"/>
          <w:szCs w:val="22"/>
        </w:rPr>
        <w:t xml:space="preserve">Continue the weekly SQL reporting workflow to track changes in revenue, orders, customers, delivery performance and customer experience. Weekly comparisons allow emerging trends to be detected earlier than monthly reporting would.</w:t>
      </w:r>
    </w:p>
    <w:p>
      <w:pPr>
        <w:pStyle w:val="Heading2"/>
        <w:keepNext/>
        <w:spacing w:after="80" w:before="220"/>
      </w:pPr>
      <w:r>
        <w:rPr>
          <w:rFonts w:ascii="Calibri" w:cs="Calibri" w:eastAsia="Calibri" w:hAnsi="Calibri"/>
          <w:b/>
          <w:bCs/>
          <w:color w:val="2E5597"/>
          <w:sz w:val="24"/>
          <w:szCs w:val="24"/>
        </w:rPr>
        <w:t xml:space="preserve">10. Leverage the Streamlit Dashboard for Decision Support</w:t>
      </w:r>
    </w:p>
    <w:p>
      <w:pPr>
        <w:spacing w:after="140" w:line="288"/>
        <w:jc w:val="both"/>
      </w:pPr>
      <w:r>
        <w:rPr>
          <w:rFonts w:ascii="Calibri" w:cs="Calibri" w:eastAsia="Calibri" w:hAnsi="Calibri"/>
          <w:sz w:val="22"/>
          <w:szCs w:val="22"/>
        </w:rPr>
        <w:t xml:space="preserve">Adopt the dashboard as a shared monitoring interface covering sales, customers, sellers and products, delivery and customer experience. CSV exports can support more detailed follow-up analysis by business teams.</w:t>
      </w:r>
    </w:p>
    <w:p>
      <w:pPr>
        <w:pStyle w:val="Heading1"/>
        <w:pBdr>
          <w:bottom w:val="single" w:color="1F3864" w:sz="6" w:space="2"/>
        </w:pBdr>
        <w:spacing w:after="140" w:before="320"/>
      </w:pPr>
      <w:r>
        <w:rPr>
          <w:rFonts w:ascii="Calibri" w:cs="Calibri" w:eastAsia="Calibri" w:hAnsi="Calibri"/>
          <w:b/>
          <w:bCs/>
          <w:color w:val="1F3864"/>
          <w:sz w:val="30"/>
          <w:szCs w:val="30"/>
        </w:rPr>
        <w:t xml:space="preserve">Recommended KPI Monitoring Framework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Business Area</w:t>
            </w:r>
          </w:p>
        </w:tc>
        <w:tc>
          <w:tcPr>
            <w:tcW w:type="dxa" w:w="7038"/>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Recommended KPIs</w:t>
            </w:r>
          </w:p>
        </w:tc>
      </w:tr>
      <w:tr>
        <w:trPr>
          <w:cantSplit/>
        </w:trPr>
        <w:tc>
          <w:tcPr>
            <w:tcW w:type="dxa" w:w="26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Sales</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Total Revenue, Total Orders, Average Order Value (AOV), Revenue by Month and Category</w:t>
            </w:r>
          </w:p>
        </w:tc>
      </w:tr>
      <w:tr>
        <w:trPr>
          <w:cantSplit/>
        </w:trPr>
        <w:tc>
          <w:tcPr>
            <w:tcW w:type="dxa" w:w="26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Customers</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Total Customers, Repeat Orders, Customer Lifetime Value (CLV), Customer Segments</w:t>
            </w:r>
          </w:p>
        </w:tc>
      </w:tr>
      <w:tr>
        <w:trPr>
          <w:cantSplit/>
        </w:trPr>
        <w:tc>
          <w:tcPr>
            <w:tcW w:type="dxa" w:w="26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Sellers</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Orders per Seller, Revenue per Seller, Delivery Performance, Average Review Score</w:t>
            </w:r>
          </w:p>
        </w:tc>
      </w:tr>
      <w:tr>
        <w:trPr>
          <w:cantSplit/>
        </w:trPr>
        <w:tc>
          <w:tcPr>
            <w:tcW w:type="dxa" w:w="26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Delivery</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Early/On-Time %, Delayed %, Not Delivered %, Average Delivery Time, Severe Delays</w:t>
            </w:r>
          </w:p>
        </w:tc>
      </w:tr>
      <w:tr>
        <w:trPr>
          <w:cantSplit/>
        </w:trPr>
        <w:tc>
          <w:tcPr>
            <w:tcW w:type="dxa" w:w="26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Customer Experience</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Average Review Score, Low-Review Rate, Review Score by Delivery Status</w:t>
            </w:r>
          </w:p>
        </w:tc>
      </w:tr>
      <w:tr>
        <w:trPr>
          <w:cantSplit/>
        </w:trPr>
        <w:tc>
          <w:tcPr>
            <w:tcW w:type="dxa" w:w="2600"/>
            <w:tcBorders>
              <w:top w:val="single" w:color="BFBFBF" w:sz="4"/>
              <w:left w:val="single" w:color="BFBFBF" w:sz="4"/>
              <w:bottom w:val="single" w:color="BFBFBF" w:sz="4"/>
              <w:right w:val="single" w:color="BFBFBF" w:sz="4"/>
            </w:tcBorders>
            <w:shd w:fill="EAF0F8" w:color="auto" w:val="clear"/>
            <w:tcMar>
              <w:top w:type="dxa" w:w="80"/>
              <w:left w:type="dxa" w:w="120"/>
              <w:bottom w:type="dxa" w:w="80"/>
              <w:right w:type="dxa" w:w="120"/>
            </w:tcMar>
          </w:tcPr>
          <w:p>
            <w:r>
              <w:rPr>
                <w:rFonts w:ascii="Calibri" w:cs="Calibri" w:eastAsia="Calibri" w:hAnsi="Calibri"/>
                <w:b/>
                <w:bCs/>
                <w:sz w:val="20"/>
                <w:szCs w:val="20"/>
              </w:rPr>
              <w:t xml:space="preserve">Products</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Product Orders, Revenue, Price, Freight, Review Performance, Category Performance</w:t>
            </w:r>
          </w:p>
        </w:tc>
      </w:tr>
    </w:tbl>
    <w:p>
      <w:pPr>
        <w:spacing w:after="120"/>
      </w:pPr>
    </w:p>
    <w:p>
      <w:pPr>
        <w:pStyle w:val="Heading1"/>
        <w:pBdr>
          <w:bottom w:val="single" w:color="1F3864" w:sz="6" w:space="2"/>
        </w:pBdr>
        <w:spacing w:after="140" w:before="320"/>
      </w:pPr>
      <w:r>
        <w:rPr>
          <w:rFonts w:ascii="Calibri" w:cs="Calibri" w:eastAsia="Calibri" w:hAnsi="Calibri"/>
          <w:b/>
          <w:bCs/>
          <w:color w:val="1F3864"/>
          <w:sz w:val="30"/>
          <w:szCs w:val="30"/>
        </w:rPr>
        <w:t xml:space="preserve">Expected Business Impact</w:t>
      </w:r>
    </w:p>
    <w:p>
      <w:pPr>
        <w:spacing w:after="140" w:line="288"/>
        <w:jc w:val="both"/>
      </w:pPr>
      <w:r>
        <w:rPr>
          <w:rFonts w:ascii="Calibri" w:cs="Calibri" w:eastAsia="Calibri" w:hAnsi="Calibri"/>
          <w:sz w:val="22"/>
          <w:szCs w:val="22"/>
        </w:rPr>
        <w:t xml:space="preserve">When adopted as an ongoing analytics process, these recommendations will provide greater visibility into sales trends, customer value, delivery exceptions, seller performance and customer satisfaction. The central objective is to shift from descriptive reporting toward regular, data-driven operational monitoring.</w:t>
      </w:r>
    </w:p>
    <w:p>
      <w:pPr>
        <w:pStyle w:val="Heading1"/>
        <w:pBdr>
          <w:bottom w:val="single" w:color="1F3864" w:sz="6" w:space="2"/>
        </w:pBdr>
        <w:spacing w:after="140" w:before="320"/>
      </w:pPr>
      <w:r>
        <w:rPr>
          <w:rFonts w:ascii="Calibri" w:cs="Calibri" w:eastAsia="Calibri" w:hAnsi="Calibri"/>
          <w:b/>
          <w:bCs/>
          <w:color w:val="1F3864"/>
          <w:sz w:val="30"/>
          <w:szCs w:val="30"/>
        </w:rPr>
        <w:t xml:space="preserve">Conclusion</w:t>
      </w:r>
    </w:p>
    <w:p>
      <w:pPr>
        <w:spacing w:after="140" w:line="288"/>
        <w:jc w:val="both"/>
      </w:pPr>
      <w:r>
        <w:rPr>
          <w:rFonts w:ascii="Calibri" w:cs="Calibri" w:eastAsia="Calibri" w:hAnsi="Calibri"/>
          <w:sz w:val="22"/>
          <w:szCs w:val="22"/>
        </w:rPr>
        <w:t xml:space="preserve">Cart2Insights demonstrates how an e-commerce dataset can be developed into a decision-support solution using Python, SQL and Streamlit. The project integrates data cleaning, feature engineering, exploratory analysis, statistical analysis, database integration and interactive visualization. The resulting insights form a sound foundation for improving delivery operations, customer retention, seller monitoring and overall e-commerce performance.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Cart2Insights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0"/>
      <w:szCs w:val="30"/>
    </w:rPr>
  </w:style>
  <w:style w:type="paragraph" w:styleId="Heading2">
    <w:name w:val="Heading 2"/>
    <w:basedOn w:val="Normal"/>
    <w:next w:val="Normal"/>
    <w:qFormat/>
    <w:pPr>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Cart2Insights - Business Insights and Recommendations</dc:title>
  <dc:creator>Cart2Insights</dc:creator>
  <cp:lastModifiedBy>Un-named</cp:lastModifiedBy>
  <cp:revision>1</cp:revision>
  <dcterms:created xsi:type="dcterms:W3CDTF">2026-10-01T06:03:19.445Z</dcterms:created>
  <dcterms:modified xsi:type="dcterms:W3CDTF">2026-10-01T06:03:19.451Z</dcterms:modified>
</cp:coreProperties>
</file>

<file path=docProps/custom.xml><?xml version="1.0" encoding="utf-8"?>
<Properties xmlns="http://schemas.openxmlformats.org/officeDocument/2006/custom-properties" xmlns:vt="http://schemas.openxmlformats.org/officeDocument/2006/docPropsVTypes"/>
</file>