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Ministerul Educației și Cercetării al Republicii Moldova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Universitatea Tehnică a Moldovei</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Colegiul Universității Tehnice a Moldovei</w:t>
      </w:r>
    </w:p>
    <w:p w:rsidR="00222117" w:rsidRPr="00222117" w:rsidRDefault="00222117" w:rsidP="00EF4136">
      <w:pPr>
        <w:spacing w:after="240" w:line="240" w:lineRule="auto"/>
        <w:jc w:val="center"/>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b/>
          <w:bCs/>
          <w:color w:val="000000"/>
          <w:sz w:val="80"/>
          <w:szCs w:val="80"/>
        </w:rPr>
        <w:t>Raport</w:t>
      </w:r>
    </w:p>
    <w:p w:rsidR="00222117" w:rsidRPr="00222117" w:rsidRDefault="004050B0" w:rsidP="00EF4136">
      <w:pPr>
        <w:spacing w:after="200" w:line="240" w:lineRule="auto"/>
        <w:jc w:val="center"/>
        <w:rPr>
          <w:rFonts w:ascii="Times New Roman" w:eastAsia="Times New Roman" w:hAnsi="Times New Roman" w:cs="Times New Roman"/>
          <w:sz w:val="24"/>
          <w:szCs w:val="24"/>
        </w:rPr>
      </w:pPr>
      <w:r w:rsidRPr="00CD5BC4">
        <w:rPr>
          <w:rFonts w:ascii="Cambria" w:eastAsia="Times New Roman" w:hAnsi="Cambria" w:cs="Times New Roman"/>
          <w:color w:val="000000"/>
          <w:sz w:val="24"/>
          <w:szCs w:val="24"/>
        </w:rPr>
        <w:t>Lucrarea de practica</w:t>
      </w:r>
    </w:p>
    <w:p w:rsidR="00222117" w:rsidRPr="00222117" w:rsidRDefault="00222117" w:rsidP="00EF4136">
      <w:pPr>
        <w:spacing w:after="200" w:line="240" w:lineRule="auto"/>
        <w:jc w:val="center"/>
        <w:rPr>
          <w:rFonts w:ascii="Times New Roman" w:eastAsia="Times New Roman" w:hAnsi="Times New Roman" w:cs="Times New Roman"/>
          <w:sz w:val="24"/>
          <w:szCs w:val="24"/>
        </w:rPr>
      </w:pPr>
      <w:r w:rsidRPr="00222117">
        <w:rPr>
          <w:rFonts w:ascii="Cambria" w:eastAsia="Times New Roman" w:hAnsi="Cambria" w:cs="Times New Roman"/>
          <w:color w:val="000000"/>
          <w:sz w:val="24"/>
          <w:szCs w:val="24"/>
        </w:rPr>
        <w:t xml:space="preserve">la „Programarea </w:t>
      </w:r>
      <w:r w:rsidR="004050B0" w:rsidRPr="00CD5BC4">
        <w:rPr>
          <w:rFonts w:ascii="Cambria" w:eastAsia="Times New Roman" w:hAnsi="Cambria" w:cs="Times New Roman"/>
          <w:color w:val="000000"/>
          <w:sz w:val="24"/>
          <w:szCs w:val="24"/>
        </w:rPr>
        <w:t>Procedurala</w:t>
      </w:r>
      <w:r w:rsidRPr="00222117">
        <w:rPr>
          <w:rFonts w:ascii="Cambria" w:eastAsia="Times New Roman" w:hAnsi="Cambria" w:cs="Times New Roman"/>
          <w:color w:val="000000"/>
          <w:sz w:val="24"/>
          <w:szCs w:val="24"/>
        </w:rPr>
        <w:t>”</w:t>
      </w:r>
    </w:p>
    <w:p w:rsidR="00222117" w:rsidRPr="00CD5BC4" w:rsidRDefault="00222117" w:rsidP="00EF4136">
      <w:pPr>
        <w:spacing w:after="240" w:line="240" w:lineRule="auto"/>
        <w:jc w:val="right"/>
        <w:rPr>
          <w:rFonts w:ascii="Times New Roman" w:eastAsia="Times New Roman" w:hAnsi="Times New Roman" w:cs="Times New Roman"/>
          <w:sz w:val="24"/>
          <w:szCs w:val="24"/>
        </w:rPr>
      </w:pP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r w:rsidRPr="00222117">
        <w:rPr>
          <w:rFonts w:ascii="Times New Roman" w:eastAsia="Times New Roman" w:hAnsi="Times New Roman" w:cs="Times New Roman"/>
          <w:sz w:val="24"/>
          <w:szCs w:val="24"/>
        </w:rPr>
        <w:br/>
      </w: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CD5BC4" w:rsidRDefault="004050B0" w:rsidP="00EF4136">
      <w:pPr>
        <w:spacing w:after="240" w:line="240" w:lineRule="auto"/>
        <w:jc w:val="right"/>
        <w:rPr>
          <w:rFonts w:ascii="Times New Roman" w:eastAsia="Times New Roman" w:hAnsi="Times New Roman" w:cs="Times New Roman"/>
          <w:sz w:val="24"/>
          <w:szCs w:val="24"/>
        </w:rPr>
      </w:pPr>
    </w:p>
    <w:p w:rsidR="004050B0" w:rsidRPr="00222117" w:rsidRDefault="004050B0" w:rsidP="00EF4136">
      <w:pPr>
        <w:spacing w:after="240" w:line="240" w:lineRule="auto"/>
        <w:jc w:val="right"/>
        <w:rPr>
          <w:rFonts w:ascii="Times New Roman" w:eastAsia="Times New Roman" w:hAnsi="Times New Roman" w:cs="Times New Roman"/>
          <w:sz w:val="24"/>
          <w:szCs w:val="24"/>
        </w:rPr>
      </w:pPr>
    </w:p>
    <w:p w:rsidR="00222117" w:rsidRPr="00222117" w:rsidRDefault="00222117" w:rsidP="00EF4136">
      <w:pPr>
        <w:spacing w:after="200" w:line="240" w:lineRule="auto"/>
        <w:ind w:left="2880" w:firstLine="720"/>
        <w:jc w:val="right"/>
        <w:rPr>
          <w:rFonts w:ascii="Times New Roman" w:eastAsia="Times New Roman" w:hAnsi="Times New Roman" w:cs="Times New Roman"/>
          <w:sz w:val="24"/>
          <w:szCs w:val="24"/>
        </w:rPr>
      </w:pPr>
      <w:r w:rsidRPr="00222117">
        <w:rPr>
          <w:rFonts w:ascii="Cambria" w:eastAsia="Times New Roman" w:hAnsi="Cambria" w:cs="Times New Roman"/>
          <w:b/>
          <w:bCs/>
          <w:color w:val="000000"/>
          <w:sz w:val="24"/>
          <w:szCs w:val="24"/>
        </w:rPr>
        <w:t>Elaborat de:</w:t>
      </w:r>
      <w:r w:rsidRPr="00222117">
        <w:rPr>
          <w:rFonts w:ascii="Cambria" w:eastAsia="Times New Roman" w:hAnsi="Cambria" w:cs="Times New Roman"/>
          <w:b/>
          <w:bCs/>
          <w:color w:val="000000"/>
          <w:sz w:val="24"/>
          <w:szCs w:val="24"/>
        </w:rPr>
        <w:br/>
        <w:t xml:space="preserve"> </w:t>
      </w:r>
      <w:proofErr w:type="spellStart"/>
      <w:r w:rsidRPr="00222117">
        <w:rPr>
          <w:rFonts w:ascii="Cambria" w:eastAsia="Times New Roman" w:hAnsi="Cambria" w:cs="Times New Roman"/>
          <w:b/>
          <w:bCs/>
          <w:color w:val="000000"/>
          <w:sz w:val="24"/>
          <w:szCs w:val="24"/>
        </w:rPr>
        <w:t>Grigoriev</w:t>
      </w:r>
      <w:proofErr w:type="spellEnd"/>
      <w:r w:rsidRPr="00222117">
        <w:rPr>
          <w:rFonts w:ascii="Cambria" w:eastAsia="Times New Roman" w:hAnsi="Cambria" w:cs="Times New Roman"/>
          <w:b/>
          <w:bCs/>
          <w:color w:val="000000"/>
          <w:sz w:val="24"/>
          <w:szCs w:val="24"/>
        </w:rPr>
        <w:t xml:space="preserve"> Artur, gr.PAPP-241</w:t>
      </w:r>
    </w:p>
    <w:p w:rsidR="00222117" w:rsidRPr="00CD5BC4" w:rsidRDefault="00222117" w:rsidP="00EF4136">
      <w:pPr>
        <w:jc w:val="center"/>
      </w:pPr>
      <w:r w:rsidRPr="00CD5BC4">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lastRenderedPageBreak/>
        <w:t>Analiza temei „X și Zero”</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Jocul „X și Zero” reprezintă un concept simplu, dar atractiv, care a rezistat testului timpului, continuând să fie apreciat de utilizatorii de toate vârstele. Acesta constă în plasarea alternativă a simbolurilor „X” și „0” pe o grilă formată din trei rânduri și trei coloane, cu scopul de a realiza o linie verticală, orizontală sau diagonală compusă din simboluri identice. Deși regulile jocului par la prima vedere simple și ușor de înțeles, succesul în acest joc depinde în mod semnificativ de abilitățile strategice ale jucătorilor, determinându-i să anticipeze mișcările adversarului și să își adapteze propriile mutări în consecință.</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În contextul actual, în care atenția utilizatorilor este limitată și competiția între aplicații este acerbă, dezvoltarea unui produs care să aibă succes implică înțelegerea aprofundată a mecanismelor ce atrag și mențin atenția utilizatorilor. În acest sens, tema „X și Zero” are ca obiectiv principal nu doar crearea unui simplu joc digital, ci și oferirea unei experiențe atractive și stimulante, în care utilizatorii să fie încurajați să se implice activ, folosindu-și logica și abilitățile cognitive într-un context ludic. Astfel, abordarea temei trebuie să depășească simpla redare a regulilor clasice și să ofere elemente care să îmbunătățească semnificativ experiența generală, inclusiv interfața intuitivă, o grafică plăcută și posibilitatea dezvoltării unor strategii variate care să prevină monotonia.</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Totuși, simplitatea mecanică a jocului aduce cu sine și o provocare majoră, anume faptul că repetarea constantă a aceluiași model de joc poate conduce rapid la plictiseală și pierderea interesului din partea utilizatorului. Astfel, o implementare reușită a acestei teme trebuie să ia în considerare necesitatea introducerii unor elemente suplimentare care să evite monotonizarea experienței și să mențină implicarea jucătorului pe termen lung.</w:t>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Înțelegerea contextului și problemei abordate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Jocul „X și Zero” poate fi încadrat într-un context digital modern dominat de numeroase aplicații care încearcă să capteze atenția utilizatorului și să-l păstreze implicat cât mai mult timp. În acest mediu competitiv, o simplă implementare a regulilor clasice nu mai este suficientă pentru a genera o audiență stabilă și loială. În acest sens, o problemă importantă identificată în cazul jocului „X și Zero” este caracterul repetitiv al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care, în lipsa unor mecanisme suplimentare, conduce rapid la plictiseală și, ulterior, la abandonarea aplicației.</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Utilizatorii actuali caută experiențe variate și captivante, motiv pentru care o aplicație bazată strict pe regulile simple ale jocului poate deveni rapid neinteresantă. Provocarea majoră este deci aceea de a evita instalarea sentimentului de monotonie generat de repetarea constantă a aceluiași set limitat de acțiuni. Pentru a combate acest fenomen, dezvoltatorii trebuie să creeze mecanisme adiționale, cum ar fi niveluri diferite de dificultate, provocări tematice sau diverse moduri de joc care să îmbogățească experiența de bază și să determine utilizatorii să se reîntoarcă periodic.</w:t>
      </w:r>
    </w:p>
    <w:p w:rsidR="007A3007"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Mai mult decât atât, înțelegerea profundă a problemei înseamnă recunoașterea faptului că repetitivitatea este strâns legată de lipsa unor recompense sau stimulente adecvate. Astfel, introducerea unor obiective clare, recompense simbolice sau elemente de progresie în joc poate să ajute semnificativ la prevenirea plictiselii și să asigure o experiență plăcută și atractivă pe termen lung.</w:t>
      </w:r>
    </w:p>
    <w:p w:rsidR="007A3007" w:rsidRDefault="007A3007" w:rsidP="002632A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834EF3" w:rsidRPr="00834EF3" w:rsidRDefault="00834EF3" w:rsidP="00834EF3">
      <w:pPr>
        <w:spacing w:before="100" w:beforeAutospacing="1" w:after="100" w:afterAutospacing="1" w:line="240" w:lineRule="auto"/>
        <w:outlineLvl w:val="1"/>
        <w:rPr>
          <w:rFonts w:ascii="Times New Roman" w:eastAsia="Times New Roman" w:hAnsi="Times New Roman" w:cs="Times New Roman"/>
          <w:b/>
          <w:bCs/>
          <w:sz w:val="36"/>
          <w:szCs w:val="36"/>
        </w:rPr>
      </w:pPr>
      <w:r w:rsidRPr="00834EF3">
        <w:rPr>
          <w:rFonts w:ascii="Times New Roman" w:eastAsia="Times New Roman" w:hAnsi="Times New Roman" w:cs="Times New Roman"/>
          <w:b/>
          <w:bCs/>
          <w:sz w:val="36"/>
          <w:szCs w:val="36"/>
        </w:rPr>
        <w:t>Analiza comparativă a trei platforme existente</w:t>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Pentru a înțelege mai bine oportunitățile și capcanele implementării temei „X și Zero”, este necesară o analiză detaliată a unor aplicații deja existente, identificând atât punctele lor forte, cât și slăbiciunile lor semnificative, în special cele legate de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w:t>
      </w:r>
    </w:p>
    <w:p w:rsidR="002632A7"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107632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76325" cy="1943100"/>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Prima aplicație analizată este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w:t>
      </w:r>
      <w:proofErr w:type="spellStart"/>
      <w:r w:rsidRPr="00CD5BC4">
        <w:rPr>
          <w:rFonts w:ascii="Times New Roman" w:eastAsia="Times New Roman" w:hAnsi="Times New Roman" w:cs="Times New Roman"/>
          <w:b/>
          <w:bCs/>
          <w:sz w:val="24"/>
          <w:szCs w:val="24"/>
        </w:rPr>
        <w:t>Glow</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un joc cu o interfață grafică atractivă și vibrantă. Aceasta beneficiază de o prezentare vizuală de calitate, având animații și efecte luminoase care cresc implicarea inițială a utilizatorului. De asemenea, oferă diverse grade de dificultate ale adversarului AI, ceea ce permite o abordare progresivă. Cu toate acestea, principalul neajuns al aplicației este lipsa unor elemente suplimentare de diversificare a jocului, ceea ce face ca, după câteva partide, utilizatorii să simtă o repetitivitate accentuată. În lipsa altor mecanisme de stimulare, acest lucru determină pierderea rapidă a interesului.</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r w:rsidRPr="00CD5BC4">
        <w:rPr>
          <w:rFonts w:ascii="Times New Roman" w:eastAsia="Times New Roman" w:hAnsi="Times New Roman" w:cs="Times New Roman"/>
          <w:sz w:val="24"/>
          <w:szCs w:val="24"/>
        </w:rPr>
        <w:t xml:space="preserve"> </w:t>
      </w:r>
    </w:p>
    <w:p w:rsidR="00CD5BC4" w:rsidRDefault="002632A7"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1849995" cy="1819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49995" cy="1819275"/>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A doua aplicație, </w:t>
      </w:r>
      <w:r w:rsidRPr="00CD5BC4">
        <w:rPr>
          <w:rFonts w:ascii="Times New Roman" w:eastAsia="Times New Roman" w:hAnsi="Times New Roman" w:cs="Times New Roman"/>
          <w:b/>
          <w:bCs/>
          <w:sz w:val="24"/>
          <w:szCs w:val="24"/>
        </w:rPr>
        <w:t xml:space="preserve">„Tic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 xml:space="preserve"> Online” (BYRIL)</w:t>
      </w:r>
      <w:r w:rsidRPr="00834EF3">
        <w:rPr>
          <w:rFonts w:ascii="Times New Roman" w:eastAsia="Times New Roman" w:hAnsi="Times New Roman" w:cs="Times New Roman"/>
          <w:sz w:val="24"/>
          <w:szCs w:val="24"/>
        </w:rPr>
        <w:t xml:space="preserve">, se remarcă prin claritatea regulilor și prin simplitatea interfeței. Deși este atractivă prin aspectul său minimalist și prin clasamentele existente, jocul nu oferă suficiente elemente care să evite instalarea monotoniei.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repetitiv rapid, întrucât fiecare partidă este similară celei precedente, fără elemente distincte sau surprize care să susțină interesul utilizatorilor în timp. Lipsa recompenselor, provocărilor tematice sau elementelor de progresie contribuie și ea la diminuarea implicării pe termen lung.</w:t>
      </w:r>
    </w:p>
    <w:p w:rsidR="00CD5BC4" w:rsidRDefault="00CD5BC4" w:rsidP="00834EF3">
      <w:pPr>
        <w:spacing w:before="100" w:beforeAutospacing="1" w:after="100" w:afterAutospacing="1" w:line="240" w:lineRule="auto"/>
        <w:rPr>
          <w:rFonts w:ascii="Times New Roman" w:eastAsia="Times New Roman" w:hAnsi="Times New Roman" w:cs="Times New Roman"/>
          <w:sz w:val="24"/>
          <w:szCs w:val="24"/>
        </w:rPr>
      </w:pPr>
    </w:p>
    <w:p w:rsidR="002632A7" w:rsidRDefault="00CD5BC4" w:rsidP="002632A7">
      <w:pPr>
        <w:spacing w:before="100" w:beforeAutospacing="1" w:after="100" w:afterAutospacing="1" w:line="240" w:lineRule="auto"/>
        <w:jc w:val="center"/>
        <w:rPr>
          <w:rFonts w:ascii="Times New Roman" w:eastAsia="Times New Roman" w:hAnsi="Times New Roman" w:cs="Times New Roman"/>
          <w:sz w:val="24"/>
          <w:szCs w:val="24"/>
        </w:rPr>
      </w:pPr>
      <w:r w:rsidRPr="00CD5BC4">
        <w:rPr>
          <w:rFonts w:ascii="Times New Roman" w:eastAsia="Times New Roman" w:hAnsi="Times New Roman" w:cs="Times New Roman"/>
          <w:noProof/>
          <w:sz w:val="24"/>
          <w:szCs w:val="24"/>
          <w:lang w:eastAsia="ro-RO"/>
        </w:rPr>
        <w:drawing>
          <wp:inline distT="0" distB="0" distL="0" distR="0">
            <wp:extent cx="3248025" cy="19267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48025" cy="1926794"/>
                    </a:xfrm>
                    <a:prstGeom prst="rect">
                      <a:avLst/>
                    </a:prstGeom>
                  </pic:spPr>
                </pic:pic>
              </a:graphicData>
            </a:graphic>
          </wp:inline>
        </w:drawing>
      </w:r>
    </w:p>
    <w:p w:rsidR="00834EF3" w:rsidRP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Cea de-a treia platformă analizată este </w:t>
      </w:r>
      <w:r w:rsidRPr="00CD5BC4">
        <w:rPr>
          <w:rFonts w:ascii="Times New Roman" w:eastAsia="Times New Roman" w:hAnsi="Times New Roman" w:cs="Times New Roman"/>
          <w:b/>
          <w:bCs/>
          <w:sz w:val="24"/>
          <w:szCs w:val="24"/>
        </w:rPr>
        <w:t xml:space="preserve">„Google Tic Tac </w:t>
      </w:r>
      <w:proofErr w:type="spellStart"/>
      <w:r w:rsidRPr="00CD5BC4">
        <w:rPr>
          <w:rFonts w:ascii="Times New Roman" w:eastAsia="Times New Roman" w:hAnsi="Times New Roman" w:cs="Times New Roman"/>
          <w:b/>
          <w:bCs/>
          <w:sz w:val="24"/>
          <w:szCs w:val="24"/>
        </w:rPr>
        <w:t>Toe</w:t>
      </w:r>
      <w:proofErr w:type="spellEnd"/>
      <w:r w:rsidRPr="00CD5BC4">
        <w:rPr>
          <w:rFonts w:ascii="Times New Roman" w:eastAsia="Times New Roman" w:hAnsi="Times New Roman" w:cs="Times New Roman"/>
          <w:b/>
          <w:bCs/>
          <w:sz w:val="24"/>
          <w:szCs w:val="24"/>
        </w:rPr>
        <w:t>”</w:t>
      </w:r>
      <w:r w:rsidRPr="00834EF3">
        <w:rPr>
          <w:rFonts w:ascii="Times New Roman" w:eastAsia="Times New Roman" w:hAnsi="Times New Roman" w:cs="Times New Roman"/>
          <w:sz w:val="24"/>
          <w:szCs w:val="24"/>
        </w:rPr>
        <w:t xml:space="preserve">, integrată direct în motorul de căutare Google. Acest joc beneficiază de o accesibilitate remarcabilă și de o interfață extrem de simplă și intuitivă, aspect care îl face atractiv pentru utilizatorii ocazionali. Cu toate acestea, tocmai această simplitate extremă generează o problemă majoră: </w:t>
      </w:r>
      <w:proofErr w:type="spellStart"/>
      <w:r w:rsidRPr="00834EF3">
        <w:rPr>
          <w:rFonts w:ascii="Times New Roman" w:eastAsia="Times New Roman" w:hAnsi="Times New Roman" w:cs="Times New Roman"/>
          <w:sz w:val="24"/>
          <w:szCs w:val="24"/>
        </w:rPr>
        <w:t>gameplay-ul</w:t>
      </w:r>
      <w:proofErr w:type="spellEnd"/>
      <w:r w:rsidRPr="00834EF3">
        <w:rPr>
          <w:rFonts w:ascii="Times New Roman" w:eastAsia="Times New Roman" w:hAnsi="Times New Roman" w:cs="Times New Roman"/>
          <w:sz w:val="24"/>
          <w:szCs w:val="24"/>
        </w:rPr>
        <w:t xml:space="preserve"> devine aproape imediat repetitiv, experiența limitându-se strict la aceleași acțiuni repetitive, fără variație sau recompense care să încurajeze implicarea continuă a utilizatorilor.</w:t>
      </w:r>
    </w:p>
    <w:p w:rsidR="00834EF3" w:rsidRDefault="00834EF3" w:rsidP="002632A7">
      <w:pPr>
        <w:spacing w:before="100" w:beforeAutospacing="1" w:after="100" w:afterAutospacing="1" w:line="240" w:lineRule="auto"/>
        <w:jc w:val="both"/>
        <w:rPr>
          <w:rFonts w:ascii="Times New Roman" w:eastAsia="Times New Roman" w:hAnsi="Times New Roman" w:cs="Times New Roman"/>
          <w:sz w:val="24"/>
          <w:szCs w:val="24"/>
        </w:rPr>
      </w:pPr>
      <w:r w:rsidRPr="00834EF3">
        <w:rPr>
          <w:rFonts w:ascii="Times New Roman" w:eastAsia="Times New Roman" w:hAnsi="Times New Roman" w:cs="Times New Roman"/>
          <w:sz w:val="24"/>
          <w:szCs w:val="24"/>
        </w:rPr>
        <w:t xml:space="preserve">Din analiza acestor platforme rezultă clar că repetitivitatea </w:t>
      </w:r>
      <w:proofErr w:type="spellStart"/>
      <w:r w:rsidRPr="00834EF3">
        <w:rPr>
          <w:rFonts w:ascii="Times New Roman" w:eastAsia="Times New Roman" w:hAnsi="Times New Roman" w:cs="Times New Roman"/>
          <w:sz w:val="24"/>
          <w:szCs w:val="24"/>
        </w:rPr>
        <w:t>gameplay</w:t>
      </w:r>
      <w:proofErr w:type="spellEnd"/>
      <w:r w:rsidRPr="00834EF3">
        <w:rPr>
          <w:rFonts w:ascii="Times New Roman" w:eastAsia="Times New Roman" w:hAnsi="Times New Roman" w:cs="Times New Roman"/>
          <w:sz w:val="24"/>
          <w:szCs w:val="24"/>
        </w:rPr>
        <w:t>-ului este o problemă comună și semnificativă, care afectează negativ interesul utilizatorilor în jocurile simple precum „X și Zero”. Prin urmare, dezvoltarea unei aplicații noi, care să preia această temă clasică, trebuie să pună accentul pe introducerea unor elemente care să diversifice experiența utilizatorilor, cum ar fi</w:t>
      </w:r>
      <w:r w:rsidR="007A3007">
        <w:rPr>
          <w:rFonts w:ascii="Times New Roman" w:eastAsia="Times New Roman" w:hAnsi="Times New Roman" w:cs="Times New Roman"/>
          <w:sz w:val="24"/>
          <w:szCs w:val="24"/>
        </w:rPr>
        <w:t xml:space="preserve"> obiective</w:t>
      </w:r>
      <w:r w:rsidRPr="00834EF3">
        <w:rPr>
          <w:rFonts w:ascii="Times New Roman" w:eastAsia="Times New Roman" w:hAnsi="Times New Roman" w:cs="Times New Roman"/>
          <w:sz w:val="24"/>
          <w:szCs w:val="24"/>
        </w:rPr>
        <w:t xml:space="preserve"> progresive, recompensele virtuale și nivelurile variate de dificultate, toate acestea având rolul de a preveni apariția monotoniei și de a menține astfel interesul jucătorilor pe termen lung.</w:t>
      </w:r>
    </w:p>
    <w:p w:rsidR="00FA362D" w:rsidRDefault="00FA362D" w:rsidP="002632A7">
      <w:pPr>
        <w:spacing w:before="100" w:beforeAutospacing="1" w:after="100" w:afterAutospacing="1" w:line="240" w:lineRule="auto"/>
        <w:jc w:val="both"/>
        <w:rPr>
          <w:rFonts w:ascii="Times New Roman" w:eastAsia="Times New Roman" w:hAnsi="Times New Roman" w:cs="Times New Roman"/>
          <w:sz w:val="24"/>
          <w:szCs w:val="24"/>
        </w:rPr>
      </w:pPr>
    </w:p>
    <w:p w:rsidR="00FA362D" w:rsidRDefault="00FA362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A362D" w:rsidRPr="00FA362D" w:rsidRDefault="00FA362D" w:rsidP="00FA362D">
      <w:pPr>
        <w:spacing w:before="100" w:beforeAutospacing="1" w:after="100" w:afterAutospacing="1" w:line="240" w:lineRule="auto"/>
        <w:outlineLvl w:val="1"/>
        <w:rPr>
          <w:rFonts w:ascii="Times New Roman" w:eastAsia="Times New Roman" w:hAnsi="Times New Roman" w:cs="Times New Roman"/>
          <w:b/>
          <w:bCs/>
          <w:sz w:val="36"/>
          <w:szCs w:val="36"/>
          <w:vertAlign w:val="subscript"/>
        </w:rPr>
      </w:pPr>
      <w:r>
        <w:rPr>
          <w:rFonts w:ascii="Times New Roman" w:eastAsia="Times New Roman" w:hAnsi="Times New Roman" w:cs="Times New Roman"/>
          <w:b/>
          <w:bCs/>
          <w:sz w:val="36"/>
          <w:szCs w:val="36"/>
        </w:rPr>
        <w:t>Ziua a doua - Github</w:t>
      </w:r>
      <w:bookmarkStart w:id="0" w:name="_GoBack"/>
      <w:bookmarkEnd w:id="0"/>
    </w:p>
    <w:p w:rsidR="00FA362D" w:rsidRDefault="00FA362D" w:rsidP="00FA362D">
      <w:pPr>
        <w:spacing w:before="100" w:beforeAutospacing="1" w:after="100" w:afterAutospacing="1" w:line="240" w:lineRule="auto"/>
        <w:jc w:val="both"/>
        <w:rPr>
          <w:rFonts w:ascii="Times New Roman" w:eastAsia="Times New Roman" w:hAnsi="Times New Roman" w:cs="Times New Roman"/>
          <w:sz w:val="24"/>
          <w:szCs w:val="24"/>
        </w:rPr>
      </w:pPr>
      <w:r>
        <w:t xml:space="preserve">În cadrul activității din această zi, s-au studiat elementele fundamentale ale utilizării platformei </w:t>
      </w:r>
      <w:proofErr w:type="spellStart"/>
      <w:r>
        <w:t>GitHub</w:t>
      </w:r>
      <w:proofErr w:type="spellEnd"/>
      <w:r>
        <w:t xml:space="preserve"> prin intermediul comenzilor </w:t>
      </w:r>
      <w:proofErr w:type="spellStart"/>
      <w:r>
        <w:t>Git</w:t>
      </w:r>
      <w:proofErr w:type="spellEnd"/>
      <w:r>
        <w:t xml:space="preserve">. S-a înțeles modul în care se inițializează un </w:t>
      </w:r>
      <w:proofErr w:type="spellStart"/>
      <w:r>
        <w:t>repository</w:t>
      </w:r>
      <w:proofErr w:type="spellEnd"/>
      <w:r>
        <w:t xml:space="preserve"> folosind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init</w:t>
      </w:r>
      <w:proofErr w:type="spellEnd"/>
      <w:r>
        <w:t xml:space="preserve">, cum se adaugă fișiere pentru a fi incluse într-un commit, cum se realizează un commit prin intermediul comenzii </w:t>
      </w:r>
      <w:proofErr w:type="spellStart"/>
      <w:r>
        <w:rPr>
          <w:rStyle w:val="HTMLCode"/>
          <w:rFonts w:eastAsiaTheme="minorHAnsi"/>
        </w:rPr>
        <w:t>git</w:t>
      </w:r>
      <w:proofErr w:type="spellEnd"/>
      <w:r>
        <w:rPr>
          <w:rStyle w:val="HTMLCode"/>
          <w:rFonts w:eastAsiaTheme="minorHAnsi"/>
        </w:rPr>
        <w:t xml:space="preserve"> commit -m "mesaj"</w:t>
      </w:r>
      <w:r>
        <w:t xml:space="preserve"> și, în final, cum se sincronizează </w:t>
      </w:r>
      <w:proofErr w:type="spellStart"/>
      <w:r>
        <w:t>repository-ul</w:t>
      </w:r>
      <w:proofErr w:type="spellEnd"/>
      <w:r>
        <w:t xml:space="preserve"> local cu platforma </w:t>
      </w:r>
      <w:proofErr w:type="spellStart"/>
      <w:r>
        <w:t>GitHub</w:t>
      </w:r>
      <w:proofErr w:type="spellEnd"/>
      <w:r>
        <w:t xml:space="preserve"> utilizând comanda </w:t>
      </w:r>
      <w:proofErr w:type="spellStart"/>
      <w:r>
        <w:rPr>
          <w:rStyle w:val="HTMLCode"/>
          <w:rFonts w:eastAsiaTheme="minorHAnsi"/>
        </w:rPr>
        <w:t>git</w:t>
      </w:r>
      <w:proofErr w:type="spellEnd"/>
      <w:r>
        <w:rPr>
          <w:rStyle w:val="HTMLCode"/>
          <w:rFonts w:eastAsiaTheme="minorHAnsi"/>
        </w:rPr>
        <w:t xml:space="preserve"> </w:t>
      </w:r>
      <w:proofErr w:type="spellStart"/>
      <w:r>
        <w:rPr>
          <w:rStyle w:val="HTMLCode"/>
          <w:rFonts w:eastAsiaTheme="minorHAnsi"/>
        </w:rPr>
        <w:t>push</w:t>
      </w:r>
      <w:proofErr w:type="spellEnd"/>
      <w:r>
        <w:t>. Aceste concepte dobândite formează baza necesară pentru lucrul colaborativ și gestionarea eficientă a codului sursă în proiecte practice.</w:t>
      </w:r>
    </w:p>
    <w:p w:rsidR="00FA362D" w:rsidRPr="00834EF3" w:rsidRDefault="00281F44" w:rsidP="00281F44">
      <w:pPr>
        <w:spacing w:before="100" w:beforeAutospacing="1" w:after="100" w:afterAutospacing="1" w:line="240" w:lineRule="auto"/>
        <w:jc w:val="center"/>
        <w:rPr>
          <w:rFonts w:ascii="Times New Roman" w:eastAsia="Times New Roman" w:hAnsi="Times New Roman" w:cs="Times New Roman"/>
          <w:sz w:val="24"/>
          <w:szCs w:val="24"/>
        </w:rPr>
      </w:pPr>
      <w:r w:rsidRPr="00FA362D">
        <w:rPr>
          <w:rFonts w:ascii="Times New Roman" w:eastAsia="Times New Roman" w:hAnsi="Times New Roman" w:cs="Times New Roman"/>
          <w:sz w:val="24"/>
          <w:szCs w:val="24"/>
        </w:rPr>
        <w:drawing>
          <wp:inline distT="0" distB="0" distL="0" distR="0">
            <wp:extent cx="5476875" cy="29781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2978150"/>
                    </a:xfrm>
                    <a:prstGeom prst="rect">
                      <a:avLst/>
                    </a:prstGeom>
                  </pic:spPr>
                </pic:pic>
              </a:graphicData>
            </a:graphic>
          </wp:inline>
        </w:drawing>
      </w:r>
    </w:p>
    <w:p w:rsidR="00EF4136" w:rsidRPr="00CD5BC4" w:rsidRDefault="00281F44" w:rsidP="00FA362D">
      <w:pPr>
        <w:jc w:val="both"/>
        <w:rPr>
          <w:sz w:val="24"/>
          <w:szCs w:val="24"/>
        </w:rPr>
      </w:pPr>
      <w:r>
        <w:t xml:space="preserve">În cadrul lecției, studentul a aplicat cunoștințele despre </w:t>
      </w:r>
      <w:proofErr w:type="spellStart"/>
      <w:r>
        <w:t>Git</w:t>
      </w:r>
      <w:proofErr w:type="spellEnd"/>
      <w:r>
        <w:t xml:space="preserve"> și </w:t>
      </w:r>
      <w:proofErr w:type="spellStart"/>
      <w:r>
        <w:t>GitHub</w:t>
      </w:r>
      <w:proofErr w:type="spellEnd"/>
      <w:r>
        <w:t xml:space="preserve"> prin realizarea mai multor </w:t>
      </w:r>
      <w:proofErr w:type="spellStart"/>
      <w:r>
        <w:t>commituri</w:t>
      </w:r>
      <w:proofErr w:type="spellEnd"/>
      <w:r>
        <w:t xml:space="preserve"> care reflectă etapele dezvoltării unei aplicații. Au fost inițializate </w:t>
      </w:r>
      <w:proofErr w:type="spellStart"/>
      <w:r>
        <w:t>repository-ul</w:t>
      </w:r>
      <w:proofErr w:type="spellEnd"/>
      <w:r>
        <w:t xml:space="preserve"> și conexiunea cu </w:t>
      </w:r>
      <w:proofErr w:type="spellStart"/>
      <w:r>
        <w:t>GitHub</w:t>
      </w:r>
      <w:proofErr w:type="spellEnd"/>
      <w:r>
        <w:t xml:space="preserve">, apoi au fost implementate funcționalități precum grila 3x3, alternarea tururilor și verificarea condițiilor de câștig pe linii, coloane și diagonale. Aceste </w:t>
      </w:r>
      <w:proofErr w:type="spellStart"/>
      <w:r>
        <w:t>commituri</w:t>
      </w:r>
      <w:proofErr w:type="spellEnd"/>
      <w:r>
        <w:t xml:space="preserve"> demonstrează o înțelegere practică a comenzilor </w:t>
      </w:r>
      <w:proofErr w:type="spellStart"/>
      <w:r>
        <w:t>Git</w:t>
      </w:r>
      <w:proofErr w:type="spellEnd"/>
      <w:r>
        <w:t xml:space="preserve"> și o organizare logică a progresului proiectului.</w:t>
      </w:r>
    </w:p>
    <w:sectPr w:rsidR="00EF4136" w:rsidRPr="00CD5BC4" w:rsidSect="00EF4136">
      <w:footerReference w:type="default" r:id="rId12"/>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7F67" w:rsidRDefault="00267F67" w:rsidP="00D9712A">
      <w:pPr>
        <w:spacing w:after="0" w:line="240" w:lineRule="auto"/>
      </w:pPr>
      <w:r>
        <w:separator/>
      </w:r>
    </w:p>
  </w:endnote>
  <w:endnote w:type="continuationSeparator" w:id="0">
    <w:p w:rsidR="00267F67" w:rsidRDefault="00267F67" w:rsidP="00D97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6776827"/>
      <w:docPartObj>
        <w:docPartGallery w:val="Page Numbers (Bottom of Page)"/>
        <w:docPartUnique/>
      </w:docPartObj>
    </w:sdtPr>
    <w:sdtEndPr>
      <w:rPr>
        <w:noProof/>
      </w:rPr>
    </w:sdtEndPr>
    <w:sdtContent>
      <w:p w:rsidR="00D9712A" w:rsidRDefault="00D9712A">
        <w:pPr>
          <w:pStyle w:val="Footer"/>
          <w:jc w:val="right"/>
        </w:pPr>
        <w:r>
          <w:fldChar w:fldCharType="begin"/>
        </w:r>
        <w:r>
          <w:instrText xml:space="preserve"> PAGE   \* MERGEFORMAT </w:instrText>
        </w:r>
        <w:r>
          <w:fldChar w:fldCharType="separate"/>
        </w:r>
        <w:r w:rsidR="00281F44">
          <w:rPr>
            <w:noProof/>
          </w:rPr>
          <w:t>2</w:t>
        </w:r>
        <w:r>
          <w:rPr>
            <w:noProof/>
          </w:rPr>
          <w:fldChar w:fldCharType="end"/>
        </w:r>
      </w:p>
    </w:sdtContent>
  </w:sdt>
  <w:p w:rsidR="00D9712A" w:rsidRDefault="00D9712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7F67" w:rsidRDefault="00267F67" w:rsidP="00D9712A">
      <w:pPr>
        <w:spacing w:after="0" w:line="240" w:lineRule="auto"/>
      </w:pPr>
      <w:r>
        <w:separator/>
      </w:r>
    </w:p>
  </w:footnote>
  <w:footnote w:type="continuationSeparator" w:id="0">
    <w:p w:rsidR="00267F67" w:rsidRDefault="00267F67" w:rsidP="00D971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F6B85"/>
    <w:multiLevelType w:val="hybridMultilevel"/>
    <w:tmpl w:val="8384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75D94"/>
    <w:multiLevelType w:val="multilevel"/>
    <w:tmpl w:val="A6F0DD88"/>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63AA4AE2"/>
    <w:multiLevelType w:val="hybridMultilevel"/>
    <w:tmpl w:val="A6F0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0C3300"/>
    <w:multiLevelType w:val="hybridMultilevel"/>
    <w:tmpl w:val="E22EB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BBA"/>
    <w:rsid w:val="00222117"/>
    <w:rsid w:val="002632A7"/>
    <w:rsid w:val="00267F67"/>
    <w:rsid w:val="00281F44"/>
    <w:rsid w:val="002E7C4D"/>
    <w:rsid w:val="00353670"/>
    <w:rsid w:val="004050B0"/>
    <w:rsid w:val="00671BBA"/>
    <w:rsid w:val="006E1E10"/>
    <w:rsid w:val="007A3007"/>
    <w:rsid w:val="00834EF3"/>
    <w:rsid w:val="00C84EFA"/>
    <w:rsid w:val="00CD5BC4"/>
    <w:rsid w:val="00D24AC5"/>
    <w:rsid w:val="00D9712A"/>
    <w:rsid w:val="00EF4136"/>
    <w:rsid w:val="00FA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BDB7"/>
  <w15:chartTrackingRefBased/>
  <w15:docId w15:val="{0DBB49C3-50A6-4429-8D4A-6016ABCA1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link w:val="Heading1Char"/>
    <w:uiPriority w:val="9"/>
    <w:qFormat/>
    <w:rsid w:val="0022211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22211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21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2211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22117"/>
    <w:rPr>
      <w:rFonts w:ascii="Times New Roman" w:eastAsia="Times New Roman" w:hAnsi="Times New Roman" w:cs="Times New Roman"/>
      <w:b/>
      <w:bCs/>
      <w:sz w:val="36"/>
      <w:szCs w:val="36"/>
    </w:rPr>
  </w:style>
  <w:style w:type="paragraph" w:styleId="ListParagraph">
    <w:name w:val="List Paragraph"/>
    <w:basedOn w:val="Normal"/>
    <w:uiPriority w:val="34"/>
    <w:qFormat/>
    <w:rsid w:val="00EF4136"/>
    <w:pPr>
      <w:ind w:left="720"/>
      <w:contextualSpacing/>
    </w:pPr>
  </w:style>
  <w:style w:type="paragraph" w:styleId="Header">
    <w:name w:val="header"/>
    <w:basedOn w:val="Normal"/>
    <w:link w:val="HeaderChar"/>
    <w:uiPriority w:val="99"/>
    <w:unhideWhenUsed/>
    <w:rsid w:val="00D971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12A"/>
    <w:rPr>
      <w:lang w:val="ro-RO"/>
    </w:rPr>
  </w:style>
  <w:style w:type="paragraph" w:styleId="Footer">
    <w:name w:val="footer"/>
    <w:basedOn w:val="Normal"/>
    <w:link w:val="FooterChar"/>
    <w:uiPriority w:val="99"/>
    <w:unhideWhenUsed/>
    <w:rsid w:val="00D971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12A"/>
    <w:rPr>
      <w:lang w:val="ro-RO"/>
    </w:rPr>
  </w:style>
  <w:style w:type="character" w:styleId="Strong">
    <w:name w:val="Strong"/>
    <w:basedOn w:val="DefaultParagraphFont"/>
    <w:uiPriority w:val="22"/>
    <w:qFormat/>
    <w:rsid w:val="00834EF3"/>
    <w:rPr>
      <w:b/>
      <w:bCs/>
    </w:rPr>
  </w:style>
  <w:style w:type="paragraph" w:styleId="BalloonText">
    <w:name w:val="Balloon Text"/>
    <w:basedOn w:val="Normal"/>
    <w:link w:val="BalloonTextChar"/>
    <w:uiPriority w:val="99"/>
    <w:semiHidden/>
    <w:unhideWhenUsed/>
    <w:rsid w:val="00FA36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362D"/>
    <w:rPr>
      <w:rFonts w:ascii="Segoe UI" w:hAnsi="Segoe UI" w:cs="Segoe UI"/>
      <w:sz w:val="18"/>
      <w:szCs w:val="18"/>
      <w:lang w:val="ro-RO"/>
    </w:rPr>
  </w:style>
  <w:style w:type="character" w:styleId="HTMLCode">
    <w:name w:val="HTML Code"/>
    <w:basedOn w:val="DefaultParagraphFont"/>
    <w:uiPriority w:val="99"/>
    <w:semiHidden/>
    <w:unhideWhenUsed/>
    <w:rsid w:val="00FA36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500939">
      <w:bodyDiv w:val="1"/>
      <w:marLeft w:val="0"/>
      <w:marRight w:val="0"/>
      <w:marTop w:val="0"/>
      <w:marBottom w:val="0"/>
      <w:divBdr>
        <w:top w:val="none" w:sz="0" w:space="0" w:color="auto"/>
        <w:left w:val="none" w:sz="0" w:space="0" w:color="auto"/>
        <w:bottom w:val="none" w:sz="0" w:space="0" w:color="auto"/>
        <w:right w:val="none" w:sz="0" w:space="0" w:color="auto"/>
      </w:divBdr>
    </w:div>
    <w:div w:id="373969321">
      <w:bodyDiv w:val="1"/>
      <w:marLeft w:val="0"/>
      <w:marRight w:val="0"/>
      <w:marTop w:val="0"/>
      <w:marBottom w:val="0"/>
      <w:divBdr>
        <w:top w:val="none" w:sz="0" w:space="0" w:color="auto"/>
        <w:left w:val="none" w:sz="0" w:space="0" w:color="auto"/>
        <w:bottom w:val="none" w:sz="0" w:space="0" w:color="auto"/>
        <w:right w:val="none" w:sz="0" w:space="0" w:color="auto"/>
      </w:divBdr>
    </w:div>
    <w:div w:id="442380533">
      <w:bodyDiv w:val="1"/>
      <w:marLeft w:val="0"/>
      <w:marRight w:val="0"/>
      <w:marTop w:val="0"/>
      <w:marBottom w:val="0"/>
      <w:divBdr>
        <w:top w:val="none" w:sz="0" w:space="0" w:color="auto"/>
        <w:left w:val="none" w:sz="0" w:space="0" w:color="auto"/>
        <w:bottom w:val="none" w:sz="0" w:space="0" w:color="auto"/>
        <w:right w:val="none" w:sz="0" w:space="0" w:color="auto"/>
      </w:divBdr>
    </w:div>
    <w:div w:id="760493321">
      <w:bodyDiv w:val="1"/>
      <w:marLeft w:val="0"/>
      <w:marRight w:val="0"/>
      <w:marTop w:val="0"/>
      <w:marBottom w:val="0"/>
      <w:divBdr>
        <w:top w:val="none" w:sz="0" w:space="0" w:color="auto"/>
        <w:left w:val="none" w:sz="0" w:space="0" w:color="auto"/>
        <w:bottom w:val="none" w:sz="0" w:space="0" w:color="auto"/>
        <w:right w:val="none" w:sz="0" w:space="0" w:color="auto"/>
      </w:divBdr>
    </w:div>
    <w:div w:id="1787653332">
      <w:bodyDiv w:val="1"/>
      <w:marLeft w:val="0"/>
      <w:marRight w:val="0"/>
      <w:marTop w:val="0"/>
      <w:marBottom w:val="0"/>
      <w:divBdr>
        <w:top w:val="none" w:sz="0" w:space="0" w:color="auto"/>
        <w:left w:val="none" w:sz="0" w:space="0" w:color="auto"/>
        <w:bottom w:val="none" w:sz="0" w:space="0" w:color="auto"/>
        <w:right w:val="none" w:sz="0" w:space="0" w:color="auto"/>
      </w:divBdr>
    </w:div>
    <w:div w:id="1855336527">
      <w:bodyDiv w:val="1"/>
      <w:marLeft w:val="0"/>
      <w:marRight w:val="0"/>
      <w:marTop w:val="0"/>
      <w:marBottom w:val="0"/>
      <w:divBdr>
        <w:top w:val="none" w:sz="0" w:space="0" w:color="auto"/>
        <w:left w:val="none" w:sz="0" w:space="0" w:color="auto"/>
        <w:bottom w:val="none" w:sz="0" w:space="0" w:color="auto"/>
        <w:right w:val="none" w:sz="0" w:space="0" w:color="auto"/>
      </w:divBdr>
    </w:div>
    <w:div w:id="1950509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3FBD8-7634-4058-9B99-2F91A31F8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TotalTime>
  <Pages>2</Pages>
  <Words>1118</Words>
  <Characters>6491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2025-04-07T06:20:00Z</dcterms:created>
  <dcterms:modified xsi:type="dcterms:W3CDTF">2025-04-08T08:17:00Z</dcterms:modified>
</cp:coreProperties>
</file>