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b w:val="1"/>
          <w:sz w:val="48"/>
          <w:szCs w:val="48"/>
        </w:rPr>
        <w:t xml:space="preserve">边缘AI·惊喜开箱4：端云协同省钱计划</w:t>
      </w:r>
    </w:p>
    <w:p>
      <w:pPr>
        <w:spacing w:before="60" w:after="160"/>
      </w:pPr>
      <w:r>
        <w:rPr>
          <w:b w:val="1"/>
          <w:color w:val="1E6FD9"/>
        </w:rPr>
        <w:t xml:space="preserve">别让每个 Token 都上云。端侧 AI Box 不只是一台跑模型的盒子，更是给你的 Agent 配的一位【本地店长】：日常的活儿自己干，真遇到疑难杂症，再按铃叫云端专家。账单变薄，数据不出门。</w:t>
      </w:r>
    </w:p>
    <w:p>
      <w:pPr>
        <w:spacing w:before="60" w:after="160"/>
      </w:pPr>
      <w:r>
        <w:rPr>
          <w:b w:val="1"/>
          <w:color w:val="1E6FD9"/>
        </w:rPr>
        <w:t xml:space="preserve">花十分钟读完，你会🉐到三件事：第一章，端云协同省的到底是哪本账；第二章，照着 Perplexity 和 NVIDIA Switchyard 抄作业，把「本地当店长、云端做会诊」的架构搭起来；第三章，编码、客服、办公助理各能省多少，以及怎么落地、怎么验收。</w:t>
      </w:r>
    </w:p>
    <w:tbl>
      <w:tblPr>
        <w:tblW w:w="11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40" w:type="dxa"/>
          <w:left w:w="360" w:type="dxa"/>
          <w:bottom w:w="280" w:type="dxa"/>
          <w:right w:w="360" w:type="dxa"/>
        </w:tblCellMar>
      </w:tblPr>
      <w:tblGrid>
        <w:gridCol w:w="11220"/>
      </w:tblGrid>
      <w:tr>
        <w:tc>
          <w:tcPr>
            <w:tcW w:w="11220" w:type="dxa"/>
            <w:shd w:val="clear" w:color="auto" w:fill="F5F6F8"/>
          </w:tcPr>
          <w:p>
            <w:pPr>
              <w:spacing w:before="120" w:after="240"/>
              <w:jc w:val="center"/>
            </w:pPr>
            <w:r>
              <w:rPr>
                <w:b w:val="1"/>
                <w:sz w:val="30"/>
                <w:szCs w:val="30"/>
              </w:rPr>
              <w:t xml:space="preserve">目录</w:t>
            </w:r>
          </w:p>
          <w:p>
            <w:pPr>
              <w:tabs>
                <w:tab w:val="right" w:leader="dot" w:pos="10440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一、先把账算明白：Token 没消失，只是换了收银台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1.1 三本账，别混着算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1.2 比较基线：每一次调用都走 Opus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1.3 27B、0.6B 只是示意，不是采购单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二、架构：本地当店长，云端做会诊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2.1 抄谁的作业：Perplexity 管「家」，Switchyard 管「路」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2.2 五步闭环，一图看完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2.3 谁干什么、不许干什么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2.4 隐私不靠提示词，靠两道会关上的门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三、能省多少，怎么落地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3.1 三次截流：钱是这么省下来的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3.2 分场景数据：每个数字都带身份证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3.3 换算成人民币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3.4 落地三步走：先看清，再设门，最后调优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3.5 验收看板：别只盯「省了百分之几」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40" w:after="40"/>
              <w:ind w:left="480"/>
            </w:pPr>
            <w:r>
              <w:rPr>
                <w:color w:val="5A6070"/>
                <w:sz w:val="20"/>
                <w:szCs w:val="20"/>
              </w:rPr>
              <w:t xml:space="preserve">3.6 边界与风险：不是免费午餐，也不是万能防护罩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结论：让云端更贵重，而不是更常驻</w:t>
            </w:r>
            <w:r>
              <w:rPr>
                <w:color w:val="C0C4CC"/>
              </w:rPr>
              <w:tab/>
            </w:r>
          </w:p>
          <w:p>
            <w:pPr>
              <w:tabs>
                <w:tab w:val="right" w:leader="dot" w:pos="10440"/>
              </w:tabs>
              <w:spacing w:before="140" w:after="60"/>
            </w:pPr>
            <w:r>
              <w:rPr>
                <w:b w:val="1"/>
                <w:i w:val="1"/>
                <w:sz w:val="22"/>
                <w:szCs w:val="22"/>
              </w:rPr>
              <w:t xml:space="preserve">附：数据来源</w:t>
            </w:r>
            <w:r>
              <w:rPr>
                <w:color w:val="C0C4CC"/>
              </w:rPr>
              <w:tab/>
            </w:r>
          </w:p>
        </w:tc>
      </w:tr>
    </w:tbl>
    <w:p>
      <w:pPr>
        <w:spacing w:before="0" w:after="120"/>
      </w:pPr>
    </w:p>
    <w:p>
      <w:bookmarkStart w:id="101" w:name="_h101"/>
      <w:pPr>
        <w:pStyle w:val="dingding-heading2"/>
      </w:pPr>
      <w:r>
        <w:t xml:space="preserve">一、先把账算明白：Token 没消失，只是换了收银台</w:t>
      </w:r>
      <w:bookmarkEnd w:id="101"/>
    </w:p>
    <w:p>
      <w:pPr>
        <w:spacing w:before="0" w:after="160"/>
      </w:pPr>
      <w:r>
        <w:t xml:space="preserve">把 AI 系统想成一家医院。纯云方案是：挂号、量体温、开个感冒药、做疑难会诊，通通找顶级专家。效果不差，但专家的号很贵，而且你的病历得一次次送出门。端云协同干的事很朴素：让本地团队先分诊、先处理常规项目、先把材料整理好；只有本地确实扛不住的那一步，才把</w:t>
      </w:r>
      <w:r>
        <w:rPr>
          <w:b w:val="1"/>
        </w:rPr>
        <w:t xml:space="preserve">最小必要信息</w:t>
      </w:r>
      <w:r>
        <w:t xml:space="preserve">递给云端专家。</w:t>
      </w:r>
    </w:p>
    <w:p>
      <w:bookmarkStart w:id="102" w:name="_h102"/>
      <w:pPr>
        <w:pStyle w:val="dingding-heading3"/>
      </w:pPr>
      <w:r>
        <w:t xml:space="preserve">1.1 三本账，别混着算</w:t>
      </w:r>
      <w:bookmarkEnd w:id="102"/>
    </w:p>
    <w:p>
      <w:pPr>
        <w:spacing w:before="0" w:after="160"/>
      </w:pPr>
      <w:r>
        <w:t xml:space="preserve">一聊「省 Token」，很多人脑子里只有一本账。其实至少有三本：</w:t>
      </w:r>
    </w:p>
    <w:tbl>
      <w:tblPr>
        <w:tblStyle w:val="TableGrid"/>
        <w:tblW w:w="11220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2600"/>
        <w:gridCol w:w="3800"/>
        <w:gridCol w:w="4820"/>
      </w:tblGrid>
      <w:tr>
        <w:trPr>
          <w:cantSplit/>
          <w:tblHeader/>
        </w:trPr>
        <w:tc>
          <w:tcPr>
            <w:tcW w:w="26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口径</w:t>
            </w:r>
          </w:p>
        </w:tc>
        <w:tc>
          <w:tcPr>
            <w:tcW w:w="38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它在回答什么</w:t>
            </w:r>
          </w:p>
        </w:tc>
        <w:tc>
          <w:tcPr>
            <w:tcW w:w="482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端云协同之后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总推理 Token</w:t>
            </w:r>
          </w:p>
        </w:tc>
        <w:tc>
          <w:tcPr>
            <w:tcW w:w="3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 + 云端一共嚼了多少内容</w:t>
            </w:r>
          </w:p>
        </w:tc>
        <w:tc>
          <w:tcPr>
            <w:tcW w:w="48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不一定变少。本地做规划、分类、汇总，同样在吐 Token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云端出站 Token</w:t>
            </w:r>
          </w:p>
        </w:tc>
        <w:tc>
          <w:tcPr>
            <w:tcW w:w="3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有多少上下文真的离开了设备</w:t>
            </w:r>
          </w:p>
        </w:tc>
        <w:tc>
          <w:tcPr>
            <w:tcW w:w="48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变少。本地先干、上下文裁剪、最小暴露，三招都在压它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云端计费 Token</w:t>
            </w:r>
          </w:p>
        </w:tc>
        <w:tc>
          <w:tcPr>
            <w:tcW w:w="3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有多少 Token 进了云端的收银台</w:t>
            </w:r>
          </w:p>
        </w:tc>
        <w:tc>
          <w:tcPr>
            <w:tcW w:w="48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变少。云端调用比例降 + 每次送的内容少，账单直接瘦身</w:t>
            </w:r>
          </w:p>
        </w:tc>
      </w:tr>
    </w:tbl>
    <w:p>
      <w:pPr>
        <w:spacing w:before="0" w:after="0"/>
        <w:rPr>
          <w:sz w:val="8"/>
        </w:rPr>
      </w:pPr>
    </w:p>
    <w:p>
      <w:pPr>
        <w:spacing w:before="0" w:after="160"/>
      </w:pPr>
      <w:r>
        <w:t xml:space="preserve">所以准确的说法不是「端云协同让 Token 凭空消失」，而是：</w:t>
      </w:r>
      <w:r>
        <w:rPr>
          <w:b w:val="1"/>
        </w:rPr>
        <w:t xml:space="preserve">把原本默认送云的活儿留在本地，把必须升级的那部分精简后再送云。</w:t>
      </w:r>
      <w:r>
        <w:t xml:space="preserve"> Token 没少，只是换了一家收银台——本地这家收银台不按 Token 收钱，只收电费。</w:t>
      </w:r>
    </w:p>
    <w:p>
      <w:bookmarkStart w:id="103" w:name="_h103"/>
      <w:pPr>
        <w:pStyle w:val="dingding-heading3"/>
      </w:pPr>
      <w:r>
        <w:t xml:space="preserve">1.2 比较基线：每一次调用都走 Opus</w:t>
      </w:r>
      <w:bookmarkEnd w:id="103"/>
    </w:p>
    <w:p>
      <w:pPr>
        <w:spacing w:before="0" w:after="160"/>
      </w:pPr>
      <w:r>
        <w:t xml:space="preserve">本文所有「省 X%」都拿同一把尺子量：</w:t>
      </w:r>
      <w:r>
        <w:rPr>
          <w:b w:val="1"/>
        </w:rPr>
        <w:t xml:space="preserve">每一次调用都走 Opus</w:t>
      </w:r>
      <w:r>
        <w:t xml:space="preserve">。本地模型只算电费和硬件，不进云端账单；「云端剩余」指路由之后仍然要云端处理的比例。</w:t>
      </w:r>
    </w:p>
    <w:p>
      <w:pPr>
        <w:spacing w:before="0" w:after="160"/>
      </w:pPr>
      <w:r>
        <w:t xml:space="preserve">这把尺子擅长回答「云账单能少多少」，但回答不了「系统总成本一定少多少」——盒子的硬件和电费在另一张账上。这一点先说清楚，后面的数字才不会被读歪。</w:t>
      </w:r>
    </w:p>
    <w:p>
      <w:bookmarkStart w:id="104" w:name="_h104"/>
      <w:pPr>
        <w:pStyle w:val="dingding-heading3"/>
      </w:pPr>
      <w:r>
        <w:t xml:space="preserve">1.3 27B、0.6B 只是示意，不是采购单</w:t>
      </w:r>
      <w:bookmarkEnd w:id="104"/>
    </w:p>
    <w:p>
      <w:pPr>
        <w:spacing w:before="0" w:after="160"/>
      </w:pPr>
      <w:r>
        <w:t xml:space="preserve">文中出现的本地 27B 主模型、0.6B PII 模型、256K 上下文、vLLM，以及 Qwen3.8-Flash、DeepSeek V4 Flash 这些名字，都是</w:t>
      </w:r>
      <w:r>
        <w:rPr>
          <w:b w:val="1"/>
        </w:rPr>
        <w:t xml:space="preserve">架构示意或候选替换</w:t>
      </w:r>
      <w:r>
        <w:t xml:space="preserve">，不是必须绑定的采购清单。27B 可以换成更大的单模型，也可以换成几个小模型搭班子。你要决策的是「能力怎么分工」，不是「买哪个型号」。把架构绑死在一个模型名字上，等于把「能力可替换」做成了「型号依赖」——第三章的风险清单会专门点名这个坑。</w:t>
      </w:r>
    </w:p>
    <w:p>
      <w:pPr>
        <w:pBdr>
          <w:top w:val="single" w:sz="6" w:space="1" w:color="E3E5E8"/>
        </w:pBdr>
        <w:spacing w:before="200" w:after="200"/>
      </w:pPr>
    </w:p>
    <w:p>
      <w:bookmarkStart w:id="105" w:name="_h105"/>
      <w:pPr>
        <w:pStyle w:val="dingding-heading2"/>
      </w:pPr>
      <w:r>
        <w:t xml:space="preserve">二、架构：本地当店长，云端做会诊</w:t>
      </w:r>
      <w:bookmarkEnd w:id="105"/>
    </w:p>
    <w:p>
      <w:pPr>
        <w:spacing w:before="120" w:after="200"/>
        <w:jc w:val="center"/>
      </w:pPr>
      <w:r>
        <w:drawing>
          <wp:inline distT="0" distB="0" distL="0" distR="0">
            <wp:extent cx="2377440" cy="1474012"/>
            <wp:effectExtent l="0" t="0" r="0" b="0"/>
            <wp:docPr id="1" name="meme_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me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4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t xml:space="preserve">「省钱」和「隐私」这两件事，很多方案只能二选一：要么全上云、图省事；要么全本地、图安全。端云协同的态度是——我全都要。做法也不神秘，业界已经有两份现成的作业可以抄。</w:t>
      </w:r>
    </w:p>
    <w:p>
      <w:bookmarkStart w:id="106" w:name="_h106"/>
      <w:pPr>
        <w:pStyle w:val="dingding-heading3"/>
      </w:pPr>
      <w:r>
        <w:t xml:space="preserve">2.1 抄谁的作业：Perplexity 管「家」，Switchyard 管「路」</w:t>
      </w:r>
      <w:bookmarkEnd w:id="106"/>
    </w:p>
    <w:p>
      <w:pPr>
        <w:spacing w:before="0" w:after="160"/>
      </w:pPr>
      <w:r>
        <w:rPr>
          <w:b w:val="1"/>
        </w:rPr>
        <w:t xml:space="preserve">Perplexity Portable Computer，负责「家里怎么布置」。</w:t>
      </w:r>
      <w:r>
        <w:t xml:space="preserve"> 2026 年 2 月 Perplexity 发布了 Computer：一个会拆任务、派子代理、在沙箱里跑工具、还接 Slack / GitHub / 邮件的多模型 Agent。8 月它又和 NVIDIA 一起推出了完全本地版 Portable Computer——编排模型、子代理模型、Agent 运行时、工具沙箱、连接器，全部跑在你自己的硬件上（DGX Spark，或任何 24GB 显存以上的 RTX 卡），本地模型是一个专门为 Agent 后训练过的 27B。本地完成的步骤</w:t>
      </w:r>
      <w:r>
        <w:rPr>
          <w:b w:val="1"/>
        </w:rPr>
        <w:t xml:space="preserve">不消耗一分钱云端额度</w:t>
      </w:r>
      <w:r>
        <w:t xml:space="preserve">；真需要前沿推理时，编排器会先弹窗要你批准，出站内容先过 PII 标记，云端只能回文字建议。沙箱是操作系统级强制隔离，沙箱不可用就直接禁用工具执行，绝不「悄悄降级」。本章后面的五步闭环、双闸门、fail-closed，基本就是这套思路。</w:t>
      </w:r>
    </w:p>
    <w:p>
      <w:pPr>
        <w:spacing w:before="0" w:after="160"/>
      </w:pPr>
      <w:r>
        <w:rPr>
          <w:b w:val="1"/>
        </w:rPr>
        <w:t xml:space="preserve">NVIDIA NeMo Switchyard，负责「什么时候出门」。</w:t>
      </w:r>
      <w:r>
        <w:t xml:space="preserve"> 它是 NVIDIA 开源的模型路由层，兼容 OpenAI 与 Anthropic 接口，专门回答一个问题：Agent 的这一次调用，到底要不要花前沿模型的钱？它自带几种现成的路由器：</w:t>
      </w:r>
    </w:p>
    <w:p>
      <w:pPr>
        <w:numPr>
          <w:ilvl w:val="0"/>
          <w:numId w:val="1"/>
        </w:numPr>
        <w:spacing w:before="0" w:after="80"/>
      </w:pPr>
      <w:r>
        <w:rPr>
          <w:b w:val="1"/>
        </w:rPr>
        <w:t xml:space="preserve">Escalation（升级路由）</w:t>
      </w:r>
      <w:r>
        <w:t xml:space="preserve">：先用便宜模型干，裁判模型盯着看；连续两次判定「卡住了」，这个任务之后就全交给贵模型。单向升级，不反悔。</w:t>
      </w:r>
    </w:p>
    <w:p>
      <w:pPr>
        <w:numPr>
          <w:ilvl w:val="0"/>
          <w:numId w:val="1"/>
        </w:numPr>
        <w:spacing w:before="0" w:after="80"/>
      </w:pPr>
      <w:r>
        <w:rPr>
          <w:b w:val="1"/>
        </w:rPr>
        <w:t xml:space="preserve">Stage（阶段路由）</w:t>
      </w:r>
      <w:r>
        <w:t xml:space="preserve">：看最近的工具结果和进度。稳定改代码、测试已过，就用便宜的；报错连连、原地打转，就换贵的。</w:t>
      </w:r>
    </w:p>
    <w:p>
      <w:pPr>
        <w:numPr>
          <w:ilvl w:val="0"/>
          <w:numId w:val="1"/>
        </w:numPr>
        <w:spacing w:before="0" w:after="80"/>
      </w:pPr>
      <w:r>
        <w:rPr>
          <w:b w:val="1"/>
        </w:rPr>
        <w:t xml:space="preserve">Capability / LLM 分类</w:t>
      </w:r>
      <w:r>
        <w:t xml:space="preserve">：先让裁判判断任务难度，选定模型后在后续轮次保持会话亲和，不反复分类。</w:t>
      </w:r>
    </w:p>
    <w:p>
      <w:pPr>
        <w:numPr>
          <w:ilvl w:val="0"/>
          <w:numId w:val="1"/>
        </w:numPr>
        <w:spacing w:before="0" w:after="80"/>
      </w:pPr>
      <w:r>
        <w:rPr>
          <w:b w:val="1"/>
        </w:rPr>
        <w:t xml:space="preserve">Prefill（可训练路由）</w:t>
      </w:r>
      <w:r>
        <w:t xml:space="preserve">：从模型残差流里读信号，预测每个候选模型的成功概率，再按成本、延迟做取舍。</w:t>
      </w:r>
    </w:p>
    <w:p>
      <w:pPr>
        <w:spacing w:before="0" w:after="60"/>
      </w:pPr>
    </w:p>
    <w:p>
      <w:pPr>
        <w:spacing w:before="0" w:after="160"/>
      </w:pPr>
      <w:r>
        <w:t xml:space="preserve">第三章那些「云端剩余 X%」，大多就是这些路由器在 Terminal-Bench 2.1、τ²-bench 和 LangChain 任务集上跑出来的。一句话：</w:t>
      </w:r>
      <w:r>
        <w:rPr>
          <w:b w:val="1"/>
        </w:rPr>
        <w:t xml:space="preserve">Perplexity 告诉你本地这个家怎么布置，Switchyard 告诉你什么时候该出门、出门带多少东西。</w:t>
      </w:r>
    </w:p>
    <w:p>
      <w:bookmarkStart w:id="107" w:name="_h107"/>
      <w:pPr>
        <w:pStyle w:val="dingding-heading3"/>
      </w:pPr>
      <w:r>
        <w:t xml:space="preserve">2.2 五步闭环，一图看完</w:t>
      </w:r>
      <w:bookmarkEnd w:id="107"/>
    </w:p>
    <w:p>
      <w:pPr>
        <w:spacing w:before="120" w:after="200"/>
        <w:jc w:val="center"/>
      </w:pPr>
      <w:r>
        <w:drawing>
          <wp:inline distT="0" distB="0" distL="0" distR="0">
            <wp:extent cx="2377440" cy="1783080"/>
            <wp:effectExtent l="0" t="0" r="0" b="0"/>
            <wp:docPr id="2" name="meme_niub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me_niub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t xml:space="preserve">端云协同不是在请求前面加一个分类器就完事，而是一条「本地默认、升级受控、结果回流」的闭环。先上图：</w:t>
      </w:r>
    </w:p>
    <w:p>
      <w:pPr>
        <w:spacing w:before="120" w:after="200"/>
        <w:jc w:val="center"/>
      </w:pPr>
      <w:r>
        <w:drawing>
          <wp:inline distT="0" distB="0" distL="0" distR="0">
            <wp:extent cx="7124700" cy="4523682"/>
            <wp:effectExtent l="0" t="0" r="0" b="0"/>
            <wp:docPr id="3" name="fig_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52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t xml:space="preserve">图里三种颜色对应三块地盘：GPU 区常驻两个模型（27B 主推理 + 0.6B PII 审查），CPU 区跑 Agent 运行时、子代理和两套沙箱，右边橙色是受控访问的云端。整台设备只留</w:t>
      </w:r>
      <w:r>
        <w:rPr>
          <w:b w:val="1"/>
        </w:rPr>
        <w:t xml:space="preserve">一个网络出口</w:t>
      </w:r>
      <w:r>
        <w:t xml:space="preserve">，而且只有 Agent 内置的出网门控能走。</w:t>
      </w:r>
    </w:p>
    <w:p>
      <w:pPr>
        <w:spacing w:before="0" w:after="160"/>
      </w:pPr>
      <w:r>
        <w:rPr>
          <w:b w:val="1"/>
        </w:rPr>
        <w:t xml:space="preserve">第一步：用户下达任务。</w:t>
      </w:r>
      <w:r>
        <w:t xml:space="preserve"> 请求先进本地编排器。会话、本地文件、任务上下文默认留在设备上，不会把整段对话自动打包上云。</w:t>
      </w:r>
    </w:p>
    <w:p>
      <w:pPr>
        <w:spacing w:before="0" w:after="160"/>
      </w:pPr>
      <w:r>
        <w:rPr>
          <w:b w:val="1"/>
        </w:rPr>
        <w:t xml:space="preserve">第二步：本地模型先上。</w:t>
      </w:r>
      <w:r>
        <w:t xml:space="preserve"> 27B 主模型负责规划、能力分类和编排决策；能本地完成的日常任务直接完成，需要工具就交给本地沙箱执行——沙箱隔离运行环境，零出网。</w:t>
      </w:r>
    </w:p>
    <w:p>
      <w:pPr>
        <w:spacing w:before="0" w:after="160"/>
      </w:pPr>
      <w:r>
        <w:rPr>
          <w:b w:val="1"/>
        </w:rPr>
        <w:t xml:space="preserve">第三步：确需云端，先过隐私闸门。</w:t>
      </w:r>
      <w:r>
        <w:t xml:space="preserve"> 本地判断这一步需要前沿推理或实时数据，不是立刻联网，而是先裁剪上下文，只留任务需要的最小片段；再送 0.6B PII 模型审查；然后把「即将离开设备的确切内容」摆到你面前，等你点头。</w:t>
      </w:r>
    </w:p>
    <w:p>
      <w:pPr>
        <w:spacing w:before="0" w:after="160"/>
      </w:pPr>
      <w:r>
        <w:rPr>
          <w:b w:val="1"/>
        </w:rPr>
        <w:t xml:space="preserve">第四步：云端专家按需处理。</w:t>
      </w:r>
      <w:r>
        <w:t xml:space="preserve"> 你批准了，云端模型群才上场。云端碰不到本地文件，调不了本地工具，看不到完整对话，也不能主动往回推东西；它只收到批准过的片段，只能回一段文字建议。</w:t>
      </w:r>
    </w:p>
    <w:p>
      <w:pPr>
        <w:spacing w:before="0" w:after="160"/>
      </w:pPr>
      <w:r>
        <w:rPr>
          <w:b w:val="1"/>
        </w:rPr>
        <w:t xml:space="preserve">第五步：结果回本地继续跑。</w:t>
      </w:r>
      <w:r>
        <w:t xml:space="preserve"> 云端输出不是直接接管系统，而是回到本地编排器，由本地模型结合本地状态、工具和后续步骤继续执行。</w:t>
      </w:r>
    </w:p>
    <w:p>
      <w:pPr>
        <w:spacing w:before="0" w:after="160"/>
      </w:pPr>
      <w:r>
        <w:t xml:space="preserve">所以云端是「按铃才来的会诊专家」，不是一直坐在驾驶座上的默认司机。</w:t>
      </w:r>
    </w:p>
    <w:p>
      <w:bookmarkStart w:id="108" w:name="_h108"/>
      <w:pPr>
        <w:pStyle w:val="dingding-heading3"/>
      </w:pPr>
      <w:r>
        <w:t xml:space="preserve">2.3 谁干什么、不许干什么</w:t>
      </w:r>
      <w:bookmarkEnd w:id="108"/>
    </w:p>
    <w:tbl>
      <w:tblPr>
        <w:tblStyle w:val="TableGrid"/>
        <w:tblW w:w="11220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2700"/>
        <w:gridCol w:w="4400"/>
        <w:gridCol w:w="4120"/>
      </w:tblGrid>
      <w:tr>
        <w:trPr>
          <w:cantSplit/>
          <w:tblHeader/>
        </w:trPr>
        <w:tc>
          <w:tcPr>
            <w:tcW w:w="27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组件</w:t>
            </w:r>
          </w:p>
        </w:tc>
        <w:tc>
          <w:tcPr>
            <w:tcW w:w="44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主要职责</w:t>
            </w:r>
          </w:p>
        </w:tc>
        <w:tc>
          <w:tcPr>
            <w:tcW w:w="412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明确边界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本地编排器 / 主模型</w:t>
            </w:r>
          </w:p>
        </w:tc>
        <w:tc>
          <w:tcPr>
            <w:tcW w:w="4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规划、分类、路由、常规推理、上下文整理</w:t>
            </w:r>
          </w:p>
        </w:tc>
        <w:tc>
          <w:tcPr>
            <w:tcW w:w="41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规格可替换，不绑定 27B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本地工具沙箱</w:t>
            </w:r>
          </w:p>
        </w:tc>
        <w:tc>
          <w:tcPr>
            <w:tcW w:w="4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执行工具与任务动作</w:t>
            </w:r>
          </w:p>
        </w:tc>
        <w:tc>
          <w:tcPr>
            <w:tcW w:w="41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隔离环境、零出网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0.6B PII 审查模型</w:t>
            </w:r>
          </w:p>
        </w:tc>
        <w:tc>
          <w:tcPr>
            <w:tcW w:w="4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对出站内容做实体级检测</w:t>
            </w:r>
          </w:p>
        </w:tc>
        <w:tc>
          <w:tcPr>
            <w:tcW w:w="41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常驻本地流水线，规格为材料示意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本地隔离子代理</w:t>
            </w:r>
          </w:p>
        </w:tc>
        <w:tc>
          <w:tcPr>
            <w:tcW w:w="4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处理涉密计算，只回传非身份汇总</w:t>
            </w:r>
          </w:p>
        </w:tc>
        <w:tc>
          <w:tcPr>
            <w:tcW w:w="41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沙箱不可用则禁用，不降级裸奔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云端模型群</w:t>
            </w:r>
          </w:p>
        </w:tc>
        <w:tc>
          <w:tcPr>
            <w:tcW w:w="4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本地啃不动的前沿推理、实时数据类任务</w:t>
            </w:r>
          </w:p>
        </w:tc>
        <w:tc>
          <w:tcPr>
            <w:tcW w:w="41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无本地工具权、文件权和完整会话权</w:t>
            </w:r>
          </w:p>
        </w:tc>
      </w:tr>
    </w:tbl>
    <w:p>
      <w:pPr>
        <w:spacing w:before="0" w:after="0"/>
        <w:rPr>
          <w:sz w:val="8"/>
        </w:rPr>
      </w:pPr>
    </w:p>
    <w:p>
      <w:bookmarkStart w:id="109" w:name="_h109"/>
      <w:pPr>
        <w:pStyle w:val="dingding-heading3"/>
      </w:pPr>
      <w:r>
        <w:t xml:space="preserve">2.4 隐私不靠提示词，靠两道会关上的门</w:t>
      </w:r>
      <w:bookmarkEnd w:id="109"/>
    </w:p>
    <w:p>
      <w:pPr>
        <w:spacing w:before="0" w:after="160"/>
      </w:pPr>
      <w:r>
        <w:t xml:space="preserve">只在系统提示里写一句「请注意隐私」，就像在门口贴张纸条「贵重物品请勿带出」——有礼貌，没用。端云协同要的是两道真的会关上的门。</w:t>
      </w:r>
    </w:p>
    <w:p>
      <w:pPr>
        <w:spacing w:before="0" w:after="160"/>
      </w:pPr>
      <w:r>
        <w:rPr>
          <w:b w:val="1"/>
        </w:rPr>
        <w:t xml:space="preserve">闸门一：出站前审查 + 逐次批准。</w:t>
      </w:r>
      <w:r>
        <w:t xml:space="preserve"> 所有待出站内容先过本地 PII 模型：分词后进 0.6B 双向编码器，对 37 类实体逐 Token 打分，再用约束 Viterbi 解码出实体边界，最后决定脱敏还是拦截。给用户看的时候归成 9 类：人名、邮箱、电话、地址、URL、日期、账号、机密事项和其他。</w:t>
      </w:r>
    </w:p>
    <w:p>
      <w:pPr>
        <w:spacing w:before="0" w:after="160"/>
      </w:pPr>
      <w:r>
        <w:t xml:space="preserve">审查不是「授权一次，永久放行」。系统每次都把将要出门的确切内容摆出来，你批准这一次、这一小段，才发。批准的是一次出行，不是给整台设备发通行证。</w:t>
      </w:r>
    </w:p>
    <w:p>
      <w:pPr>
        <w:spacing w:before="0" w:after="160"/>
      </w:pPr>
      <w:r>
        <w:t xml:space="preserve">材料里的 PII 指标：4096 Token 上下文 + 50% 重叠滑窗，长文本 recall 从 0.83 拉到 0.97；字符级 F1 0.629，材料称在 12 个评测系统中最高；重复 PII 一致检出率 79.4%，对比前沿云端模型 57.0%；BF16 部署，与主模型共享 GPU，显存预算只占 5%。这些是材料中的设计与评测记录，落地时仍要在自己的数据和链路上复验。</w:t>
      </w:r>
    </w:p>
    <w:p>
      <w:pPr>
        <w:spacing w:before="0" w:after="160"/>
      </w:pPr>
      <w:r>
        <w:rPr>
          <w:b w:val="1"/>
        </w:rPr>
        <w:t xml:space="preserve">闸门二：涉密计算进本地隔离子代理。</w:t>
      </w:r>
      <w:r>
        <w:t xml:space="preserve"> 碰敏感数据的计算，不为了「方便」把原始内容升级上云，而是派给独立沙箱里的本地子代理。子代理只回传非身份汇总，涉密数据留在隔离区。</w:t>
      </w:r>
    </w:p>
    <w:p>
      <w:pPr>
        <w:spacing w:before="0" w:after="160"/>
      </w:pPr>
      <w:r>
        <w:t xml:space="preserve">最关键的一条是 </w:t>
      </w:r>
      <w:r>
        <w:rPr>
          <w:b w:val="1"/>
        </w:rPr>
        <w:t xml:space="preserve">fail-closed</w:t>
      </w:r>
      <w:r>
        <w:t xml:space="preserve">：沙箱不可用，功能直接禁用，不做无保护降级。很多系统的坏习惯是「安全组件挂了，先把任务跑完再说」；这里反过来——门锁坏了，门就一直关着。</w:t>
      </w:r>
    </w:p>
    <w:p>
      <w:pPr>
        <w:spacing w:before="0" w:after="160"/>
      </w:pPr>
      <w:r>
        <w:t xml:space="preserve">两道门之外，还有云端最小权限：无本地文件权、无本地工具权、无完整会话权、不能主动推送，只能对批准过的片段回文字建议。就算叫了云端，暴露面也只有这一次任务的最小集合。</w:t>
      </w:r>
    </w:p>
    <w:p>
      <w:pPr>
        <w:pBdr>
          <w:top w:val="single" w:sz="6" w:space="1" w:color="E3E5E8"/>
        </w:pBdr>
        <w:spacing w:before="200" w:after="200"/>
      </w:pPr>
    </w:p>
    <w:p>
      <w:bookmarkStart w:id="110" w:name="_h110"/>
      <w:pPr>
        <w:pStyle w:val="dingding-heading2"/>
      </w:pPr>
      <w:r>
        <w:t xml:space="preserve">三、能省多少，怎么落地</w:t>
      </w:r>
      <w:bookmarkEnd w:id="110"/>
    </w:p>
    <w:p>
      <w:pPr>
        <w:spacing w:before="120" w:after="200"/>
        <w:jc w:val="center"/>
      </w:pPr>
      <w:r>
        <w:drawing>
          <wp:inline distT="0" distB="0" distL="0" distR="0">
            <wp:extent cx="2194560" cy="2194560"/>
            <wp:effectExtent l="0" t="0" r="0" b="0"/>
            <wp:docPr id="4" name="meme_mon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me_mon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111" w:name="_h111"/>
      <w:pPr>
        <w:pStyle w:val="dingding-heading3"/>
      </w:pPr>
      <w:r>
        <w:t xml:space="preserve">3.1 三次截流：钱是这么省下来的</w:t>
      </w:r>
      <w:bookmarkEnd w:id="111"/>
    </w:p>
    <w:p>
      <w:pPr>
        <w:spacing w:before="0" w:after="160"/>
      </w:pPr>
      <w:r>
        <w:t xml:space="preserve">省钱不是一个开关，而是三次「截流」：</w:t>
      </w:r>
    </w:p>
    <w:p>
      <w:pPr>
        <w:spacing w:before="0" w:after="160"/>
      </w:pPr>
      <w:r>
        <w:rPr>
          <w:b w:val="1"/>
        </w:rPr>
        <w:t xml:space="preserve">第一次截流：本地直接干完。</w:t>
      </w:r>
      <w:r>
        <w:t xml:space="preserve"> 一轮任务不需要升级，云端剩余就少一轮，云端计费也少一轮。</w:t>
      </w:r>
    </w:p>
    <w:p>
      <w:pPr>
        <w:spacing w:before="0" w:after="160"/>
      </w:pPr>
      <w:r>
        <w:rPr>
          <w:b w:val="1"/>
        </w:rPr>
        <w:t xml:space="preserve">第二次截流：只升级难点。</w:t>
      </w:r>
      <w:r>
        <w:t xml:space="preserve"> 多轮任务不必从第一句到最后一句全绑在云端，可以按轮、按能力、按阶段路由。云端从「全程包办」变成「疑难会诊」。</w:t>
      </w:r>
    </w:p>
    <w:p>
      <w:pPr>
        <w:spacing w:before="0" w:after="160"/>
      </w:pPr>
      <w:r>
        <w:rPr>
          <w:b w:val="1"/>
        </w:rPr>
        <w:t xml:space="preserve">第三次截流：只送最小必要上下文。</w:t>
      </w:r>
      <w:r>
        <w:t xml:space="preserve"> 即便升级，也不默认把本地文件、完整对话、全部工具状态一股脑发出去，而是本地裁剪、汇总后再出站。「调用次数降」和「单次出站内容降」两个杠杆同时压在云端计费 Token 上。</w:t>
      </w:r>
    </w:p>
    <w:p>
      <w:pPr>
        <w:spacing w:before="0" w:after="160"/>
      </w:pPr>
      <w:r>
        <w:t xml:space="preserve">真正决定收益的，不是「有没有本地模型」，而是本地模型能独立扛住多少轮、多少阶段，以及升级时暴露多少上下文。这也是下面各场景差异这么大的原因。</w:t>
      </w:r>
    </w:p>
    <w:p>
      <w:bookmarkStart w:id="112" w:name="_h112"/>
      <w:pPr>
        <w:pStyle w:val="dingding-heading3"/>
      </w:pPr>
      <w:r>
        <w:t xml:space="preserve">3.2 分场景数据：每个数字都带身份证</w:t>
      </w:r>
      <w:bookmarkEnd w:id="112"/>
    </w:p>
    <w:p>
      <w:pPr>
        <w:spacing w:before="120" w:after="200"/>
        <w:jc w:val="center"/>
      </w:pPr>
      <w:r>
        <w:drawing>
          <wp:inline distT="0" distB="0" distL="0" distR="0">
            <wp:extent cx="7124700" cy="4230156"/>
            <wp:effectExtent l="0" t="0" r="0" b="0"/>
            <wp:docPr id="5" name="fig_sav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_sav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23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ingding_quote"/>
        <w:spacing w:before="0" w:after="160"/>
      </w:pPr>
      <w:r>
        <w:t xml:space="preserve">下表的「节省」都是相对「每次调用都走 Opus」的云端账单节省，不等于总推理 Token 减少，也没算本地硬件与电费。</w:t>
      </w:r>
    </w:p>
    <w:tbl>
      <w:tblPr>
        <w:tblStyle w:val="TableGrid"/>
        <w:tblW w:w="11220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2100"/>
        <w:gridCol w:w="1800"/>
        <w:gridCol w:w="1150"/>
        <w:gridCol w:w="1400"/>
        <w:gridCol w:w="2200"/>
        <w:gridCol w:w="2570"/>
      </w:tblGrid>
      <w:tr>
        <w:trPr>
          <w:cantSplit/>
          <w:tblHeader/>
        </w:trPr>
        <w:tc>
          <w:tcPr>
            <w:tcW w:w="21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场景</w:t>
            </w:r>
          </w:p>
        </w:tc>
        <w:tc>
          <w:tcPr>
            <w:tcW w:w="18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路由方式</w:t>
            </w:r>
          </w:p>
        </w:tc>
        <w:tc>
          <w:tcPr>
            <w:tcW w:w="115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云端剩余</w:t>
            </w:r>
          </w:p>
        </w:tc>
        <w:tc>
          <w:tcPr>
            <w:tcW w:w="14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云端账单节省</w:t>
            </w:r>
          </w:p>
        </w:tc>
        <w:tc>
          <w:tcPr>
            <w:tcW w:w="22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质量 / 准确率</w:t>
            </w:r>
          </w:p>
        </w:tc>
        <w:tc>
          <w:tcPr>
            <w:tcW w:w="257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数据属性与限制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编码·Terminal-Bench 2.1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Escalation，两次升级锁定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51–61%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40–50%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75.7% vs 76.0%，-0.3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NVIDIA 官方 + 推算拆账；可复现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编码·Stage 无裁判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55–59%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41–45%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72.7%，-3.3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官方 + 推算；参数在 README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编码·Ramp SWE-Bench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32–38%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62–68%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与前沿模型持平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推算；任务集内部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编码·FrontierCode Main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Stage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50–61%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40–50%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-2.8 分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推算；任务私有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编码·opencode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Capability 分类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50–55%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45–50%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13 任务全对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推算；配置与命令公开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编码·全本地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全部本地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未在同一 harness 验证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推算；可自测，只宜作路线图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客服多轮·平衡档，τ²-bench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Custom 分类，每用户轮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55–65%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35–45%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0.903 ± 0.071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官方轮次占比 + Token 推算；可复现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客服多轮·激进档，τ²-bench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同上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15–25%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75–85%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0.891 ± 0.029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官方轮次占比 + Token 推算；可复现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多轮 Agent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Escalation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约 18%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约 82%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-6 分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推算；参数公开、评测集内部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个人助理型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Escalation + 按类型分流（推测）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约 27%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b w:val="1"/>
                <w:sz w:val="18"/>
                <w:szCs w:val="18"/>
              </w:rPr>
              <w:t xml:space="preserve">70–75%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79.4% vs 79.3%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官方总体结果 + 推算；配置未公开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企业域路由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域分类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约 41%（按流量）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55–60%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域路由准确率 100%，后续轮延迟 -21%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第三方 + 推算；不可复现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视频生成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全本地</w:t>
            </w:r>
          </w:p>
        </w:tc>
        <w:tc>
          <w:tcPr>
            <w:tcW w:w="115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未给出</w:t>
            </w:r>
          </w:p>
        </w:tc>
        <w:tc>
          <w:tcPr>
            <w:tcW w:w="257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本方实测；可复现</w:t>
            </w:r>
          </w:p>
        </w:tc>
      </w:tr>
    </w:tbl>
    <w:p>
      <w:pPr>
        <w:spacing w:before="0" w:after="0"/>
        <w:rPr>
          <w:sz w:val="8"/>
        </w:rPr>
      </w:pPr>
    </w:p>
    <w:p>
      <w:pPr>
        <w:spacing w:before="0" w:after="160"/>
      </w:pPr>
      <w:r>
        <w:t xml:space="preserve">适合写进决策摘要的保守读法：编码 / 运维场景盯 </w:t>
      </w:r>
      <w:r>
        <w:rPr>
          <w:b w:val="1"/>
          <w:highlight w:val="yellow"/>
        </w:rPr>
        <w:t xml:space="preserve">40–50%</w:t>
      </w:r>
      <w:r>
        <w:t xml:space="preserve">（官方或第三方结果 + 推算，具体看上表）；客服多轮激进档 </w:t>
      </w:r>
      <w:r>
        <w:rPr>
          <w:b w:val="1"/>
          <w:highlight w:val="yellow"/>
        </w:rPr>
        <w:t xml:space="preserve">75–85%</w:t>
      </w:r>
      <w:r>
        <w:t xml:space="preserve">（官方轮次占比 + Token 推算）；办公助理与工作流自动化 </w:t>
      </w:r>
      <w:r>
        <w:rPr>
          <w:b w:val="1"/>
          <w:highlight w:val="yellow"/>
        </w:rPr>
        <w:t xml:space="preserve">70–82%</w:t>
      </w:r>
      <w:r>
        <w:t xml:space="preserve">（官方或第三方结果 + 推算，部分配置或评测集未公开）。这些是可能区间，不是跨场景承诺。</w:t>
      </w:r>
    </w:p>
    <w:p>
      <w:pPr>
        <w:spacing w:before="0" w:after="160"/>
      </w:pPr>
      <w:r>
        <w:t xml:space="preserve">顺手解释一个常被问到的差异：Switchyard 官方账本里，本地那个 Nemotron 也是按 API 单价计费的，所以官方给的总成本降幅（比如 Terminal-Bench 2.1 上升级路由只便宜 13.3%）比本文的「云端账单节省」低得多。本文的口径是本地模型跑在自己的盒子上、只交电费，只数云端那部分。这是口径差，不是魔法——但它也在提醒你：盒子的钱要另算。</w:t>
      </w:r>
    </w:p>
    <w:p>
      <w:bookmarkStart w:id="113" w:name="_h113"/>
      <w:pPr>
        <w:pStyle w:val="dingding-heading3"/>
      </w:pPr>
      <w:r>
        <w:t xml:space="preserve">3.3 换算成人民币</w:t>
      </w:r>
      <w:bookmarkEnd w:id="113"/>
    </w:p>
    <w:p>
      <w:pPr>
        <w:spacing w:before="0" w:after="160"/>
      </w:pPr>
      <w:r>
        <w:t xml:space="preserve">成本只能在原口径里看，三组数据各管各的，别混算：</w:t>
      </w:r>
    </w:p>
    <w:p>
      <w:pPr>
        <w:numPr>
          <w:ilvl w:val="0"/>
          <w:numId w:val="2"/>
        </w:numPr>
        <w:spacing w:before="0" w:after="80"/>
      </w:pPr>
      <w:r>
        <w:rPr>
          <w:b w:val="1"/>
        </w:rPr>
        <w:t xml:space="preserve">Terminal-Bench 2.1，全 Opus 跑一遍</w:t>
      </w:r>
      <w:r>
        <w:t xml:space="preserve">：$98.06 / 267 次尝试，平均约 $0.37/次，</w:t>
      </w:r>
      <w:r>
        <w:rPr>
          <w:b w:val="1"/>
          <w:highlight w:val="yellow"/>
        </w:rPr>
        <w:t xml:space="preserve">约人民币 2.6 元/次</w:t>
      </w:r>
      <w:r>
        <w:t xml:space="preserve">。</w:t>
      </w:r>
    </w:p>
    <w:p>
      <w:pPr>
        <w:numPr>
          <w:ilvl w:val="0"/>
          <w:numId w:val="2"/>
        </w:numPr>
        <w:spacing w:before="0" w:after="80"/>
      </w:pPr>
      <w:r>
        <w:rPr>
          <w:b w:val="1"/>
        </w:rPr>
        <w:t xml:space="preserve">LangChain 轻量任务</w:t>
      </w:r>
      <w:r>
        <w:t xml:space="preserve">：每个完成任务约 $0.092，</w:t>
      </w:r>
      <w:r>
        <w:rPr>
          <w:b w:val="1"/>
          <w:highlight w:val="yellow"/>
        </w:rPr>
        <w:t xml:space="preserve">约人民币 0.65 元/任务</w:t>
      </w:r>
      <w:r>
        <w:t xml:space="preserve">。</w:t>
      </w:r>
    </w:p>
    <w:p>
      <w:pPr>
        <w:numPr>
          <w:ilvl w:val="0"/>
          <w:numId w:val="2"/>
        </w:numPr>
        <w:spacing w:before="0" w:after="80"/>
      </w:pPr>
      <w:r>
        <w:rPr>
          <w:b w:val="1"/>
        </w:rPr>
        <w:t xml:space="preserve">另一个结构示例</w:t>
      </w:r>
      <w:r>
        <w:t xml:space="preserve">：纯本地 $0、端云协同约 $0.42、纯云端约 $0.65——但材料没写清任务口径，不能和上面两组混算。</w:t>
      </w:r>
    </w:p>
    <w:p>
      <w:pPr>
        <w:spacing w:before="0" w:after="60"/>
      </w:pPr>
    </w:p>
    <w:p>
      <w:bookmarkStart w:id="114" w:name="_h114"/>
      <w:pPr>
        <w:pStyle w:val="dingding-heading3"/>
      </w:pPr>
      <w:r>
        <w:t xml:space="preserve">3.4 落地三步走：先看清，再设门，最后调优</w:t>
      </w:r>
      <w:bookmarkEnd w:id="114"/>
    </w:p>
    <w:p>
      <w:pPr>
        <w:spacing w:before="120" w:after="200"/>
        <w:jc w:val="center"/>
      </w:pPr>
      <w:r>
        <w:drawing>
          <wp:inline distT="0" distB="0" distL="0" distR="0">
            <wp:extent cx="2011680" cy="2141765"/>
            <wp:effectExtent l="0" t="0" r="0" b="0"/>
            <wp:docPr id="6" name="meme_gre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me_gre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14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rPr>
          <w:b w:val="1"/>
        </w:rPr>
        <w:t xml:space="preserve">第一步：先把账本和路由看清。</w:t>
      </w:r>
      <w:r>
        <w:t xml:space="preserve"> 记录总推理 Token、云端出站 Token、云端计费 Token、云端剩余比例和任务质量，不急着冲最高本地化率。按场景建立「每次都上云」的基线，再引入本地分类与升级策略。这一步不是证明本地万能，而是看清哪些轮次真的需要云端。</w:t>
      </w:r>
    </w:p>
    <w:p>
      <w:pPr>
        <w:spacing w:before="0" w:after="160"/>
      </w:pPr>
      <w:r>
        <w:rPr>
          <w:b w:val="1"/>
        </w:rPr>
        <w:t xml:space="preserve">第二步：加 PII 网关和用户批准。</w:t>
      </w:r>
      <w:r>
        <w:t xml:space="preserve"> 所有出站流量收口到强制网关，接入实体级 PII 审查，展示确切出站内容，逐次批准。同时盯隐私检测效果、用户驳回率、误拦截率和额外交互延迟——安全机制不能只活在架构图里。</w:t>
      </w:r>
    </w:p>
    <w:p>
      <w:pPr>
        <w:spacing w:before="0" w:after="160"/>
      </w:pPr>
      <w:r>
        <w:rPr>
          <w:b w:val="1"/>
        </w:rPr>
        <w:t xml:space="preserve">第三步：上隔离子代理，按场景调阈值。</w:t>
      </w:r>
      <w:r>
        <w:t xml:space="preserve"> 给涉密计算加本地隔离子代理和 fail-closed，再分别调编码、客服、办公助理、工作流自动化的路由阈值。模型按设备和任务换成更大的单模型或多个小模型都行；选择标准回到任务成功率、云端占比、隐私指标和全链路延迟，而不是参数量标签。</w:t>
      </w:r>
    </w:p>
    <w:p>
      <w:bookmarkStart w:id="115" w:name="_h115"/>
      <w:pPr>
        <w:pStyle w:val="dingding-heading3"/>
      </w:pPr>
      <w:r>
        <w:t xml:space="preserve">3.5 验收看板：别只盯「省了百分之几」</w:t>
      </w:r>
      <w:bookmarkEnd w:id="115"/>
    </w:p>
    <w:p>
      <w:pPr>
        <w:spacing w:before="0" w:after="160"/>
      </w:pPr>
      <w:r>
        <w:t xml:space="preserve">建议把评测分成四组，少一组都可能得到偏科答案：</w:t>
      </w:r>
    </w:p>
    <w:tbl>
      <w:tblPr>
        <w:tblStyle w:val="TableGrid"/>
        <w:tblW w:w="11220" w:type="dxa"/>
        <w:tblBorders>
          <w:top w:val="single" w:sz="4" w:space="0" w:color="DADDE3"/>
          <w:left w:val="single" w:sz="4" w:space="0" w:color="DADDE3"/>
          <w:bottom w:val="single" w:sz="4" w:space="0" w:color="DADDE3"/>
          <w:right w:val="single" w:sz="4" w:space="0" w:color="DADDE3"/>
          <w:insideH w:val="single" w:sz="4" w:space="0" w:color="DADDE3"/>
          <w:insideV w:val="single" w:sz="4" w:space="0" w:color="DA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Row="1" w:lastRow="0" w:firstColumn="0" w:lastColumn="0" w:noHBand="0" w:noVBand="0"/>
      </w:tblPr>
      <w:tblGrid>
        <w:gridCol w:w="1900"/>
        <w:gridCol w:w="4300"/>
        <w:gridCol w:w="5020"/>
      </w:tblGrid>
      <w:tr>
        <w:trPr>
          <w:cantSplit/>
          <w:tblHeader/>
        </w:trPr>
        <w:tc>
          <w:tcPr>
            <w:tcW w:w="19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维度</w:t>
            </w:r>
          </w:p>
        </w:tc>
        <w:tc>
          <w:tcPr>
            <w:tcW w:w="430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核心指标</w:t>
            </w:r>
          </w:p>
        </w:tc>
        <w:tc>
          <w:tcPr>
            <w:tcW w:w="5020" w:type="dxa"/>
            <w:shd w:val="clear" w:color="auto" w:fill="F2F3F5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要回答的问题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成本与流量</w:t>
            </w:r>
          </w:p>
        </w:tc>
        <w:tc>
          <w:tcPr>
            <w:tcW w:w="4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总推理 Token、云端出站 Token、云端计费 Token、云端账单节省</w:t>
            </w:r>
          </w:p>
        </w:tc>
        <w:tc>
          <w:tcPr>
            <w:tcW w:w="50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到底是计算迁移了，还是云端账单真的降了？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任务质量</w:t>
            </w:r>
          </w:p>
        </w:tc>
        <w:tc>
          <w:tcPr>
            <w:tcW w:w="4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任务成功率、准确率差值</w:t>
            </w:r>
          </w:p>
        </w:tc>
        <w:tc>
          <w:tcPr>
            <w:tcW w:w="50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省钱是不是拿不可接受的质量下降换的？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隐私安全</w:t>
            </w:r>
          </w:p>
        </w:tc>
        <w:tc>
          <w:tcPr>
            <w:tcW w:w="4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PII recall、字符级 F1、用户驳回率、误拦截率</w:t>
            </w:r>
          </w:p>
        </w:tc>
        <w:tc>
          <w:tcPr>
            <w:tcW w:w="50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该拦的拦住没有，不该拦的有没有过度阻断？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0" w:after="0"/>
            </w:pPr>
            <w:r>
              <w:rPr>
                <w:b w:val="1"/>
                <w:sz w:val="20"/>
                <w:szCs w:val="20"/>
              </w:rPr>
              <w:t xml:space="preserve">使用体验</w:t>
            </w:r>
          </w:p>
        </w:tc>
        <w:tc>
          <w:tcPr>
            <w:tcW w:w="4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全链路延迟</w:t>
            </w:r>
          </w:p>
        </w:tc>
        <w:tc>
          <w:tcPr>
            <w:tcW w:w="502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本地路由、审查、批准和升级叠在一起，还能不能用？</w:t>
            </w:r>
          </w:p>
        </w:tc>
      </w:tr>
    </w:tbl>
    <w:p>
      <w:pPr>
        <w:spacing w:before="0" w:after="0"/>
        <w:rPr>
          <w:sz w:val="8"/>
        </w:rPr>
      </w:pPr>
    </w:p>
    <w:p>
      <w:pPr>
        <w:spacing w:before="0" w:after="160"/>
      </w:pPr>
      <w:r>
        <w:t xml:space="preserve">评测尽量放在同一 harness、同一任务口径下比。尤其「全本地云账单节省 100%（推算）」只说明不再产生云端账单，推不出质量和云端方案一样。没在同一 harness 验证过，就老老实实写「待验证」，别把路线图写成战报。</w:t>
      </w:r>
    </w:p>
    <w:p>
      <w:bookmarkStart w:id="116" w:name="_h116"/>
      <w:pPr>
        <w:pStyle w:val="dingding-heading3"/>
      </w:pPr>
      <w:r>
        <w:t xml:space="preserve">3.6 边界与风险：不是免费午餐，也不是万能防护罩</w:t>
      </w:r>
      <w:bookmarkEnd w:id="116"/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总成本边界</w:t>
      </w:r>
      <w:r>
        <w:t xml:space="preserve">：本文的节省对象是云端账单，本地硬件与电费另计。云账单降了，不等于系统总拥有成本已被证明同比降了。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质量边界</w:t>
      </w:r>
      <w:r>
        <w:t xml:space="preserve">：不同场景有 -0.3、-2.8 分、-6 分等质量变化，也有「持平」记录；它们来自不同数据来源和评测条件，不能横向拼成一句结论。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复现边界</w:t>
      </w:r>
      <w:r>
        <w:t xml:space="preserve">：部分参数公开、部分任务集内部、部分配置未公开，企业域路由数据不可复现。证据等级不同，决策权重也该不同。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全本地边界</w:t>
      </w:r>
      <w:r>
        <w:t xml:space="preserve">：云端剩余 0%、云端账单节省 100%，可以是推算或本方实测，但精度没在同一 harness 验证，就只能说明路线可能性。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隐私模型边界</w:t>
      </w:r>
      <w:r>
        <w:t xml:space="preserve">：PII 审查有材料指标，但不是「零漏检」承诺；recall、F1、重复检出一致性和用户驳回要一起盯。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可用性边界</w:t>
      </w:r>
      <w:r>
        <w:t xml:space="preserve">：fail-closed 会在沙箱不可用时禁用涉密能力，这是有意的安全取舍。组织得接受「宁可不执行，也不无保护执行」的产品行为。</w:t>
      </w:r>
    </w:p>
    <w:p>
      <w:pPr>
        <w:numPr>
          <w:ilvl w:val="0"/>
          <w:numId w:val="3"/>
        </w:numPr>
        <w:spacing w:before="0" w:after="80"/>
      </w:pPr>
      <w:r>
        <w:rPr>
          <w:b w:val="1"/>
        </w:rPr>
        <w:t xml:space="preserve">模型绑定风险</w:t>
      </w:r>
      <w:r>
        <w:t xml:space="preserve">：27B 和几个候选模型只是示意。把架构绑到某个名字上，会把「能力可替换」误做成「型号依赖」。</w:t>
      </w:r>
    </w:p>
    <w:p>
      <w:pPr>
        <w:spacing w:before="0" w:after="60"/>
      </w:pPr>
    </w:p>
    <w:p>
      <w:pPr>
        <w:pBdr>
          <w:top w:val="single" w:sz="6" w:space="1" w:color="E3E5E8"/>
        </w:pBdr>
        <w:spacing w:before="200" w:after="200"/>
      </w:pPr>
    </w:p>
    <w:p>
      <w:bookmarkStart w:id="117" w:name="_h117"/>
      <w:pPr>
        <w:pStyle w:val="dingding-heading2"/>
      </w:pPr>
      <w:r>
        <w:t xml:space="preserve">结论：让云端更贵重，而不是更常驻</w:t>
      </w:r>
      <w:bookmarkEnd w:id="117"/>
    </w:p>
    <w:p>
      <w:pPr>
        <w:spacing w:before="0" w:after="160"/>
      </w:pPr>
      <w:r>
        <w:t xml:space="preserve">端云协同最值钱的变化，不是把一朵云塞进一台设备，而是重新划分默认权力：本地先处理、本地先判断、本地先保护；云端只有在必要且获批时，才看到最小必要信息，给一句专家建议。</w:t>
      </w:r>
    </w:p>
    <w:p>
      <w:pPr>
        <w:spacing w:before="0" w:after="160"/>
      </w:pPr>
      <w:r>
        <w:t xml:space="preserve">从成本看，减的是云端出站 Token 与云端计费 Token，不是宣称总 Token 消失；从架构看，云端从默认执行者变成按需升级的专家；从隐私看，0.6B PII 审查 + 逐次批准是第一道门，本地隔离子代理 + fail-closed 是第二道门，再用云端无工具权、无文件权、无完整会话权把最小暴露钉死。</w:t>
      </w:r>
    </w:p>
    <w:p>
      <w:pPr>
        <w:spacing w:before="0" w:after="160"/>
      </w:pPr>
      <w:r>
        <w:t xml:space="preserve">对技术决策者来说，稳妥的起点不是先喊「省 80%」，而是先立统一 harness 和三本 Token 账，再按阶段上路由、隐私网关和隔离子代理。最终要证明的不是「本地模型很强」，而是：</w:t>
      </w:r>
      <w:r>
        <w:rPr>
          <w:b w:val="1"/>
        </w:rPr>
        <w:t xml:space="preserve">在质量、延迟和隐私边界可接受的前提下，到底有多少活儿不必再让云端专家全程坐班。</w:t>
      </w:r>
    </w:p>
    <w:p>
      <w:pPr>
        <w:pBdr>
          <w:top w:val="single" w:sz="6" w:space="1" w:color="E3E5E8"/>
        </w:pBdr>
        <w:spacing w:before="200" w:after="200"/>
      </w:pPr>
    </w:p>
    <w:p>
      <w:bookmarkStart w:id="118" w:name="_h118"/>
      <w:pPr>
        <w:pStyle w:val="dingding-heading2"/>
      </w:pPr>
      <w:r>
        <w:t xml:space="preserve">附：数据来源</w:t>
      </w:r>
      <w:bookmarkEnd w:id="118"/>
    </w:p>
    <w:p>
      <w:pPr>
        <w:spacing w:before="0" w:after="160"/>
      </w:pPr>
      <w:r>
        <w:t xml:space="preserve">本文全部事实与数字，均整理自《端云协同省 Token 与隐私报告：写作事实本》所列内容：</w:t>
      </w:r>
    </w:p>
    <w:p>
      <w:pPr>
        <w:numPr>
          <w:ilvl w:val="0"/>
          <w:numId w:val="4"/>
        </w:numPr>
        <w:spacing w:before="0" w:after="80"/>
      </w:pPr>
      <w:hyperlink r:id="rId17">
        <w:r>
          <w:rPr>
            <w:u w:val="single"/>
            <w:color w:val="1E6FD9"/>
            <w:sz w:val="20"/>
            <w:szCs w:val="20"/>
          </w:rPr>
          <w:t xml:space="preserve">《边缘AI·惊喜开箱3：视频生成省钱计划》</w:t>
        </w:r>
      </w:hyperlink>
    </w:p>
    <w:p>
      <w:pPr>
        <w:numPr>
          <w:ilvl w:val="0"/>
          <w:numId w:val="4"/>
        </w:numPr>
        <w:spacing w:before="0" w:after="80"/>
      </w:pPr>
      <w:hyperlink r:id="rId18">
        <w:r>
          <w:rPr>
            <w:u w:val="single"/>
            <w:color w:val="1E6FD9"/>
            <w:sz w:val="20"/>
            <w:szCs w:val="20"/>
          </w:rPr>
          <w:t xml:space="preserve">《端云协同省token》</w:t>
        </w:r>
      </w:hyperlink>
    </w:p>
    <w:p>
      <w:pPr>
        <w:numPr>
          <w:ilvl w:val="0"/>
          <w:numId w:val="4"/>
        </w:numPr>
        <w:spacing w:before="0" w:after="80"/>
      </w:pPr>
      <w:hyperlink r:id="rId19">
        <w:r>
          <w:rPr>
            <w:u w:val="single"/>
            <w:color w:val="1E6FD9"/>
            <w:sz w:val="20"/>
            <w:szCs w:val="20"/>
          </w:rPr>
          <w:t xml:space="preserve">《汇报材料》</w:t>
        </w:r>
      </w:hyperlink>
    </w:p>
    <w:p>
      <w:pPr>
        <w:numPr>
          <w:ilvl w:val="0"/>
          <w:numId w:val="4"/>
        </w:numPr>
        <w:spacing w:before="0" w:after="80"/>
      </w:pPr>
      <w:hyperlink r:id="rId20">
        <w:r>
          <w:rPr>
            <w:u w:val="single"/>
            <w:color w:val="1E6FD9"/>
            <w:sz w:val="20"/>
            <w:szCs w:val="20"/>
          </w:rPr>
          <w:t xml:space="preserve">《NCP-AgentApp-端云协同》HTML</w:t>
        </w:r>
      </w:hyperlink>
    </w:p>
    <w:p>
      <w:pPr>
        <w:numPr>
          <w:ilvl w:val="0"/>
          <w:numId w:val="4"/>
        </w:numPr>
        <w:spacing w:before="0" w:after="80"/>
      </w:pPr>
      <w:hyperlink r:id="rId21">
        <w:r>
          <w:rPr>
            <w:u w:val="single"/>
            <w:color w:val="1E6FD9"/>
            <w:sz w:val="20"/>
            <w:szCs w:val="20"/>
          </w:rPr>
          <w:t xml:space="preserve">《portable_computer》HTML</w:t>
        </w:r>
      </w:hyperlink>
    </w:p>
    <w:p>
      <w:pPr>
        <w:spacing w:before="0" w:after="60"/>
      </w:pPr>
    </w:p>
    <w:p>
      <w:pPr>
        <w:spacing w:before="0" w:after="160"/>
      </w:pPr>
      <w:r>
        <w:t xml:space="preserve">第二章的参考架构与第三章的官方口径对照：</w:t>
      </w:r>
    </w:p>
    <w:p>
      <w:pPr>
        <w:numPr>
          <w:ilvl w:val="0"/>
          <w:numId w:val="5"/>
        </w:numPr>
        <w:spacing w:before="0" w:after="80"/>
      </w:pPr>
      <w:r>
        <w:rPr>
          <w:sz w:val="20"/>
          <w:szCs w:val="20"/>
        </w:rPr>
        <w:t xml:space="preserve">Perplexity Portable Computer 产品页：</w:t>
      </w:r>
      <w:hyperlink r:id="rId22">
        <w:r>
          <w:rPr>
            <w:u w:val="single"/>
            <w:color w:val="1E6FD9"/>
            <w:sz w:val="20"/>
            <w:szCs w:val="20"/>
          </w:rPr>
          <w:t xml:space="preserve">perplexity.ai/hub/products/portable-computer</w:t>
        </w:r>
      </w:hyperlink>
      <w:r>
        <w:rPr>
          <w:sz w:val="20"/>
          <w:szCs w:val="20"/>
        </w:rPr>
        <w:t xml:space="preserve">；Perplexity Computer 发布博客：</w:t>
      </w:r>
      <w:hyperlink r:id="rId23">
        <w:r>
          <w:rPr>
            <w:u w:val="single"/>
            <w:color w:val="1E6FD9"/>
            <w:sz w:val="20"/>
            <w:szCs w:val="20"/>
          </w:rPr>
          <w:t xml:space="preserve">perplexity.ai/hub/blog/introducing-perplexity-computer</w:t>
        </w:r>
      </w:hyperlink>
    </w:p>
    <w:p>
      <w:pPr>
        <w:numPr>
          <w:ilvl w:val="0"/>
          <w:numId w:val="5"/>
        </w:numPr>
        <w:spacing w:before="0" w:after="80"/>
      </w:pPr>
      <w:r>
        <w:rPr>
          <w:sz w:val="20"/>
          <w:szCs w:val="20"/>
        </w:rPr>
        <w:t xml:space="preserve">NVIDIA NeMo Switchyard 仓库（路由器说明、Terminal-Bench 2.1 结果表）：</w:t>
      </w:r>
      <w:hyperlink r:id="rId24">
        <w:r>
          <w:rPr>
            <w:u w:val="single"/>
            <w:color w:val="1E6FD9"/>
            <w:sz w:val="20"/>
            <w:szCs w:val="20"/>
          </w:rPr>
          <w:t xml:space="preserve">github.com/NVIDIA-NeMo/Switchyard</w:t>
        </w:r>
      </w:hyperlink>
      <w:r>
        <w:rPr>
          <w:sz w:val="20"/>
          <w:szCs w:val="20"/>
        </w:rPr>
        <w:t xml:space="preserve">；NVIDIA 技术博客：</w:t>
      </w:r>
      <w:hyperlink r:id="rId25">
        <w:r>
          <w:rPr>
            <w:u w:val="single"/>
            <w:color w:val="1E6FD9"/>
            <w:sz w:val="20"/>
            <w:szCs w:val="20"/>
          </w:rPr>
          <w:t xml:space="preserve">Route AI Agents Across Models with NVIDIA NeMo Switchyard</w:t>
        </w:r>
      </w:hyperlink>
    </w:p>
    <w:p>
      <w:pPr>
        <w:numPr>
          <w:ilvl w:val="0"/>
          <w:numId w:val="5"/>
        </w:numPr>
        <w:spacing w:before="0" w:after="80"/>
      </w:pPr>
      <w:r>
        <w:rPr>
          <w:sz w:val="20"/>
          <w:szCs w:val="20"/>
        </w:rPr>
        <w:t xml:space="preserve">LangChain 实测（145 个多轮任务、升级路由）：</w:t>
      </w:r>
      <w:hyperlink r:id="rId26">
        <w:r>
          <w:rPr>
            <w:u w:val="single"/>
            <w:color w:val="1E6FD9"/>
            <w:sz w:val="20"/>
            <w:szCs w:val="20"/>
          </w:rPr>
          <w:t xml:space="preserve">How many of your agent's calls actually need a frontier model?</w:t>
        </w:r>
      </w:hyperlink>
    </w:p>
    <w:p>
      <w:pPr>
        <w:spacing w:before="0" w:after="60"/>
      </w:pPr>
    </w:p>
    <w:p>
      <w:pPr>
        <w:spacing w:before="0" w:after="160"/>
      </w:pPr>
      <w:r>
        <w:rPr>
          <w:b w:val="1"/>
          <w:sz w:val="20"/>
          <w:szCs w:val="20"/>
        </w:rPr>
        <w:t xml:space="preserve">测算口径声明</w:t>
      </w:r>
      <w:r>
        <w:rPr>
          <w:sz w:val="20"/>
          <w:szCs w:val="20"/>
        </w:rPr>
        <w:t xml:space="preserve">：本文所有节省比例均按表格标注为官方、第三方、推算或本方实测；云端账单节省不等于总 Token 减少；跨来源、跨任务、未在同一 harness 验证的数据不作为确定性横向结论。</w:t>
      </w:r>
    </w:p>
    <w:sectPr>
      <w:pgSz w:w="13380" w:h="16905"/>
      <w:pgMar w:top="720" w:right="1080" w:bottom="720" w:left="1080" w:header="851" w:footer="992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•"/>
      <w:lvlJc w:val="left"/>
      <w:pPr>
        <w:ind w:left="420" w:hanging="420"/>
      </w:pPr>
      <w:rPr/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Relationship Id="rId11" Type="http://schemas.openxmlformats.org/officeDocument/2006/relationships/image" Target="media/meme_all.png"/><Relationship Id="rId12" Type="http://schemas.openxmlformats.org/officeDocument/2006/relationships/image" Target="media/meme_niubi.png"/><Relationship Id="rId13" Type="http://schemas.openxmlformats.org/officeDocument/2006/relationships/image" Target="media/fig_arch.png"/><Relationship Id="rId14" Type="http://schemas.openxmlformats.org/officeDocument/2006/relationships/image" Target="media/meme_money.png"/><Relationship Id="rId15" Type="http://schemas.openxmlformats.org/officeDocument/2006/relationships/image" Target="media/fig_savings.png"/><Relationship Id="rId16" Type="http://schemas.openxmlformats.org/officeDocument/2006/relationships/image" Target="media/meme_great.png"/><Relationship Id="rId17" Type="http://schemas.openxmlformats.org/officeDocument/2006/relationships/hyperlink" Target="https://alidocs.dingtalk.com/i/nodes/yQod3RxJKGdGo75bIlMyPz7aJkb4Mw9r" TargetMode="External"/><Relationship Id="rId18" Type="http://schemas.openxmlformats.org/officeDocument/2006/relationships/hyperlink" Target="https://alidocs.dingtalk.com/i/nodes/R4GpnMqJzG3G1EN5ILZd5nzz8Ke0xjE3" TargetMode="External"/><Relationship Id="rId19" Type="http://schemas.openxmlformats.org/officeDocument/2006/relationships/hyperlink" Target="https://alidocs.dingtalk.com/i/nodes/dxXB52LJqnLn1AEpsZqxwP7r8qjMp697" TargetMode="External"/><Relationship Id="rId20" Type="http://schemas.openxmlformats.org/officeDocument/2006/relationships/hyperlink" Target="https://alidocs.dingtalk.com/i/nodes/np9zOoBVBYwYok09SeyOOj59W1DK0g6l" TargetMode="External"/><Relationship Id="rId21" Type="http://schemas.openxmlformats.org/officeDocument/2006/relationships/hyperlink" Target="https://alidocs.dingtalk.com/i/nodes/DnRL6jAJMGdGo0lxI9R7e2ABWyMoPYe1" TargetMode="External"/><Relationship Id="rId22" Type="http://schemas.openxmlformats.org/officeDocument/2006/relationships/hyperlink" Target="https://www.perplexity.ai/hub/products/portable-computer" TargetMode="External"/><Relationship Id="rId23" Type="http://schemas.openxmlformats.org/officeDocument/2006/relationships/hyperlink" Target="https://www.perplexity.ai/hub/blog/introducing-perplexity-computer" TargetMode="External"/><Relationship Id="rId24" Type="http://schemas.openxmlformats.org/officeDocument/2006/relationships/hyperlink" Target="https://github.com/NVIDIA-NeMo/Switchyard" TargetMode="External"/><Relationship Id="rId25" Type="http://schemas.openxmlformats.org/officeDocument/2006/relationships/hyperlink" Target="https://developer.nvidia.com/blog/route-ai-agent-workloads-across-models-with-nvidia-nemo-switchyard/" TargetMode="External"/><Relationship Id="rId26" Type="http://schemas.openxmlformats.org/officeDocument/2006/relationships/hyperlink" Target="https://www.langchain.com/blog/switchyard-agent-routing-benchmark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