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别让每个 Token 都上云：端云协同的省钱与隐私计划</w:t>
      </w:r>
    </w:p>
    <w:p>
      <w:pPr>
        <w:pStyle w:val="dingding_quote"/>
      </w:pPr>
      <w:r>
        <w:t xml:space="preserve">面向技术决策者的一句话结论：</w:t>
      </w:r>
      <w:r>
        <w:rPr>
          <w:b w:val="1"/>
        </w:rPr>
        <w:t xml:space="preserve">端云协同省的不是“总 Token”，而是云端出站 Token 与云端计费 Token；它不是让云消失，而是把云从默认执行者改成按需升级的专家。</w:t>
      </w:r>
    </w:p>
    <w:p>
      <w:bookmarkStart w:id="mu6pu7qp5zuah9px1b9" w:name="mu6pu7qp5zuah9px1b9"/>
      <w:pPr>
        <w:pStyle w:val="dingding-heading2"/>
      </w:pPr>
      <w:r>
        <w:t xml:space="preserve">十分钟读完，你会得到什么</w:t>
      </w:r>
      <w:bookmarkEnd w:id="mu6pu7qp5zuah9px1b9"/>
    </w:p>
    <w:p>
      <w:pPr/>
      <w:r>
        <w:t xml:space="preserve">如果把 AI 系统比作一家医院，纯云方案像是“挂号、量体温、开常规药、做疑难会诊，全找顶级专家”。效果未必差，但专家席位昂贵，而且病历得反复送出去。端云协同做的事，是让本地团队先完成分诊、常规处置和材料整理，只有本地确实扛不住时，才把</w:t>
      </w:r>
      <w:r>
        <w:rPr>
          <w:b w:val="1"/>
        </w:rPr>
        <w:t xml:space="preserve">最小必要信息</w:t>
      </w:r>
      <w:r>
        <w:t xml:space="preserve">交给云端专家。</w:t>
      </w:r>
    </w:p>
    <w:p>
      <w:pPr/>
      <w:r>
        <w:t xml:space="preserve">十分钟后，你应该能带走三件事：</w:t>
      </w:r>
    </w:p>
    <w:p>
      <w:pPr>
        <w:numPr>
          <w:ilvl w:val="0"/>
          <w:numId w:val="1"/>
        </w:numPr>
      </w:pPr>
      <w:r>
        <w:rPr>
          <w:b w:val="1"/>
        </w:rPr>
        <w:t xml:space="preserve">口径不再混乱</w:t>
      </w:r>
      <w:r>
        <w:t xml:space="preserve">：本地推理没有消灭 Token，而是把一部分计算从云端迁到了端侧；真正下降的是云端出站量和云端账单。</w:t>
      </w:r>
    </w:p>
    <w:p>
      <w:pPr>
        <w:numPr>
          <w:ilvl w:val="0"/>
          <w:numId w:val="1"/>
        </w:numPr>
      </w:pPr>
      <w:r>
        <w:rPr>
          <w:b w:val="1"/>
        </w:rPr>
        <w:t xml:space="preserve">架构可以落图</w:t>
      </w:r>
      <w:r>
        <w:t xml:space="preserve">：本地模型负责规划、分类和执行，本地隐私模型负责出站审查，用户逐次批准，云端只返回建议，涉密任务由隔离子代理处理。</w:t>
      </w:r>
    </w:p>
    <w:p>
      <w:pPr>
        <w:numPr>
          <w:ilvl w:val="0"/>
          <w:numId w:val="1"/>
        </w:numPr>
      </w:pPr>
      <w:r>
        <w:rPr>
          <w:b w:val="1"/>
        </w:rPr>
        <w:t xml:space="preserve">决策可以量化</w:t>
      </w:r>
      <w:r>
        <w:t xml:space="preserve">：编码场景可保守关注 40–50% 云端账单节省，客服和 Agent 类场景可能更高，但每一个数字都必须带上“官方、第三方、推算或本方实测”的身份证，不能跨评测体系拼成一句漂亮口号。</w:t>
      </w:r>
    </w:p>
    <w:p>
      <w:pPr>
        <w:pBdr>
          <w:top w:val="single" w:sz="6" w:space="0" w:color="000000"/>
        </w:pBdr>
      </w:pPr>
    </w:p>
    <w:p>
      <w:bookmarkStart w:id="mu6pu7qpby4zhftzhtw" w:name="mu6pu7qpby4zhftzhtw"/>
      <w:pPr>
        <w:pStyle w:val="dingding-heading2"/>
      </w:pPr>
      <w:r>
        <w:t xml:space="preserve">一、先把账算对：Token 没消失，只是换了收银台</w:t>
      </w:r>
      <w:bookmarkEnd w:id="mu6pu7qpby4zhftzhtw"/>
    </w:p>
    <w:p>
      <w:pPr/>
      <w:r>
        <w:t xml:space="preserve">讨论“省 Token”时，至少要分清三本账：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口径</w:t>
            </w:r>
          </w:p>
        </w:tc>
        <w:tc>
          <w:tcPr>
            <w:tcW w:w="3736" w:type="dxa"/>
          </w:tcPr>
          <w:p>
            <w:pPr/>
            <w:r>
              <w:t xml:space="preserve">它在回答什么</w:t>
            </w:r>
          </w:p>
        </w:tc>
        <w:tc>
          <w:tcPr>
            <w:tcW w:w="3747" w:type="dxa"/>
          </w:tcPr>
          <w:p>
            <w:pPr/>
            <w:r>
              <w:t xml:space="preserve">端云协同后的变化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总推理 Token</w:t>
            </w:r>
          </w:p>
        </w:tc>
        <w:tc>
          <w:tcPr>
            <w:tcW w:w="3736" w:type="dxa"/>
          </w:tcPr>
          <w:p>
            <w:pPr/>
            <w:r>
              <w:t xml:space="preserve">本地与云端一共处理了多少内容</w:t>
            </w:r>
          </w:p>
        </w:tc>
        <w:tc>
          <w:tcPr>
            <w:tcW w:w="3747" w:type="dxa"/>
          </w:tcPr>
          <w:p>
            <w:pPr/>
            <w:r>
              <w:t xml:space="preserve">不一定减少；本地规划、分类、汇总同样会产生 Token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云端出站 Token</w:t>
            </w:r>
          </w:p>
        </w:tc>
        <w:tc>
          <w:tcPr>
            <w:tcW w:w="3736" w:type="dxa"/>
          </w:tcPr>
          <w:p>
            <w:pPr/>
            <w:r>
              <w:t xml:space="preserve">有多少上下文离开设备、发送到云端</w:t>
            </w:r>
          </w:p>
        </w:tc>
        <w:tc>
          <w:tcPr>
            <w:tcW w:w="3747" w:type="dxa"/>
          </w:tcPr>
          <w:p>
            <w:pPr/>
            <w:r>
              <w:t xml:space="preserve">通过本地完成、上下文裁剪和最小暴露而减少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云端计费 Token</w:t>
            </w:r>
          </w:p>
        </w:tc>
        <w:tc>
          <w:tcPr>
            <w:tcW w:w="3736" w:type="dxa"/>
          </w:tcPr>
          <w:p>
            <w:pPr/>
            <w:r>
              <w:t xml:space="preserve">有多少 Token 进入云端计费链路</w:t>
            </w:r>
          </w:p>
        </w:tc>
        <w:tc>
          <w:tcPr>
            <w:tcW w:w="3747" w:type="dxa"/>
          </w:tcPr>
          <w:p>
            <w:pPr/>
            <w:r>
              <w:t xml:space="preserve">随云端调用比例与发送内容下降，直接影响云端账单</w:t>
            </w:r>
          </w:p>
        </w:tc>
      </w:tr>
    </w:tbl>
    <w:p>
      <w:pPr/>
      <w:r>
        <w:t xml:space="preserve">因此，正确说法不是“端云协同让 Token 凭空消失”，而是：</w:t>
      </w:r>
      <w:r>
        <w:rPr>
          <w:b w:val="1"/>
        </w:rPr>
        <w:t xml:space="preserve">把原本默认送云的工作留在本地，把必须升级的部分精简后再送云。</w:t>
      </w:r>
    </w:p>
    <w:p>
      <w:pPr/>
      <w:r>
        <w:t xml:space="preserve">材料中的统一比较基线是“每一次调用都走 Opus”。本地模型只计电费与硬件，不计入云端账单；“云端剩余”表示路由后仍需云端处理的比例。这个口径适合回答“云账单能少多少”，却不能直接回答“系统总成本一定少多少”，因为端侧硬件和电费仍在另一张账上。</w:t>
      </w:r>
    </w:p>
    <w:p>
      <w:pPr/>
      <w:r>
        <w:t xml:space="preserve">还有一个容易误解的点：本地 27B 主模型、0.6B PII 模型、256K 上下文、vLLM，以及材料中提到的 Qwen3.8-Flash、DeepSeek V4 Flash，都属于</w:t>
      </w:r>
      <w:r>
        <w:rPr>
          <w:b w:val="1"/>
        </w:rPr>
        <w:t xml:space="preserve">架构示意或候选替换</w:t>
      </w:r>
      <w:r>
        <w:t xml:space="preserve">，不是必须绑定的采购清单。27B 可以换成更大的单模型，也可以换成多个小模型组合；决策对象应是“能力分工”，而不是某个模型名字。</w:t>
      </w:r>
    </w:p>
    <w:p>
      <w:pPr>
        <w:pBdr>
          <w:top w:val="single" w:sz="6" w:space="0" w:color="000000"/>
        </w:pBdr>
      </w:pPr>
    </w:p>
    <w:p>
      <w:bookmarkStart w:id="mu6pu7qsipb9tk0mc0f" w:name="mu6pu7qsipb9tk0mc0f"/>
      <w:pPr>
        <w:pStyle w:val="dingding-heading2"/>
      </w:pPr>
      <w:r>
        <w:t xml:space="preserve">二、五步架构：本地当店长，云端做会诊</w:t>
      </w:r>
      <w:bookmarkEnd w:id="mu6pu7qsipb9tk0mc0f"/>
    </w:p>
    <w:p>
      <w:pPr/>
      <w:r>
        <w:t xml:space="preserve">端云协同不是简单地在请求前加一个分类器，而是一条“本地默认、升级受控、结果回流”的闭环。</w:t>
      </w:r>
    </w:p>
    <w:p>
      <w:bookmarkStart w:id="mu6pu7qs7ca1ta3ksnw" w:name="mu6pu7qs7ca1ta3ksnw"/>
      <w:pPr>
        <w:pStyle w:val="dingding-heading3"/>
      </w:pPr>
      <w:r>
        <w:t xml:space="preserve">第一步：用户下达任务</w:t>
      </w:r>
      <w:bookmarkEnd w:id="mu6pu7qs7ca1ta3ksnw"/>
    </w:p>
    <w:p>
      <w:pPr/>
      <w:r>
        <w:t xml:space="preserve">请求首先进入本地编排器。会话、本地文件和任务上下文默认留在设备侧，不把完整对话自动打包上云。</w:t>
      </w:r>
    </w:p>
    <w:p>
      <w:bookmarkStart w:id="mu6pu7qsn6rhp3gkl7" w:name="mu6pu7qsn6rhp3gkl7"/>
      <w:pPr>
        <w:pStyle w:val="dingding-heading3"/>
      </w:pPr>
      <w:r>
        <w:t xml:space="preserve">第二步：本地模型先执行</w:t>
      </w:r>
      <w:bookmarkEnd w:id="mu6pu7qsn6rhp3gkl7"/>
    </w:p>
    <w:p>
      <w:pPr/>
      <w:r>
        <w:t xml:space="preserve">本地主推理模型承担任务规划、能力分类和编排决策；能本地完成的日常任务直接完成，需要工具时由本地沙箱执行。这个沙箱隔离运行环境并零出网。</w:t>
      </w:r>
    </w:p>
    <w:p>
      <w:bookmarkStart w:id="mu6pu7qt110ckczkhied" w:name="mu6pu7qt110ckczkhied"/>
      <w:pPr>
        <w:pStyle w:val="dingding-heading3"/>
      </w:pPr>
      <w:r>
        <w:t xml:space="preserve">第三步：确需云端时，先过隐私闸门</w:t>
      </w:r>
      <w:bookmarkEnd w:id="mu6pu7qt110ckczkhied"/>
    </w:p>
    <w:p>
      <w:pPr/>
      <w:r>
        <w:t xml:space="preserve">本地判断需要前沿推理或实时数据等能力时，不是立刻联网，而是先裁剪上下文，只准备任务所需的最小片段。待出站文本进入 0.6B PII 审查流水线，随后向用户展示“将离开设备的确切内容”，等待本次批准。</w:t>
      </w:r>
    </w:p>
    <w:p>
      <w:bookmarkStart w:id="mu6pu7qtg1s5pqd1ac6" w:name="mu6pu7qtg1s5pqd1ac6"/>
      <w:pPr>
        <w:pStyle w:val="dingding-heading3"/>
      </w:pPr>
      <w:r>
        <w:t xml:space="preserve">第四步：云端专家按需处理</w:t>
      </w:r>
      <w:bookmarkEnd w:id="mu6pu7qtg1s5pqd1ac6"/>
    </w:p>
    <w:p>
      <w:pPr/>
      <w:r>
        <w:t xml:space="preserve">只有用户批准后，云端模型群才参与。云端不能访问本地文件，不能调用本地工具，不能读取完整对话，也不能主动推送；它只接收批准过的片段，并返回文本建议。</w:t>
      </w:r>
    </w:p>
    <w:p>
      <w:bookmarkStart w:id="mu6pu7qt3xprgaboyyf" w:name="mu6pu7qt3xprgaboyyf"/>
      <w:pPr>
        <w:pStyle w:val="dingding-heading3"/>
      </w:pPr>
      <w:r>
        <w:t xml:space="preserve">第五步：结果回到本地继续运行</w:t>
      </w:r>
      <w:bookmarkEnd w:id="mu6pu7qt3xprgaboyyf"/>
    </w:p>
    <w:p>
      <w:pPr/>
      <w:r>
        <w:t xml:space="preserve">云端输出不是直接接管系统，而是回到本地编排器。本地模型再结合本地状态、工具和后续步骤继续执行。于是，云端是“按铃呼叫的专家”，而不是一直坐在驾驶座上的默认司机。</w:t>
      </w:r>
    </w:p>
    <w:p>
      <w:pPr/>
      <w:r>
        <w:t xml:space="preserve">用一张表看角色边界：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组件</w:t>
            </w:r>
          </w:p>
        </w:tc>
        <w:tc>
          <w:tcPr>
            <w:tcW w:w="3736" w:type="dxa"/>
          </w:tcPr>
          <w:p>
            <w:pPr/>
            <w:r>
              <w:t xml:space="preserve">主要职责</w:t>
            </w:r>
          </w:p>
        </w:tc>
        <w:tc>
          <w:tcPr>
            <w:tcW w:w="3747" w:type="dxa"/>
          </w:tcPr>
          <w:p>
            <w:pPr/>
            <w:r>
              <w:t xml:space="preserve">明确边界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本地编排器/主模型</w:t>
            </w:r>
          </w:p>
        </w:tc>
        <w:tc>
          <w:tcPr>
            <w:tcW w:w="3736" w:type="dxa"/>
          </w:tcPr>
          <w:p>
            <w:pPr/>
            <w:r>
              <w:t xml:space="preserve">规划、分类、路由、常规推理、上下文整理</w:t>
            </w:r>
          </w:p>
        </w:tc>
        <w:tc>
          <w:tcPr>
            <w:tcW w:w="3747" w:type="dxa"/>
          </w:tcPr>
          <w:p>
            <w:pPr/>
            <w:r>
              <w:t xml:space="preserve">规格可替换，不绑定 27B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本地工具沙箱</w:t>
            </w:r>
          </w:p>
        </w:tc>
        <w:tc>
          <w:tcPr>
            <w:tcW w:w="3736" w:type="dxa"/>
          </w:tcPr>
          <w:p>
            <w:pPr/>
            <w:r>
              <w:t xml:space="preserve">执行工具与任务动作</w:t>
            </w:r>
          </w:p>
        </w:tc>
        <w:tc>
          <w:tcPr>
            <w:tcW w:w="3747" w:type="dxa"/>
          </w:tcPr>
          <w:p>
            <w:pPr/>
            <w:r>
              <w:t xml:space="preserve">隔离环境、零出网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0.6B PII 审查模型</w:t>
            </w:r>
          </w:p>
        </w:tc>
        <w:tc>
          <w:tcPr>
            <w:tcW w:w="3736" w:type="dxa"/>
          </w:tcPr>
          <w:p>
            <w:pPr/>
            <w:r>
              <w:t xml:space="preserve">对出站内容做实体级检测</w:t>
            </w:r>
          </w:p>
        </w:tc>
        <w:tc>
          <w:tcPr>
            <w:tcW w:w="3747" w:type="dxa"/>
          </w:tcPr>
          <w:p>
            <w:pPr/>
            <w:r>
              <w:t xml:space="preserve">常驻本地流水线，规格为材料示意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本地隔离子代理</w:t>
            </w:r>
          </w:p>
        </w:tc>
        <w:tc>
          <w:tcPr>
            <w:tcW w:w="3736" w:type="dxa"/>
          </w:tcPr>
          <w:p>
            <w:pPr/>
            <w:r>
              <w:t xml:space="preserve">处理涉密计算，只回传非身份汇总</w:t>
            </w:r>
          </w:p>
        </w:tc>
        <w:tc>
          <w:tcPr>
            <w:tcW w:w="3747" w:type="dxa"/>
          </w:tcPr>
          <w:p>
            <w:pPr/>
            <w:r>
              <w:t xml:space="preserve">沙箱不可用则禁用，不降级裸奔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云端模型群</w:t>
            </w:r>
          </w:p>
        </w:tc>
        <w:tc>
          <w:tcPr>
            <w:tcW w:w="3736" w:type="dxa"/>
          </w:tcPr>
          <w:p>
            <w:pPr/>
            <w:r>
              <w:t xml:space="preserve">处理本地难以完成的前沿推理、实时数据类任务</w:t>
            </w:r>
          </w:p>
        </w:tc>
        <w:tc>
          <w:tcPr>
            <w:tcW w:w="3747" w:type="dxa"/>
          </w:tcPr>
          <w:p>
            <w:pPr/>
            <w:r>
              <w:t xml:space="preserve">无本地工具权、文件权和完整会话权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u6pu7qvtycxrtegqu" w:name="mu6pu7qvtycxrtegqu"/>
      <w:pPr>
        <w:pStyle w:val="dingding-heading2"/>
      </w:pPr>
      <w:r>
        <w:t xml:space="preserve">三、钱是怎么省下来的：不是一个开关，而是三次“截流”</w:t>
      </w:r>
      <w:bookmarkEnd w:id="mu6pu7qvtycxrtegqu"/>
    </w:p>
    <w:p>
      <w:pPr/>
      <w:r>
        <w:rPr>
          <w:b w:val="1"/>
        </w:rPr>
        <w:t xml:space="preserve">第一次截流：本地直接完成。</w:t>
      </w:r>
      <w:r>
        <w:t xml:space="preserve"> 如果一轮任务无需升级，云端剩余比例就少一轮，云端计费也少一轮。</w:t>
      </w:r>
    </w:p>
    <w:p>
      <w:pPr/>
      <w:r>
        <w:rPr>
          <w:b w:val="1"/>
        </w:rPr>
        <w:t xml:space="preserve">第二次截流：只升级难点。</w:t>
      </w:r>
      <w:r>
        <w:t xml:space="preserve"> 多轮任务不必从第一句到最后一句全部绑定云端；可以按轮、按能力或按阶段路由。云端从“全程包办”变为“疑难会诊”。</w:t>
      </w:r>
    </w:p>
    <w:p>
      <w:pPr/>
      <w:r>
        <w:rPr>
          <w:b w:val="1"/>
        </w:rPr>
        <w:t xml:space="preserve">第三次截流：只发送最小必要上下文。</w:t>
      </w:r>
      <w:r>
        <w:t xml:space="preserve"> 即使升级，也不默认发送本地文件、完整对话和全部工具状态，而是由本地裁剪与汇总后出站。因此，“调用次数下降”和“单次出站内容下降”可以同时作用于云端计费 Token。</w:t>
      </w:r>
    </w:p>
    <w:p>
      <w:pPr/>
      <w:r>
        <w:t xml:space="preserve">真正决定收益的，不是“有没有本地模型”，而是</w:t>
      </w:r>
      <w:r>
        <w:rPr>
          <w:b w:val="1"/>
        </w:rPr>
        <w:t xml:space="preserve">本地模型能独立扛住多少轮、多少阶段，以及升级时暴露多少上下文</w:t>
      </w:r>
      <w:r>
        <w:t xml:space="preserve">。这也解释了为什么不同场景的节省差异很大。</w:t>
      </w:r>
    </w:p>
    <w:p>
      <w:bookmarkStart w:id="mu6pu7qvvgdkvrye36d" w:name="mu6pu7qvvgdkvrye36d"/>
      <w:pPr>
        <w:pStyle w:val="dingding-heading3"/>
      </w:pPr>
      <w:r>
        <w:t xml:space="preserve">分场景数据：每个数字都带身份证</w:t>
      </w:r>
      <w:bookmarkEnd w:id="mu6pu7qvvgdkvrye36d"/>
    </w:p>
    <w:p>
      <w:pPr>
        <w:pStyle w:val="dingding_quote"/>
      </w:pPr>
      <w:r>
        <w:t xml:space="preserve">下表的“节省”均指相对“每次调用都走 Opus”的</w:t>
      </w:r>
      <w:r>
        <w:rPr>
          <w:b w:val="1"/>
        </w:rPr>
        <w:t xml:space="preserve">云端账单节省</w:t>
      </w:r>
      <w:r>
        <w:t xml:space="preserve">，不等于总推理 Token 减少，也未计入本地硬件与电费。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1873"/>
        <w:gridCol w:w="1873"/>
        <w:gridCol w:w="1873"/>
        <w:gridCol w:w="1873"/>
        <w:gridCol w:w="1873"/>
        <w:gridCol w:w="1851"/>
      </w:tblGrid>
      <w:tr>
        <w:trPr>
          <w:trHeight w:val="0"/>
        </w:trPr>
        <w:tc>
          <w:tcPr>
            <w:tcW w:w="1873" w:type="dxa"/>
          </w:tcPr>
          <w:p>
            <w:pPr/>
            <w:r>
              <w:t xml:space="preserve">场景</w:t>
            </w:r>
          </w:p>
        </w:tc>
        <w:tc>
          <w:tcPr>
            <w:tcW w:w="1873" w:type="dxa"/>
          </w:tcPr>
          <w:p>
            <w:pPr/>
            <w:r>
              <w:t xml:space="preserve">路由方式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云端剩余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云端账单节省</w:t>
            </w:r>
          </w:p>
        </w:tc>
        <w:tc>
          <w:tcPr>
            <w:tcW w:w="1873" w:type="dxa"/>
          </w:tcPr>
          <w:p>
            <w:pPr/>
            <w:r>
              <w:t xml:space="preserve">质量/准确率信息</w:t>
            </w:r>
          </w:p>
        </w:tc>
        <w:tc>
          <w:tcPr>
            <w:tcW w:w="1851" w:type="dxa"/>
          </w:tcPr>
          <w:p>
            <w:pPr/>
            <w:r>
              <w:t xml:space="preserve">数据属性与限制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编码·Terminal-Bench 2.1</w:t>
            </w:r>
          </w:p>
        </w:tc>
        <w:tc>
          <w:tcPr>
            <w:tcW w:w="1873" w:type="dxa"/>
          </w:tcPr>
          <w:p>
            <w:pPr/>
            <w:r>
              <w:t xml:space="preserve">Escalation，两次升级锁定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51–61%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40–50%</w:t>
            </w:r>
          </w:p>
        </w:tc>
        <w:tc>
          <w:tcPr>
            <w:tcW w:w="1873" w:type="dxa"/>
          </w:tcPr>
          <w:p>
            <w:pPr/>
            <w:r>
              <w:t xml:space="preserve">75.7% vs 76.0%，-0.3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NVIDIA 官方 + 推算拆账</w:t>
            </w:r>
            <w:r>
              <w:t xml:space="preserve">；可复现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编码·Stage 无裁判</w:t>
            </w:r>
          </w:p>
        </w:tc>
        <w:tc>
          <w:tcPr>
            <w:tcW w:w="1873" w:type="dxa"/>
          </w:tcPr>
          <w:p>
            <w:pPr/>
            <w:r>
              <w:t xml:space="preserve">Stage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55–59%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41–45%</w:t>
            </w:r>
          </w:p>
        </w:tc>
        <w:tc>
          <w:tcPr>
            <w:tcW w:w="1873" w:type="dxa"/>
          </w:tcPr>
          <w:p>
            <w:pPr/>
            <w:r>
              <w:t xml:space="preserve">72.7%，-3.3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官方 + 推算</w:t>
            </w:r>
            <w:r>
              <w:t xml:space="preserve">；参数在 README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编码·Ramp SWE-Bench</w:t>
            </w:r>
          </w:p>
        </w:tc>
        <w:tc>
          <w:tcPr>
            <w:tcW w:w="1873" w:type="dxa"/>
          </w:tcPr>
          <w:p>
            <w:pPr/>
            <w:r>
              <w:t xml:space="preserve">Stage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32–38%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62–68%</w:t>
            </w:r>
          </w:p>
        </w:tc>
        <w:tc>
          <w:tcPr>
            <w:tcW w:w="1873" w:type="dxa"/>
          </w:tcPr>
          <w:p>
            <w:pPr/>
            <w:r>
              <w:t xml:space="preserve">与前沿模型持平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第三方 + 推算</w:t>
            </w:r>
            <w:r>
              <w:t xml:space="preserve">；任务集内部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编码·FrontierCode Main</w:t>
            </w:r>
          </w:p>
        </w:tc>
        <w:tc>
          <w:tcPr>
            <w:tcW w:w="1873" w:type="dxa"/>
          </w:tcPr>
          <w:p>
            <w:pPr/>
            <w:r>
              <w:t xml:space="preserve">Stage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50–61%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40–50%</w:t>
            </w:r>
          </w:p>
        </w:tc>
        <w:tc>
          <w:tcPr>
            <w:tcW w:w="1873" w:type="dxa"/>
          </w:tcPr>
          <w:p>
            <w:pPr/>
            <w:r>
              <w:t xml:space="preserve">-2.8 分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第三方 + 推算</w:t>
            </w:r>
            <w:r>
              <w:t xml:space="preserve">；任务私有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编码·opencode</w:t>
            </w:r>
          </w:p>
        </w:tc>
        <w:tc>
          <w:tcPr>
            <w:tcW w:w="1873" w:type="dxa"/>
          </w:tcPr>
          <w:p>
            <w:pPr/>
            <w:r>
              <w:t xml:space="preserve">Capability 分类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50–55%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45–50%</w:t>
            </w:r>
          </w:p>
        </w:tc>
        <w:tc>
          <w:tcPr>
            <w:tcW w:w="1873" w:type="dxa"/>
          </w:tcPr>
          <w:p>
            <w:pPr/>
            <w:r>
              <w:t xml:space="preserve">13 任务全对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第三方 + 推算</w:t>
            </w:r>
            <w:r>
              <w:t xml:space="preserve">；配置与命令公开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编码·全本地</w:t>
            </w:r>
          </w:p>
        </w:tc>
        <w:tc>
          <w:tcPr>
            <w:tcW w:w="1873" w:type="dxa"/>
          </w:tcPr>
          <w:p>
            <w:pPr/>
            <w:r>
              <w:t xml:space="preserve">全部本地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100%</w:t>
            </w:r>
          </w:p>
        </w:tc>
        <w:tc>
          <w:tcPr>
            <w:tcW w:w="1873" w:type="dxa"/>
          </w:tcPr>
          <w:p>
            <w:pPr/>
            <w:r>
              <w:t xml:space="preserve">未在同一 harness 验证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推算</w:t>
            </w:r>
            <w:r>
              <w:t xml:space="preserve">；可自测，只宜作路线图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客服多轮·平衡档，τ²-bench</w:t>
            </w:r>
          </w:p>
        </w:tc>
        <w:tc>
          <w:tcPr>
            <w:tcW w:w="1873" w:type="dxa"/>
          </w:tcPr>
          <w:p>
            <w:pPr/>
            <w:r>
              <w:t xml:space="preserve">Custom 分类，每用户轮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55–65%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35–45%</w:t>
            </w:r>
          </w:p>
        </w:tc>
        <w:tc>
          <w:tcPr>
            <w:tcW w:w="1873" w:type="dxa"/>
          </w:tcPr>
          <w:p>
            <w:pPr/>
            <w:r>
              <w:t xml:space="preserve">0.903 ± 0.071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官方轮次占比 + Token 推算</w:t>
            </w:r>
            <w:r>
              <w:t xml:space="preserve">；可复现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客服多轮·激进档，τ²-bench</w:t>
            </w:r>
          </w:p>
        </w:tc>
        <w:tc>
          <w:tcPr>
            <w:tcW w:w="1873" w:type="dxa"/>
          </w:tcPr>
          <w:p>
            <w:pPr/>
            <w:r>
              <w:t xml:space="preserve">同上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15–25%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75–85%</w:t>
            </w:r>
          </w:p>
        </w:tc>
        <w:tc>
          <w:tcPr>
            <w:tcW w:w="1873" w:type="dxa"/>
          </w:tcPr>
          <w:p>
            <w:pPr/>
            <w:r>
              <w:t xml:space="preserve">0.891 ± 0.029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官方轮次占比 + Token 推算</w:t>
            </w:r>
            <w:r>
              <w:t xml:space="preserve">；可复现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多轮 Agent</w:t>
            </w:r>
          </w:p>
        </w:tc>
        <w:tc>
          <w:tcPr>
            <w:tcW w:w="1873" w:type="dxa"/>
          </w:tcPr>
          <w:p>
            <w:pPr/>
            <w:r>
              <w:t xml:space="preserve">Escalation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约 18%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约 82%</w:t>
            </w:r>
          </w:p>
        </w:tc>
        <w:tc>
          <w:tcPr>
            <w:tcW w:w="1873" w:type="dxa"/>
          </w:tcPr>
          <w:p>
            <w:pPr/>
            <w:r>
              <w:t xml:space="preserve">-6 分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第三方 + 推算</w:t>
            </w:r>
            <w:r>
              <w:t xml:space="preserve">；参数公开、评测集内部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个人助理型</w:t>
            </w:r>
          </w:p>
        </w:tc>
        <w:tc>
          <w:tcPr>
            <w:tcW w:w="1873" w:type="dxa"/>
          </w:tcPr>
          <w:p>
            <w:pPr/>
            <w:r>
              <w:t xml:space="preserve">Escalation + 按类型分流（推测）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约 27%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70–75%</w:t>
            </w:r>
          </w:p>
        </w:tc>
        <w:tc>
          <w:tcPr>
            <w:tcW w:w="1873" w:type="dxa"/>
          </w:tcPr>
          <w:p>
            <w:pPr/>
            <w:r>
              <w:t xml:space="preserve">79.4% vs 79.3%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官方总体结果 + 推算</w:t>
            </w:r>
            <w:r>
              <w:t xml:space="preserve">；配置未公开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企业域路由</w:t>
            </w:r>
          </w:p>
        </w:tc>
        <w:tc>
          <w:tcPr>
            <w:tcW w:w="1873" w:type="dxa"/>
          </w:tcPr>
          <w:p>
            <w:pPr/>
            <w:r>
              <w:t xml:space="preserve">域分类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约 41%（按流量）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55–60%</w:t>
            </w:r>
          </w:p>
        </w:tc>
        <w:tc>
          <w:tcPr>
            <w:tcW w:w="1873" w:type="dxa"/>
          </w:tcPr>
          <w:p>
            <w:pPr/>
            <w:r>
              <w:t xml:space="preserve">域路由准确率 100%，后续轮延迟 -21%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第三方 + 推算</w:t>
            </w:r>
            <w:r>
              <w:t xml:space="preserve">；不可复现</w:t>
            </w:r>
          </w:p>
        </w:tc>
      </w:tr>
      <w:tr>
        <w:trPr>
          <w:trHeight w:val="0"/>
        </w:trPr>
        <w:tc>
          <w:tcPr>
            <w:tcW w:w="1873" w:type="dxa"/>
          </w:tcPr>
          <w:p>
            <w:pPr/>
            <w:r>
              <w:t xml:space="preserve">视频生成</w:t>
            </w:r>
          </w:p>
        </w:tc>
        <w:tc>
          <w:tcPr>
            <w:tcW w:w="1873" w:type="dxa"/>
          </w:tcPr>
          <w:p>
            <w:pPr/>
            <w:r>
              <w:t xml:space="preserve">全本地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w="1873" w:type="dxa"/>
          </w:tcPr>
          <w:p>
            <w:pPr>
              <w:jc w:val="right"/>
            </w:pPr>
            <w:r>
              <w:t xml:space="preserve">100%</w:t>
            </w:r>
          </w:p>
        </w:tc>
        <w:tc>
          <w:tcPr>
            <w:tcW w:w="1873" w:type="dxa"/>
          </w:tcPr>
          <w:p>
            <w:pPr/>
            <w:r>
              <w:t xml:space="preserve">未给出</w:t>
            </w:r>
          </w:p>
        </w:tc>
        <w:tc>
          <w:tcPr>
            <w:tcW w:w="1851" w:type="dxa"/>
          </w:tcPr>
          <w:p>
            <w:pPr/>
            <w:r>
              <w:rPr>
                <w:b w:val="1"/>
              </w:rPr>
              <w:t xml:space="preserve">本方实测</w:t>
            </w:r>
            <w:r>
              <w:t xml:space="preserve">；可复现</w:t>
            </w:r>
          </w:p>
        </w:tc>
      </w:tr>
    </w:tbl>
    <w:p>
      <w:pPr/>
      <w:r>
        <w:t xml:space="preserve">适合进入决策摘要的保守读法是：编码/运维场景关注 </w:t>
      </w:r>
      <w:r>
        <w:rPr>
          <w:b w:val="1"/>
        </w:rPr>
        <w:t xml:space="preserve">40–50%（官方或第三方结果叠加推算，具体见上表）</w:t>
      </w:r>
      <w:r>
        <w:t xml:space="preserve">；客服多轮激进档为 </w:t>
      </w:r>
      <w:r>
        <w:rPr>
          <w:b w:val="1"/>
        </w:rPr>
        <w:t xml:space="preserve">75–85%（官方轮次占比 + Token 推算）</w:t>
      </w:r>
      <w:r>
        <w:t xml:space="preserve">；办公助理与工作流自动化为 </w:t>
      </w:r>
      <w:r>
        <w:rPr>
          <w:b w:val="1"/>
        </w:rPr>
        <w:t xml:space="preserve">70–82%（官方或第三方结果 + 推算，且部分配置或评测集未公开）</w:t>
      </w:r>
      <w:r>
        <w:t xml:space="preserve">。这些数字展示的是可能区间，不是跨场景承诺。</w:t>
      </w:r>
    </w:p>
    <w:p>
      <w:pPr/>
      <w:r>
        <w:t xml:space="preserve">成本也只能在原口径里看：Terminal-Bench 2.1 全 Opus 运行为 98.06 美元/267 次尝试，平均约 0.37 美元/次、约人民币 2.6 元；LangChain 轻量任务每个完成任务约 0.092 美元、约人民币 0.65 元。另一个结构示例给出纯本地 0 美元、端云协同约 0.42 美元、纯云端约 0.65 美元，但材料未明确任务口径，</w:t>
      </w:r>
      <w:r>
        <w:rPr>
          <w:b w:val="1"/>
        </w:rPr>
        <w:t xml:space="preserve">不能与前两组数据混算</w:t>
      </w:r>
      <w:r>
        <w:t xml:space="preserve">。</w:t>
      </w:r>
    </w:p>
    <w:p>
      <w:pPr>
        <w:pBdr>
          <w:top w:val="single" w:sz="6" w:space="0" w:color="000000"/>
        </w:pBdr>
      </w:pPr>
    </w:p>
    <w:p>
      <w:bookmarkStart w:id="mu6pu7r6netd73i53z" w:name="mu6pu7r6netd73i53z"/>
      <w:pPr>
        <w:pStyle w:val="dingding-heading2"/>
      </w:pPr>
      <w:r>
        <w:t xml:space="preserve">四、隐私不是提示词：双闸门才是硬边界</w:t>
      </w:r>
      <w:bookmarkEnd w:id="mu6pu7r6netd73i53z"/>
    </w:p>
    <w:p>
      <w:pPr/>
      <w:r>
        <w:t xml:space="preserve">如果只让模型“请注意隐私”，就像在门口贴一张“贵重物品请勿带出”的纸条。端云协同需要的是两道真正会关上的门。</w:t>
      </w:r>
    </w:p>
    <w:p>
      <w:bookmarkStart w:id="mu6pu7r797675onkudf" w:name="mu6pu7r797675onkudf"/>
      <w:pPr>
        <w:pStyle w:val="dingding-heading3"/>
      </w:pPr>
      <w:r>
        <w:t xml:space="preserve">闸门一：出站前审查 + 逐次用户批准</w:t>
      </w:r>
      <w:bookmarkEnd w:id="mu6pu7r797675onkudf"/>
    </w:p>
    <w:p>
      <w:pPr/>
      <w:r>
        <w:t xml:space="preserve">所有待出站内容先经过本地 PII 模型：分词后进入 0.6B 双向编码器，对 37 类进行逐 Token 打分，再经约束 Viterbi 解码得到实体边界，最终执行脱敏或路由决策。面向用户时，材料将实体归为 9 类：人名、邮箱、电话、地址、URL、日期、账号、机密事项和其他。</w:t>
      </w:r>
    </w:p>
    <w:p>
      <w:pPr/>
      <w:r>
        <w:t xml:space="preserve">审查不是后台一次授权后永久放行。系统要向用户展示本次将离开设备的确切内容，逐次批准后才发送。这体现了用户门控、增量授权和最小暴露：批准的是这一次、这一小段，而不是把整台设备交出通行证。</w:t>
      </w:r>
    </w:p>
    <w:p>
      <w:pPr/>
      <w:r>
        <w:t xml:space="preserve">材料给出的 PII 指标包括：4096 Token 上下文、50% 重叠滑窗，长文本 recall 从 0.83 提高到 0.97；字符级 F1 为 0.629，材料称在 12 个评测系统中最高；重复 PII 一致检出率为 79.4%，对比前沿云端模型 57.0%；BF16 部署并与主模型共享 GPU，显存预算 5%。这些数字应作为材料中的设计与评测记录使用，落地时仍需在自身数据和链路中复验。</w:t>
      </w:r>
    </w:p>
    <w:p>
      <w:bookmarkStart w:id="mu6pu7r7i9ao2cf2bbp" w:name="mu6pu7r7i9ao2cf2bbp"/>
      <w:pPr>
        <w:pStyle w:val="dingding-heading3"/>
      </w:pPr>
      <w:r>
        <w:t xml:space="preserve">闸门二：涉密计算进入本地隔离子代理</w:t>
      </w:r>
      <w:bookmarkEnd w:id="mu6pu7r7i9ao2cf2bbp"/>
    </w:p>
    <w:p>
      <w:pPr/>
      <w:r>
        <w:t xml:space="preserve">涉及敏感数据的计算不应为了“方便”把原始内容升级到云端，而应派发给独立沙箱中的本地子代理。子代理只回传非身份汇总，涉密数据留在隔离区内。</w:t>
      </w:r>
    </w:p>
    <w:p>
      <w:pPr/>
      <w:r>
        <w:t xml:space="preserve">最重要的是 </w:t>
      </w:r>
      <w:r>
        <w:rPr>
          <w:b w:val="1"/>
        </w:rPr>
        <w:t xml:space="preserve">fail-closed</w:t>
      </w:r>
      <w:r>
        <w:t xml:space="preserve">：当沙箱不可用时，功能直接禁用，不做无保护降级。普通系统常见的危险习惯是“安全组件坏了，先把任务跑完”；这里恰好相反——门锁坏了，门就保持关闭。</w:t>
      </w:r>
    </w:p>
    <w:p>
      <w:pPr/>
      <w:r>
        <w:t xml:space="preserve">双闸门之外，还要坚持云端最小权限：云端无本地文件权限、无本地工具权限、无完整会话权限、不能主动推送，只能对被批准的片段返回文本建议。这样即便调用云端，暴露面也被限制在本次任务的最小集合中。</w:t>
      </w:r>
    </w:p>
    <w:p>
      <w:pPr>
        <w:pBdr>
          <w:top w:val="single" w:sz="6" w:space="0" w:color="000000"/>
        </w:pBdr>
      </w:pPr>
    </w:p>
    <w:p>
      <w:bookmarkStart w:id="mu6pu7r726u6e28j557" w:name="mu6pu7r726u6e28j557"/>
      <w:pPr>
        <w:pStyle w:val="dingding-heading2"/>
      </w:pPr>
      <w:r>
        <w:t xml:space="preserve">五、落地三阶段：先看清，再设门，最后调优</w:t>
      </w:r>
      <w:bookmarkEnd w:id="mu6pu7r726u6e28j557"/>
    </w:p>
    <w:p>
      <w:bookmarkStart w:id="mu6pu7r7f5j4rih50pt" w:name="mu6pu7r7f5j4rih50pt"/>
      <w:pPr>
        <w:pStyle w:val="dingding-heading3"/>
      </w:pPr>
      <w:r>
        <w:t xml:space="preserve">阶段一：建立可观测路由与账单基线</w:t>
      </w:r>
      <w:bookmarkEnd w:id="mu6pu7r7f5j4rih50pt"/>
    </w:p>
    <w:p>
      <w:pPr/>
      <w:r>
        <w:t xml:space="preserve">先记录总推理 Token、云端出站 Token、云端计费 Token、云端剩余比例和任务质量，不急着追求最高本地化率。按场景建立“每次都上云”的基线，再引入本地分类与升级策略。第一阶段的目标不是证明本地万能，而是看清哪些轮次真的需要云端。</w:t>
      </w:r>
    </w:p>
    <w:p>
      <w:bookmarkStart w:id="mu6pu7r7zvvq7keujo" w:name="mu6pu7r7zvvq7keujo"/>
      <w:pPr>
        <w:pStyle w:val="dingding-heading3"/>
      </w:pPr>
      <w:r>
        <w:t xml:space="preserve">阶段二：加入 PII 网关和用户批准</w:t>
      </w:r>
      <w:bookmarkEnd w:id="mu6pu7r7zvvq7keujo"/>
    </w:p>
    <w:p>
      <w:pPr/>
      <w:r>
        <w:t xml:space="preserve">把所有出站流量收口到强制网关，接入实体级 PII 审查，展示确切出站内容，并要求逐次批准。此时同时观察隐私检测效果、用户驳回率、误拦截率和额外交互延迟，避免安全机制只存在于架构图上。</w:t>
      </w:r>
    </w:p>
    <w:p>
      <w:bookmarkStart w:id="mu6pu7r8l8r47jawqxl" w:name="mu6pu7r8l8r47jawqxl"/>
      <w:pPr>
        <w:pStyle w:val="dingding-heading3"/>
      </w:pPr>
      <w:r>
        <w:t xml:space="preserve">阶段三：引入隔离子代理并按场景调优</w:t>
      </w:r>
      <w:bookmarkEnd w:id="mu6pu7r8l8r47jawqxl"/>
    </w:p>
    <w:p>
      <w:pPr/>
      <w:r>
        <w:t xml:space="preserve">为涉密计算增加本地隔离子代理与 fail-closed 策略，再分别优化编码、客服、办公助理和工作流自动化的路由阈值。模型可按设备与任务替换为单个更大模型或多个小模型组合；选择标准应回到任务成功率、云端占比、隐私指标和全链路延迟，而不是模型参数标签。</w:t>
      </w:r>
    </w:p>
    <w:p>
      <w:pPr>
        <w:pBdr>
          <w:top w:val="single" w:sz="6" w:space="0" w:color="000000"/>
        </w:pBdr>
      </w:pPr>
    </w:p>
    <w:p>
      <w:bookmarkStart w:id="mu6pu7r8u7zs04w7va" w:name="mu6pu7r8u7zs04w7va"/>
      <w:pPr>
        <w:pStyle w:val="dingding-heading2"/>
      </w:pPr>
      <w:r>
        <w:t xml:space="preserve">六、评测看板：别只盯“省了百分之多少”</w:t>
      </w:r>
      <w:bookmarkEnd w:id="mu6pu7r8u7zs04w7va"/>
    </w:p>
    <w:p>
      <w:pPr/>
      <w:r>
        <w:t xml:space="preserve">建议把评测分成四组，缺一组都可能得到偏科答案。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维度</w:t>
            </w:r>
          </w:p>
        </w:tc>
        <w:tc>
          <w:tcPr>
            <w:tcW w:w="3736" w:type="dxa"/>
          </w:tcPr>
          <w:p>
            <w:pPr/>
            <w:r>
              <w:t xml:space="preserve">核心指标</w:t>
            </w:r>
          </w:p>
        </w:tc>
        <w:tc>
          <w:tcPr>
            <w:tcW w:w="3747" w:type="dxa"/>
          </w:tcPr>
          <w:p>
            <w:pPr/>
            <w:r>
              <w:t xml:space="preserve">要回答的问题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成本与流量</w:t>
            </w:r>
          </w:p>
        </w:tc>
        <w:tc>
          <w:tcPr>
            <w:tcW w:w="3736" w:type="dxa"/>
          </w:tcPr>
          <w:p>
            <w:pPr/>
            <w:r>
              <w:t xml:space="preserve">总推理 Token、云端出站 Token、云端计费 Token、云端账单节省</w:t>
            </w:r>
          </w:p>
        </w:tc>
        <w:tc>
          <w:tcPr>
            <w:tcW w:w="3747" w:type="dxa"/>
          </w:tcPr>
          <w:p>
            <w:pPr/>
            <w:r>
              <w:t xml:space="preserve">到底是计算迁移了，还是云端账单真的下降了？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任务质量</w:t>
            </w:r>
          </w:p>
        </w:tc>
        <w:tc>
          <w:tcPr>
            <w:tcW w:w="3736" w:type="dxa"/>
          </w:tcPr>
          <w:p>
            <w:pPr/>
            <w:r>
              <w:t xml:space="preserve">任务成功率、准确率差值</w:t>
            </w:r>
          </w:p>
        </w:tc>
        <w:tc>
          <w:tcPr>
            <w:tcW w:w="3747" w:type="dxa"/>
          </w:tcPr>
          <w:p>
            <w:pPr/>
            <w:r>
              <w:t xml:space="preserve">省钱是否以不可接受的质量下降为代价？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隐私安全</w:t>
            </w:r>
          </w:p>
        </w:tc>
        <w:tc>
          <w:tcPr>
            <w:tcW w:w="3736" w:type="dxa"/>
          </w:tcPr>
          <w:p>
            <w:pPr/>
            <w:r>
              <w:t xml:space="preserve">PII recall、字符级 F1、用户驳回率、误拦截率</w:t>
            </w:r>
          </w:p>
        </w:tc>
        <w:tc>
          <w:tcPr>
            <w:tcW w:w="3747" w:type="dxa"/>
          </w:tcPr>
          <w:p>
            <w:pPr/>
            <w:r>
              <w:t xml:space="preserve">该拦的是否拦住，不该拦的是否过度阻断？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使用体验</w:t>
            </w:r>
          </w:p>
        </w:tc>
        <w:tc>
          <w:tcPr>
            <w:tcW w:w="3736" w:type="dxa"/>
          </w:tcPr>
          <w:p>
            <w:pPr/>
            <w:r>
              <w:t xml:space="preserve">全链路延迟</w:t>
            </w:r>
          </w:p>
        </w:tc>
        <w:tc>
          <w:tcPr>
            <w:tcW w:w="3747" w:type="dxa"/>
          </w:tcPr>
          <w:p>
            <w:pPr/>
            <w:r>
              <w:t xml:space="preserve">本地路由、审查、批准和升级叠加后是否仍可用？</w:t>
            </w:r>
          </w:p>
        </w:tc>
      </w:tr>
    </w:tbl>
    <w:p>
      <w:pPr/>
      <w:r>
        <w:t xml:space="preserve">评测时必须尽量放在同一 harness、同一任务口径下比较。尤其是“全本地云账单节省 100%（推算）”只说明不再产生云端账单，不能自动推出质量与云端方案相同。没有同一 harness 验证，就应明确写“待验证”，而不是把路线图写成战报。</w:t>
      </w:r>
    </w:p>
    <w:p>
      <w:pPr>
        <w:pBdr>
          <w:top w:val="single" w:sz="6" w:space="0" w:color="000000"/>
        </w:pBdr>
      </w:pPr>
    </w:p>
    <w:p>
      <w:bookmarkStart w:id="mu6pu7rax6rxw6dy6p" w:name="mu6pu7rax6rxw6dy6p"/>
      <w:pPr>
        <w:pStyle w:val="dingding-heading2"/>
      </w:pPr>
      <w:r>
        <w:t xml:space="preserve">七、边界与风险：这不是免费午餐，也不是万能防护罩</w:t>
      </w:r>
      <w:bookmarkEnd w:id="mu6pu7rax6rxw6dy6p"/>
    </w:p>
    <w:p>
      <w:pPr>
        <w:numPr>
          <w:ilvl w:val="0"/>
          <w:numId w:val="2"/>
        </w:numPr>
      </w:pPr>
      <w:r>
        <w:rPr>
          <w:b w:val="1"/>
        </w:rPr>
        <w:t xml:space="preserve">总成本边界</w:t>
      </w:r>
      <w:r>
        <w:t xml:space="preserve">：材料中的节省以云端账单为对象，本地硬件与电费另计。云账单下降不等于系统总拥有成本已被证明同比下降。</w:t>
      </w:r>
    </w:p>
    <w:p>
      <w:pPr>
        <w:numPr>
          <w:ilvl w:val="0"/>
          <w:numId w:val="2"/>
        </w:numPr>
      </w:pPr>
      <w:r>
        <w:rPr>
          <w:b w:val="1"/>
        </w:rPr>
        <w:t xml:space="preserve">质量边界</w:t>
      </w:r>
      <w:r>
        <w:t xml:space="preserve">：不同场景有 -0.3、-2.8 分或 -6 分等质量变化，也有“持平”记录；它们来自不同数据来源和评测条件，不能横向拼接成统一结论。</w:t>
      </w:r>
    </w:p>
    <w:p>
      <w:pPr>
        <w:numPr>
          <w:ilvl w:val="0"/>
          <w:numId w:val="2"/>
        </w:numPr>
      </w:pPr>
      <w:r>
        <w:rPr>
          <w:b w:val="1"/>
        </w:rPr>
        <w:t xml:space="preserve">复现边界</w:t>
      </w:r>
      <w:r>
        <w:t xml:space="preserve">：部分参数公开、部分任务集内部、部分配置未公开，企业域路由数据不可复现。证据等级不同，决策权重也应不同。</w:t>
      </w:r>
    </w:p>
    <w:p>
      <w:pPr>
        <w:numPr>
          <w:ilvl w:val="0"/>
          <w:numId w:val="2"/>
        </w:numPr>
      </w:pPr>
      <w:r>
        <w:rPr>
          <w:b w:val="1"/>
        </w:rPr>
        <w:t xml:space="preserve">全本地边界</w:t>
      </w:r>
      <w:r>
        <w:t xml:space="preserve">：云端剩余为 0%、云端账单节省 100% 的数字，可以是</w:t>
      </w:r>
      <w:r>
        <w:rPr>
          <w:b w:val="1"/>
        </w:rPr>
        <w:t xml:space="preserve">推算</w:t>
      </w:r>
      <w:r>
        <w:t xml:space="preserve">或</w:t>
      </w:r>
      <w:r>
        <w:rPr>
          <w:b w:val="1"/>
        </w:rPr>
        <w:t xml:space="preserve">本方实测</w:t>
      </w:r>
      <w:r>
        <w:t xml:space="preserve">，但若精度未在同一 harness 验证，就只能说明路线可能性。</w:t>
      </w:r>
    </w:p>
    <w:p>
      <w:pPr>
        <w:numPr>
          <w:ilvl w:val="0"/>
          <w:numId w:val="2"/>
        </w:numPr>
      </w:pPr>
      <w:r>
        <w:rPr>
          <w:b w:val="1"/>
        </w:rPr>
        <w:t xml:space="preserve">隐私模型边界</w:t>
      </w:r>
      <w:r>
        <w:t xml:space="preserve">：PII 审查已有材料指标，但并非“零漏检”承诺；需要同时跟踪 recall、F1、重复检出一致性和用户驳回。</w:t>
      </w:r>
    </w:p>
    <w:p>
      <w:pPr>
        <w:numPr>
          <w:ilvl w:val="0"/>
          <w:numId w:val="2"/>
        </w:numPr>
      </w:pPr>
      <w:r>
        <w:rPr>
          <w:b w:val="1"/>
        </w:rPr>
        <w:t xml:space="preserve">可用性边界</w:t>
      </w:r>
      <w:r>
        <w:t xml:space="preserve">：fail-closed 会在沙箱不可用时禁用涉密能力，这是有意的安全取舍。组织需要接受“宁可不执行，也不无保护执行”的产品行为。</w:t>
      </w:r>
    </w:p>
    <w:p>
      <w:pPr>
        <w:numPr>
          <w:ilvl w:val="0"/>
          <w:numId w:val="2"/>
        </w:numPr>
      </w:pPr>
      <w:r>
        <w:rPr>
          <w:b w:val="1"/>
        </w:rPr>
        <w:t xml:space="preserve">模型绑定风险</w:t>
      </w:r>
      <w:r>
        <w:t xml:space="preserve">：27B 与多个候选模型只是示意。把架构绑定到某个名字，会把“能力可替换”误做成“型号依赖”。</w:t>
      </w:r>
    </w:p>
    <w:p>
      <w:pPr>
        <w:pBdr>
          <w:top w:val="single" w:sz="6" w:space="0" w:color="000000"/>
        </w:pBdr>
      </w:pPr>
    </w:p>
    <w:p>
      <w:bookmarkStart w:id="mu6pu7rbuh91vly5lv" w:name="mu6pu7rbuh91vly5lv"/>
      <w:pPr>
        <w:pStyle w:val="dingding-heading2"/>
      </w:pPr>
      <w:r>
        <w:t xml:space="preserve">结论：让云端更贵重，而不是更常驻</w:t>
      </w:r>
      <w:bookmarkEnd w:id="mu6pu7rbuh91vly5lv"/>
    </w:p>
    <w:p>
      <w:pPr/>
      <w:r>
        <w:t xml:space="preserve">端云协同最有价值的变化，不是把一朵云搬进一台设备，而是重新划分默认权力：</w:t>
      </w:r>
      <w:r>
        <w:rPr>
          <w:b w:val="1"/>
        </w:rPr>
        <w:t xml:space="preserve">本地先处理、本地先判断、本地先保护；云端只有在必要且获批时，才看到最小必要信息并提供专家建议。</w:t>
      </w:r>
    </w:p>
    <w:p>
      <w:pPr/>
      <w:r>
        <w:t xml:space="preserve">从成本看，减少的是云端出站 Token 与云端计费 Token，不是宣称总 Token 消失；从架构看，云端从默认执行者变为按需升级专家；从隐私看，0.6B PII 审查与逐次用户批准组成第一道门，本地隔离子代理与 fail-closed 组成第二道门，再以云端无工具权、无文件权、无完整会话权落实最小暴露。</w:t>
      </w:r>
    </w:p>
    <w:p>
      <w:pPr/>
      <w:r>
        <w:t xml:space="preserve">对技术决策者而言，稳妥的起点不是直接承诺“省 80%”，而是先建立统一 harness 与三本 Token 账，再按阶段上路由、隐私网关和隔离子代理。最终要证明的不是“本地模型很强”，而是：在质量、延迟和隐私边界可接受的前提下，究竟有多少工作不必再让云端专家全程坐班。</w:t>
      </w:r>
    </w:p>
    <w:p>
      <w:pPr>
        <w:pBdr>
          <w:top w:val="single" w:sz="6" w:space="0" w:color="000000"/>
        </w:pBdr>
      </w:pPr>
    </w:p>
    <w:p>
      <w:bookmarkStart w:id="mu6pu7rbjroj8c53yve" w:name="mu6pu7rbjroj8c53yve"/>
      <w:pPr>
        <w:pStyle w:val="dingding-heading2"/>
      </w:pPr>
      <w:r>
        <w:t xml:space="preserve">参考资料</w:t>
      </w:r>
      <w:bookmarkEnd w:id="mu6pu7rbjroj8c53yve"/>
    </w:p>
    <w:p>
      <w:pPr/>
      <w:r>
        <w:t xml:space="preserve">以下资料及本文全部事实与数字，均整理自《端云协同省 Token 与隐私报告：写作事实本》所列内容：</w:t>
      </w:r>
    </w:p>
    <w:p>
      <w:pPr>
        <w:numPr>
          <w:ilvl w:val="0"/>
          <w:numId w:val="3"/>
        </w:numPr>
      </w:pPr>
      <w:r>
        <w:t xml:space="preserve">《边缘AI·惊喜开箱3：视频生成省钱计划》 </w:t>
        <w:br w:type="textWrapping"/>
        <w:t xml:space="preserve">https://alidocs.dingtalk.com/i/nodes/yQod3RxJKGdGo75bIlMyPz7aJkb4Mw9r</w:t>
      </w:r>
    </w:p>
    <w:p>
      <w:pPr>
        <w:numPr>
          <w:ilvl w:val="0"/>
          <w:numId w:val="3"/>
        </w:numPr>
      </w:pPr>
      <w:r>
        <w:t xml:space="preserve">《端云协同省token》 </w:t>
        <w:br w:type="textWrapping"/>
        <w:t xml:space="preserve">https://alidocs.dingtalk.com/i/nodes/R4GpnMqJzG3G1EN5ILZd5nzz8Ke0xjE3</w:t>
      </w:r>
    </w:p>
    <w:p>
      <w:pPr>
        <w:numPr>
          <w:ilvl w:val="0"/>
          <w:numId w:val="3"/>
        </w:numPr>
      </w:pPr>
      <w:r>
        <w:t xml:space="preserve">《汇报材料》 </w:t>
        <w:br w:type="textWrapping"/>
        <w:t xml:space="preserve">https://alidocs.dingtalk.com/i/nodes/dxXB52LJqnLn1AEpsZqxwP7r8qjMp697</w:t>
      </w:r>
    </w:p>
    <w:p>
      <w:pPr>
        <w:numPr>
          <w:ilvl w:val="0"/>
          <w:numId w:val="3"/>
        </w:numPr>
      </w:pPr>
      <w:r>
        <w:t xml:space="preserve">《NCP-AgentApp-端云协同》HTML </w:t>
        <w:br w:type="textWrapping"/>
        <w:t xml:space="preserve">https://alidocs.dingtalk.com/i/nodes/np9zOoBVBYwYok09SeyOOj59W1DK0g6l</w:t>
      </w:r>
    </w:p>
    <w:p>
      <w:pPr>
        <w:numPr>
          <w:ilvl w:val="0"/>
          <w:numId w:val="3"/>
        </w:numPr>
      </w:pPr>
      <w:r>
        <w:t xml:space="preserve">《portable_computer》HTML </w:t>
        <w:br w:type="textWrapping"/>
        <w:t xml:space="preserve">https://alidocs.dingtalk.com/i/nodes/DnRL6jAJMGdGo0lxI9R7e2ABWyMoPYe1</w:t>
      </w:r>
    </w:p>
    <w:p>
      <w:pPr/>
      <w:r>
        <w:rPr>
          <w:b w:val="1"/>
        </w:rPr>
        <w:t xml:space="preserve">测算口径声明</w:t>
      </w:r>
      <w:r>
        <w:t xml:space="preserve">：本文所有节省比例均按表格标注为官方、第三方、推算或本方实测；云端账单节省不等于总 Token 减少；跨来源、跨任务、未在同一 harness 验证的数据不作为确定性横向结论。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