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Report 01 — Data and Corpus</w:t>
      </w:r>
    </w:p>
    <w:p>
      <w:pPr>
        <w:jc w:val="center"/>
      </w:pPr>
      <w:r>
        <w:rPr>
          <w:i/>
          <w:sz w:val="18"/>
        </w:rPr>
        <w:t>Information Transmission and Sectoral Asymmetry in the KSE-100 — Dr. Yasir Saeed, KUST</w:t>
      </w:r>
    </w:p>
    <w:p>
      <w:pPr>
        <w:pStyle w:val="Heading1"/>
      </w:pPr>
      <w:r>
        <w:t>1. News corpus</w:t>
      </w:r>
    </w:p>
    <w:p>
      <w:r>
        <w:rPr>
          <w:b w:val="0"/>
          <w:i w:val="0"/>
        </w:rPr>
        <w:t>Source: Business Recorder (brecorder.com), scraped by sequential article-ID scan (news_extractor.py) into monthly CSVs with article_id, url, headline, body_text, date, author, http_status. After deduplication on article_id and restriction to http_status = 200 the corpus is 416,806 unique articles covering 22 June 2020 – 26 May 2026.</w:t>
      </w:r>
    </w:p>
    <w:p>
      <w:pPr>
        <w:pStyle w:val="Heading2"/>
      </w:pPr>
      <w:r>
        <w:t>Date normalisation</w:t>
      </w:r>
    </w:p>
    <w:p>
      <w:r>
        <w:rPr>
          <w:b w:val="0"/>
          <w:i w:val="0"/>
        </w:rPr>
        <w:t>Two date formats coexisted across monthly files (ISO YYYY-MM-DD and day-first DD-MM-YYYY in some 2020–21 files). Day-first ordering was verified empirically (first field exceeds 12 in 3,164 ambiguous rows, second never does); all dates were normalised to ISO, preventing silent day/month swaps (4,891 conversions among relevant articles).</w:t>
      </w:r>
    </w:p>
    <w:p>
      <w:pPr>
        <w:pStyle w:val="Heading1"/>
      </w:pPr>
      <w:r>
        <w:t>2. Price data</w:t>
      </w:r>
    </w:p>
    <w:p>
      <w:r>
        <w:rPr>
          <w:b w:val="0"/>
          <w:i w:val="0"/>
        </w:rPr>
        <w:t>Ticker-level PSX daily data (compiled_psx_historical_2017_2026.csv): 922,837 ticker-day rows, 1,191 symbols, 2 Jan 2017 – 30 Jun 2026 (DATE, SYMBOL, LDCP, OPEN, HIGH, LOW, CLOSE, CHANGE, VOLUME). The file contains no usable index series, so sector and market returns are constructed from constituents (Report 04). Sector classification is taken from the PSX Data Portal symbols endpoint (Source Data/psx_symbols_sectors.json; 745 currently listed equities in 38 named sectors).</w:t>
      </w:r>
    </w:p>
    <w:p>
      <w:r>
        <w:rPr>
          <w:i/>
          <w:color w:val="555555"/>
          <w:sz w:val="18"/>
        </w:rPr>
        <w:t>Note: Delisted securities absent from the current listing remain unmapped and are excluded from sector portfolios — a survivorship caveat; 62% of all historical tickers map, and coverage among actively traded stocks in the study window is far higher.</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