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05 — Descriptive Statistics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pPr>
        <w:pStyle w:val="Heading1"/>
      </w:pPr>
      <w:r>
        <w:t>1. Sentiment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series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mean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std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min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p25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median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p75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max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skewness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6"/>
              </w:rPr>
              <w:t>excess_kurtosis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6"/>
              </w:rPr>
              <w:t>S_All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-0.1131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0.195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-0.5471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-0.244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-0.1254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-0.0057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0.8378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1.5591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6.0885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-0.0712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0.315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-0.8303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-0.3233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-0.0707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0.1742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0.8283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0.0308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-0.7825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-0.1972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0.2269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-0.9531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-0.3519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-0.1944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-0.0606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0.5273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0.0694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0.1174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-0.0516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0.2159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-0.6781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-0.1896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-0.0632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0.0652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0.8378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0.9018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2.8909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-0.193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0.1514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-0.6308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-0.2971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-0.1935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-0.0962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0.3317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0.1545</w:t>
            </w:r>
          </w:p>
        </w:tc>
        <w:tc>
          <w:tcPr>
            <w:tcW w:type="dxa" w:w="877"/>
          </w:tcPr>
          <w:p>
            <w:r/>
            <w:r>
              <w:rPr>
                <w:sz w:val="16"/>
              </w:rPr>
              <w:t>-0.0412</w:t>
            </w:r>
          </w:p>
        </w:tc>
      </w:tr>
    </w:tbl>
    <w:p/>
    <w:p>
      <w:pPr>
        <w:pStyle w:val="Heading1"/>
      </w:pPr>
      <w:r>
        <w:t>2. Sector returns (%)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series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N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mean_pct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std_pct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min_pct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p25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median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p75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max_pct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skewness</w:t>
            </w:r>
          </w:p>
        </w:tc>
        <w:tc>
          <w:tcPr>
            <w:tcW w:type="dxa" w:w="877"/>
            <w:shd w:val="clear" w:fill="D5E8F0"/>
          </w:tcPr>
          <w:p>
            <w:r/>
            <w:r>
              <w:rPr>
                <w:b/>
                <w:sz w:val="15"/>
              </w:rPr>
              <w:t>excess_kurtosis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r_Market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0.1253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1.2753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-9.2171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-0.474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0.2056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0.7941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8.9703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-0.413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7.4562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r_Automobile_Assembler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0.1401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1.7186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-9.4439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-0.7795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0.0914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1.0149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9.0253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0.0223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2.5537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r_Automobile_Parts_Accessories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0.0764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1.7362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-9.8431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-0.8621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0.057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0.9792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9.4642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-0.0069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3.0867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r_Cable_Electrical_Goods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0.0837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1.8801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-8.6503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-1.0357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0.0047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1.2058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9.244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0.0219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1.5534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r_Cement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0.146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1.894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-9.4781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-0.8801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0.0675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1.0751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9.7927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0.2537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2.8554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r_Chemical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0.1166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1.3418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-8.126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-0.5941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0.1699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0.8713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9.2884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-0.1895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4.7616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r_Commercial_Banks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0.1536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1.2886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-9.7015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-0.5285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0.1219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0.7261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9.0392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0.3684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7.9285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r_Engineering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0.0791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1.9153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-11.4576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-0.9919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-0.0157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1.0358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10.4091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0.1212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3.2405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r_Fertilizer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0.1761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1.4457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-9.9121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-0.5735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0.1176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0.8971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9.9961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0.1963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6.7373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r_Food_Personal_Care_Products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0.0945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1.3937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-8.3578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-0.6048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0.1082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0.8538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9.2389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-0.2965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4.8064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r_Glass_Ceramics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0.1011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1.8289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-10.1321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-0.883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0.0042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1.0598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10.0833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3.0255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r_Insurance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0.1303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1.3754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-7.3673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-0.6868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0.1652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0.954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7.543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-0.0969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2.5441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r_Inv_Banks_Inv_Cos_Securities_Cos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0.1339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1.6639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-11.3441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-0.7827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0.1543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1.0855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8.918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-0.2316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3.8086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r_Leather_Tanneries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1340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0.1547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1.9569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-9.361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-1.0929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0.127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1.3561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8.4046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0.0065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0.9025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r_Modarabas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1490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0.088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2.5648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-11.6826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-1.4077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-0.0123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1.4535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11.2146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0.3183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1.7636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r_Oil_Gas_Exploration_Companies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0.127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1.5731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-8.4922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-0.7115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-0.0118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0.8849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9.7698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0.4331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3.8634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r_Oil_Gas_Marketing_Companies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0.1114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1.8296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-10.0854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-0.9132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0.0815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1.1176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9.7307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-0.0564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3.4105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r_Paper_Board_Packaging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0.0688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1.5708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-9.8207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-0.7793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0.016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0.8955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9.4203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0.004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4.9295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r_Pharmaceuticals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0.0818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1.5744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-9.0065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-0.732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-0.0012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0.837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9.0306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0.2997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5.1144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r_Power_Generation_Distribution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0.1676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1.4768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-9.6653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-0.6383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0.1626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0.9402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9.7332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0.1077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4.6292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r_Refinery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0.1365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2.728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-11.0213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-1.2794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-0.0755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1.4311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11.398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0.3081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1.6238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r_Sugar_Allied_Industries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0.1334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1.3283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-6.4993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-0.6058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0.8969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6.9815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0.0184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1.9345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r_Technology_Communication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0.1179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2.0968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-10.904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-0.9507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0.1038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1.2818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12.5432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0.0595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3.4032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r_Textile_Composite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0.1472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1.5013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-7.9704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-0.6876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0.1166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0.974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7.5989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-0.1407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2.3891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r_Textile_Spinning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1492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0.1488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1.9566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-9.3312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-0.9475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0.1178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1.2585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9.1055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-0.0295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1.9934</w:t>
            </w:r>
          </w:p>
        </w:tc>
      </w:tr>
      <w:tr>
        <w:tc>
          <w:tcPr>
            <w:tcW w:type="dxa" w:w="877"/>
          </w:tcPr>
          <w:p>
            <w:r/>
            <w:r>
              <w:rPr>
                <w:sz w:val="15"/>
              </w:rPr>
              <w:t>r_Transport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1486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0.0847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1.8634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-8.3581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-0.9826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-0.0049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1.1229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9.6165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0.1063</w:t>
            </w:r>
          </w:p>
        </w:tc>
        <w:tc>
          <w:tcPr>
            <w:tcW w:type="dxa" w:w="877"/>
          </w:tcPr>
          <w:p>
            <w:r/>
            <w:r>
              <w:rPr>
                <w:sz w:val="15"/>
              </w:rPr>
              <w:t>1.8433</w:t>
            </w:r>
          </w:p>
        </w:tc>
      </w:tr>
    </w:tbl>
    <w:p/>
    <w:p>
      <w:pPr>
        <w:pStyle w:val="Heading1"/>
      </w:pPr>
      <w:r>
        <w:t>3. News flow over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089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ticle_flow_by_cha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8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Monthly article counts by channel (multi-label)</w:t>
      </w:r>
    </w:p>
    <w:p>
      <w:r>
        <w:rPr>
          <w:b w:val="0"/>
          <w:i w:val="0"/>
        </w:rPr>
        <w:t>Interpretation: article flow spikes track Pakistan's macro calendar — budget months (June), IMF programme milestones, and the 2022–23 stabilisation crisis — confirming the channels capture policy news intensity.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