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06 — Correlation Analysis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r>
        <w:rPr>
          <w:b w:val="0"/>
          <w:i w:val="0"/>
        </w:rPr>
        <w:t>Contemporaneous correlations below; dynamic (lead-lag) relationships are treated in Reports 09–11.</w:t>
      </w:r>
    </w:p>
    <w:p>
      <w:pPr>
        <w:pStyle w:val="Heading1"/>
      </w:pPr>
      <w:r>
        <w:t>1. Sentiment x sentiment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Unnamed: 0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S_All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S_Monetary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S_Fiscal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S_External</w:t>
            </w:r>
          </w:p>
        </w:tc>
        <w:tc>
          <w:tcPr>
            <w:tcW w:type="dxa" w:w="1608"/>
            <w:shd w:val="clear" w:fill="D5E8F0"/>
          </w:tcPr>
          <w:p>
            <w:r/>
            <w:r>
              <w:rPr>
                <w:b/>
                <w:sz w:val="16"/>
              </w:rPr>
              <w:t>S_Energy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6"/>
              </w:rPr>
              <w:t>S_All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0.676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0.292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0.637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0.26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0.676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0.299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0.229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0.292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0.311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0.292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0.637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0.299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0.311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0.204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0.26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0.229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0.292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0.204</w:t>
            </w:r>
          </w:p>
        </w:tc>
        <w:tc>
          <w:tcPr>
            <w:tcW w:type="dxa" w:w="1608"/>
          </w:tcPr>
          <w:p>
            <w:r/>
            <w:r>
              <w:rPr>
                <w:sz w:val="16"/>
              </w:rP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rr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Returns x sentiment (contemporaneous)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1134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rr_returns_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11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Returns x returns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937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_retu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Note: Numeric matrices: Results/tables/06_correlations.xlsx.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