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10 — VAR IRF and FEVD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r>
        <w:rPr>
          <w:b w:val="0"/>
          <w:i w:val="0"/>
        </w:rPr>
        <w:t>VAR systems are estimated on stationary transforms: I(1) sentiment series enter as first differences (dS_* = daily sentiment change), so an 'innovation' is a burst of sentiment NEWS; I(0) series and returns enter in levels. Treatment per variable: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original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used_in_VAR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treatment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S_All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dS_All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first difference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dS_Monetary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first difference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level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dS_External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first difference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level</w:t>
            </w:r>
          </w:p>
        </w:tc>
      </w:tr>
    </w:tbl>
    <w:p/>
    <w:p>
      <w:pPr>
        <w:pStyle w:val="Heading1"/>
      </w:pPr>
      <w:r>
        <w:t>1. Market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D5E8F0"/>
          </w:tcPr>
          <w:p>
            <w:r/>
            <w:r>
              <w:rPr>
                <w:b/>
                <w:sz w:val="16"/>
              </w:rPr>
              <w:t>system</w:t>
            </w:r>
          </w:p>
        </w:tc>
        <w:tc>
          <w:tcPr>
            <w:tcW w:type="dxa" w:w="2412"/>
            <w:shd w:val="clear" w:fill="D5E8F0"/>
          </w:tcPr>
          <w:p>
            <w:r/>
            <w:r>
              <w:rPr>
                <w:b/>
                <w:sz w:val="16"/>
              </w:rPr>
              <w:t>aic_lag</w:t>
            </w:r>
          </w:p>
        </w:tc>
        <w:tc>
          <w:tcPr>
            <w:tcW w:type="dxa" w:w="2412"/>
            <w:shd w:val="clear" w:fill="D5E8F0"/>
          </w:tcPr>
          <w:p>
            <w:r/>
            <w:r>
              <w:rPr>
                <w:b/>
                <w:sz w:val="16"/>
              </w:rPr>
              <w:t>stable</w:t>
            </w:r>
          </w:p>
        </w:tc>
        <w:tc>
          <w:tcPr>
            <w:tcW w:type="dxa" w:w="2412"/>
            <w:shd w:val="clear" w:fill="D5E8F0"/>
          </w:tcPr>
          <w:p>
            <w:r/>
            <w:r>
              <w:rPr>
                <w:b/>
                <w:sz w:val="16"/>
              </w:rPr>
              <w:t>nobs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VAR A: r_Market + dS_All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1483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VAR B: r_Market + dS_Monetary, S_Fiscal, dS_External, S_Energy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True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1482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rf_market_S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r_Market response to a unit sentiment-news innovation (95% MC bands, 500 reps)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2213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rf_market_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221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r_Market response to channel sentiment innovations</w:t>
      </w:r>
    </w:p>
    <w:p>
      <w:pPr>
        <w:pStyle w:val="Heading2"/>
      </w:pPr>
      <w:r>
        <w:t>FEVD — market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D5E8F0"/>
          </w:tcPr>
          <w:p>
            <w:r/>
            <w:r>
              <w:rPr>
                <w:b/>
                <w:sz w:val="16"/>
              </w:rPr>
              <w:t>target</w:t>
            </w:r>
          </w:p>
        </w:tc>
        <w:tc>
          <w:tcPr>
            <w:tcW w:type="dxa" w:w="1930"/>
            <w:shd w:val="clear" w:fill="D5E8F0"/>
          </w:tcPr>
          <w:p>
            <w:r/>
            <w:r>
              <w:rPr>
                <w:b/>
                <w:sz w:val="16"/>
              </w:rPr>
              <w:t>source</w:t>
            </w:r>
          </w:p>
        </w:tc>
        <w:tc>
          <w:tcPr>
            <w:tcW w:type="dxa" w:w="1930"/>
            <w:shd w:val="clear" w:fill="D5E8F0"/>
          </w:tcPr>
          <w:p>
            <w:r/>
            <w:r>
              <w:rPr>
                <w:b/>
                <w:sz w:val="16"/>
              </w:rPr>
              <w:t>FEVD_h1_pct</w:t>
            </w:r>
          </w:p>
        </w:tc>
        <w:tc>
          <w:tcPr>
            <w:tcW w:type="dxa" w:w="1930"/>
            <w:shd w:val="clear" w:fill="D5E8F0"/>
          </w:tcPr>
          <w:p>
            <w:r/>
            <w:r>
              <w:rPr>
                <w:b/>
                <w:sz w:val="16"/>
              </w:rPr>
              <w:t>FEVD_h5_pct</w:t>
            </w:r>
          </w:p>
        </w:tc>
        <w:tc>
          <w:tcPr>
            <w:tcW w:type="dxa" w:w="1930"/>
            <w:shd w:val="clear" w:fill="D5E8F0"/>
          </w:tcPr>
          <w:p>
            <w:r/>
            <w:r>
              <w:rPr>
                <w:b/>
                <w:sz w:val="16"/>
              </w:rPr>
              <w:t>FEVD_h22_pct</w:t>
            </w:r>
          </w:p>
        </w:tc>
      </w:tr>
      <w:tr>
        <w:tc>
          <w:tcPr>
            <w:tcW w:type="dxa" w:w="1930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dS_All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0.208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0.998</w:t>
            </w:r>
          </w:p>
        </w:tc>
      </w:tr>
      <w:tr>
        <w:tc>
          <w:tcPr>
            <w:tcW w:type="dxa" w:w="1930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dS_Monetary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0.543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0.885</w:t>
            </w:r>
          </w:p>
        </w:tc>
      </w:tr>
      <w:tr>
        <w:tc>
          <w:tcPr>
            <w:tcW w:type="dxa" w:w="1930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0.118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0.641</w:t>
            </w:r>
          </w:p>
        </w:tc>
      </w:tr>
      <w:tr>
        <w:tc>
          <w:tcPr>
            <w:tcW w:type="dxa" w:w="1930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dS_External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0.222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0.431</w:t>
            </w:r>
          </w:p>
        </w:tc>
      </w:tr>
      <w:tr>
        <w:tc>
          <w:tcPr>
            <w:tcW w:type="dxa" w:w="1930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0.187</w:t>
            </w:r>
          </w:p>
        </w:tc>
        <w:tc>
          <w:tcPr>
            <w:tcW w:type="dxa" w:w="1930"/>
          </w:tcPr>
          <w:p>
            <w:r/>
            <w:r>
              <w:rPr>
                <w:sz w:val="16"/>
              </w:rPr>
              <w:t>0.246</w:t>
            </w:r>
          </w:p>
        </w:tc>
      </w:tr>
    </w:tbl>
    <w:p/>
    <w:p>
      <w:pPr>
        <w:pStyle w:val="Heading2"/>
      </w:pPr>
      <w:r>
        <w:t>IRF summary — market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target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shock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day1_bps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day3_bps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peak_day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peak_bps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cum22_bps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dS_All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-42.87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32.09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91.23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54.2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-2.3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38.94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38.94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7.84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-8.78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27.41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90.2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7.38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-0.65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-26.98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-27.9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4.21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4.05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-40.66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-28.6</w:t>
            </w:r>
          </w:p>
        </w:tc>
      </w:tr>
    </w:tbl>
    <w:p/>
    <w:p>
      <w:pPr>
        <w:pStyle w:val="Heading1"/>
      </w:pPr>
      <w:r>
        <w:t>2. All-sector sensitivity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nsitivity_heatmap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FEVD share (%) of each sector's 22-day return variance from each channel; * = Granger-significant at 5%</w:t>
      </w:r>
    </w:p>
    <w:p>
      <w:pPr>
        <w:pStyle w:val="Heading2"/>
      </w:pPr>
      <w:r>
        <w:t>Sectoral IRF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target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shock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day1_bps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day3_bps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peak_day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peak_bps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4"/>
              </w:rPr>
              <w:t>cum22_bps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-4.14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48.62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48.62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83.4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32.75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-23.24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37.13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80.7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8.15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15.92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-45.51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-85.2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4.25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7.21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43.37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75.5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15.22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57.7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57.7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141.8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16.69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-16.11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37.18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25.4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-31.73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-21.62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8.03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-34.45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r_Cable_Electrical_Goods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-6.94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29.49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55.13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105.2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r_Cable_Electrical_Goods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-0.4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1.71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49.09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142.9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r_Cable_Electrical_Goods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15.42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-15.73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-29.43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-19.7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r_Cable_Electrical_Goods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-12.76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-5.28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-62.44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r_Cement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6.88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40.9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-46.92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70.8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r_Cement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-2.33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42.39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101.9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r_Cement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15.61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-25.7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r_Cement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-7.4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4.06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-46.19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-56.9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2.51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49.11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49.11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109.8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11.18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3.96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31.2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100.5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4.64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-6.16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-39.37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-68.9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-4.94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-6.86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-44.83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-13.42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26.3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-33.59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30.2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18.49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1.42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18.49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-4.65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-2.57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27.66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12.8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30.69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-33.06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47.67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-48.63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39.1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14.95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-9.08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32.55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91.4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26.19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-40.62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26.2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-2.09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-17.11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-53.7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r_Fertilizer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-20.98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28.48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-30.33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53.1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r_Fertilizer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28.16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-10.56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28.16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-34.4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r_Fertilizer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-0.98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3.1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20.07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r_Fertilizer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33.06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13.85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-59.28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70.9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-6.27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37.73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37.73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100.5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15.13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-1.71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39.2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70.4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5.8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-34.54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-41.3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12.12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-29.41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-29.41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-88.1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r_Glass_Ceramics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0.12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40.65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40.65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99.1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r_Glass_Ceramics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-4.34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-21.69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36.5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61.5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r_Glass_Ceramics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35.46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-7.3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54.37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-25.3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r_Glass_Ceramics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15.33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-46.26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105.3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r_Insurance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23.02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-35.36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50.4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r_Insurance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-2.84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-8.21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r_Insurance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5.15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-0.83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43.24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r_Insurance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2.74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12.87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-36.36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49.1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r_Inv_Banks_Inv_Cos_Securities_Cos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7.52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26.12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56.3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92.3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r_Inv_Banks_Inv_Cos_Securities_Cos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39.48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88.1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r_Inv_Banks_Inv_Cos_Securities_Cos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15.41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-47.82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-7.3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r_Inv_Banks_Inv_Cos_Securities_Cos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26.5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4.65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47.82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110.3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r_Leather_Tanneries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-18.47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0.48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-18.47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-7.3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r_Leather_Tanneries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15.48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20.2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81.98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177.5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r_Leather_Tanneries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2.79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17.8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-24.33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-13.3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r_Leather_Tanneries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-13.96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-10.77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-50.51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-112.4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r_Modarabas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11.59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37.31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41.63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37.9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r_Modarabas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-16.1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-11.03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-62.39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r_Modarabas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45.59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-36.06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62.18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31.8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r_Modarabas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40.61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50.82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-97.87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-109.2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-29.38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66.72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66.72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77.9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7.09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-40.39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-40.39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-20.5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-20.39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-52.28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-90.7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8.41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15.84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28.37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r_Oil_Gas_Marketing_Companies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-36.91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62.89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62.89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r_Oil_Gas_Marketing_Companies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10.23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-36.92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53.86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20.6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r_Oil_Gas_Marketing_Companies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15.77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0.47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-54.86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-55.7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r_Oil_Gas_Marketing_Companies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-10.19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0.68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-31.17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-126.3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r_Paper_Board_Packaging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3.27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34.74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34.74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80.3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r_Paper_Board_Packaging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11.05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-19.23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43.48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152.1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r_Paper_Board_Packaging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21.97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-35.96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30.5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r_Paper_Board_Packaging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8.67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-0.42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-38.04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-242.1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39.93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28.75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43.33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163.3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18.28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6.84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28.36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185.4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10.58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0.85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-35.33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-78.9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-9.97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-35.15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-25.3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r_Power_Generation_Distribution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16.88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56.38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56.38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103.6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r_Power_Generation_Distribution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9.56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-31.19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-31.19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r_Power_Generation_Distribution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25.27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-10.81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-29.14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-10.8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r_Power_Generation_Distribution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22.15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-36.2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-87.5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r_Refinery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25.73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58.85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88.7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r_Refinery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-6.69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-44.3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53.41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-22.3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r_Refinery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11.08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2.5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-71.24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-154.6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r_Refinery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-15.45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42.32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93.65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119.4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r_Sugar_Allied_Industries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-5.59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14.21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-44.34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42.8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r_Sugar_Allied_Industries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13.13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-5.85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28.54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39.4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r_Sugar_Allied_Industries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-18.8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2.72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25.26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-14.9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r_Sugar_Allied_Industries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10.09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-12.44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45.4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-6.59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36.48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64.43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128.6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-0.92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16.24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64.03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134.3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7.31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-66.92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-80.2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1.88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-2.12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-39.59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r_Textile_Composite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6.96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32.34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-42.84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66.5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r_Textile_Composite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-6.3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-12.9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39.94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108.7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r_Textile_Composite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24.05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-28.37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-30.83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-40.1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r_Textile_Composite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-4.54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11.73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-48.21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11.9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r_Textile_Spinning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6.61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62.36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68.42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179.9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r_Textile_Spinning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13.61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-24.27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65.36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327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r_Textile_Spinning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14.88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-2.51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42.19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47.4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r_Textile_Spinning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19.76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-9.88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-85.32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-202.9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r_Transport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dS_Monetary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70.26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70.26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101.4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r_Transport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S_Fiscal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25.61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-35.19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-35.19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r_Transport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dS_External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-9.98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-2.54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-53.98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-46.1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4"/>
              </w:rPr>
              <w:t>r_Transport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23.54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-23.98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-56.07</w:t>
            </w:r>
          </w:p>
        </w:tc>
        <w:tc>
          <w:tcPr>
            <w:tcW w:type="dxa" w:w="1378"/>
          </w:tcPr>
          <w:p>
            <w:r/>
            <w:r>
              <w:rPr>
                <w:sz w:val="14"/>
              </w:rPr>
              <w:t>-181</w:t>
            </w:r>
          </w:p>
        </w:tc>
      </w:tr>
    </w:tbl>
    <w:p/>
    <w:p>
      <w:r>
        <w:rPr>
          <w:i/>
          <w:color w:val="555555"/>
          <w:sz w:val="18"/>
        </w:rPr>
        <w:t>Note: Full FEVD tables: Results/tables/10_var_irf_fevd.xlsx and 10b_sensitivity_matrix_all.xlsx.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