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Report 12 — Robustness</w:t>
      </w:r>
    </w:p>
    <w:p>
      <w:pPr>
        <w:jc w:val="center"/>
      </w:pPr>
      <w:r>
        <w:rPr>
          <w:i/>
          <w:sz w:val="18"/>
        </w:rPr>
        <w:t>Information Transmission and Sectoral Asymmetry in the KSE-100 — Dr. Yasir Saeed, KUST</w:t>
      </w:r>
    </w:p>
    <w:p>
      <w:pPr>
        <w:pStyle w:val="Heading1"/>
      </w:pPr>
      <w:r>
        <w:t>1. Directional correction vs raw FinBERT</w:t>
      </w:r>
    </w:p>
    <w:p>
      <w:r>
        <w:rPr>
          <w:b w:val="0"/>
          <w:i w:val="0"/>
        </w:rPr>
        <w:t>Every headline test re-estimated on sentiment series built from raw FinBERT tone (no sign rules), under the same v2.1 econometrics (Toda-Yamamoto causality; I(1) series differenced — integration orders re-detected for the raw series). If the directional layer adds information, transmission evidence should weaken under raw tone.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5E8F0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3216"/>
            <w:shd w:val="clear" w:fill="D5E8F0"/>
          </w:tcPr>
          <w:p>
            <w:r/>
            <w:r>
              <w:rPr>
                <w:b/>
                <w:sz w:val="16"/>
              </w:rPr>
              <w:t>directional</w:t>
            </w:r>
          </w:p>
        </w:tc>
        <w:tc>
          <w:tcPr>
            <w:tcW w:type="dxa" w:w="3216"/>
            <w:shd w:val="clear" w:fill="D5E8F0"/>
          </w:tcPr>
          <w:p>
            <w:r/>
            <w:r>
              <w:rPr>
                <w:b/>
                <w:sz w:val="16"/>
              </w:rPr>
              <w:t>raw_finbert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market: S_All -&gt; r_Market TY min p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0.0738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0.2343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sector-channel pairs TY-significant (fwd, 5%)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pairs with significant anticipation (leads, 5%)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33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35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16"/>
              </w:rPr>
              <w:t>pairs with significant lagged impact (5%)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3216"/>
          </w:tcPr>
          <w:p>
            <w:r/>
            <w:r>
              <w:rPr>
                <w:sz w:val="16"/>
              </w:rPr>
              <w:t>3</w:t>
            </w:r>
          </w:p>
        </w:tc>
      </w:tr>
    </w:tbl>
    <w:p/>
    <w:p>
      <w:pPr>
        <w:pStyle w:val="Heading1"/>
      </w:pPr>
      <w:r>
        <w:t>2. Original five-sector subset</w:t>
      </w:r>
    </w:p>
    <w:p>
      <w:r>
        <w:rPr>
          <w:b w:val="0"/>
          <w:i w:val="0"/>
        </w:rPr>
        <w:t>The study's original five focus sectors, extracted from the all-sector results (directional series):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2"/>
        <w:gridCol w:w="1072"/>
        <w:gridCol w:w="1072"/>
        <w:gridCol w:w="1072"/>
        <w:gridCol w:w="1072"/>
        <w:gridCol w:w="1072"/>
        <w:gridCol w:w="1072"/>
        <w:gridCol w:w="1072"/>
        <w:gridCol w:w="1072"/>
      </w:tblGrid>
      <w:tr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sector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channel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dmax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var_lag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stable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fwd_min_p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fwd_sig_lags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rev_min_p</w:t>
            </w:r>
          </w:p>
        </w:tc>
        <w:tc>
          <w:tcPr>
            <w:tcW w:type="dxa" w:w="1072"/>
            <w:shd w:val="clear" w:fill="D5E8F0"/>
          </w:tcPr>
          <w:p>
            <w:r/>
            <w:r>
              <w:rPr>
                <w:b/>
                <w:sz w:val="16"/>
              </w:rPr>
              <w:t>rev_sig_lags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r_Cement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0.1262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0.0989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r_Cement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0.3656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0.4371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r_Cement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0.5673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0.0366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r_Cement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0.7268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0.0013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r_Commercial_Banks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0.3551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0.0002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r_Commercial_Banks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0.2135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0.3597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r_Commercial_Banks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0.8123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r_Commercial_Banks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0.5956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0.0028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r_Fertilizer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0.1533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0.0058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1,2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r_Fertilizer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0.0897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0.4578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r_Fertilizer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0.2223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0.272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r_Fertilizer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0.1751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0.2615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r_Oil_Gas_Exploration_Companies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0.0496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0.0148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1,2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r_Oil_Gas_Exploration_Companies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0.3471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0.2535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r_Oil_Gas_Exploration_Companies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0.4088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0.1228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r_Oil_Gas_Exploration_Companies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0.9459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0.0022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1,2,3,4,5</w:t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r_Technology_Communication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S_Monetary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0.1324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0.111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r_Technology_Communication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S_Fiscal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0.2494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0.3832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r_Technology_Communication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S_External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0.4288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0.0531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1072"/>
          </w:tcPr>
          <w:p>
            <w:r/>
            <w:r>
              <w:rPr>
                <w:sz w:val="16"/>
              </w:rPr>
              <w:t>r_Technology_Communication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S_Energy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True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0.7922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0.0024</w:t>
            </w:r>
          </w:p>
        </w:tc>
        <w:tc>
          <w:tcPr>
            <w:tcW w:type="dxa" w:w="1072"/>
          </w:tcPr>
          <w:p>
            <w:r/>
            <w:r>
              <w:rPr>
                <w:sz w:val="16"/>
              </w:rPr>
              <w:t>1,2,3,4,5</w:t>
            </w:r>
          </w:p>
        </w:tc>
      </w:tr>
    </w:tbl>
    <w:p/>
    <w:p>
      <w:pPr>
        <w:pStyle w:val="Heading1"/>
      </w:pPr>
      <w:r>
        <w:t>3. Further robustness recorded for the paper</w:t>
      </w:r>
    </w:p>
    <w:p>
      <w:pPr>
        <w:pStyle w:val="ListBullet"/>
      </w:pPr>
      <w:r>
        <w:t>Raw-series Granger tables (market and sectors) and lead-lag tests: sheets in Results/tables/12_robustness.xlsx.</w:t>
      </w:r>
    </w:p>
    <w:p>
      <w:pPr>
        <w:pStyle w:val="ListBullet"/>
      </w:pPr>
      <w:r>
        <w:t>Relevance-threshold sensitivity (hits &gt;= 2 or &gt;= 4) requires re-scoring the wider/narrower article set with FinBERT; noted as an extension.</w:t>
      </w:r>
    </w:p>
    <w:p>
      <w:pPr>
        <w:pStyle w:val="ListBullet"/>
      </w:pPr>
      <w:r>
        <w:t>Equal weighting: value-weighted variants require market-cap data; the market portfolio's high correlation with published KSE-100 levels over the window can be cited as external validity.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