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Information Transmission and Sectoral Asymmetry in the KSE-100</w:t>
      </w:r>
    </w:p>
    <w:p>
      <w:pPr>
        <w:jc w:val="center"/>
      </w:pPr>
      <w:r>
        <w:rPr>
          <w:color w:val="1F3864"/>
          <w:sz w:val="28"/>
        </w:rPr>
        <w:t>Complete Pipeline Methodology — Step by Step</w:t>
      </w:r>
    </w:p>
    <w:p>
      <w:pPr>
        <w:jc w:val="center"/>
      </w:pPr>
      <w:r>
        <w:rPr>
          <w:i/>
          <w:sz w:val="20"/>
        </w:rPr>
        <w:t>Dr. Yasir Saeed  |  Department of Economics, KUST  |  Compiled 2 July 2026</w:t>
      </w:r>
    </w:p>
    <w:p/>
    <w:p>
      <w:pPr>
        <w:pStyle w:val="Heading1"/>
      </w:pPr>
      <w:r>
        <w:t>1. Overview and Research Design</w:t>
      </w:r>
    </w:p>
    <w:p>
      <w:r>
        <w:rPr>
          <w:b w:val="0"/>
          <w:i w:val="0"/>
        </w:rPr>
        <w:t>The study asks how macroeconomic sentiment embedded in Pakistan's financial news transmits into equity returns across five major sectors of the KSE-100 index. The central design principle is that sentiment must not be treated as a single composite signal: macroeconomic news arrives through distinct policy channels — SBP monetary signals, FBR fiscal announcements, IMF/World Bank external-finance developments, and NEPRA/OGRA energy decisions — each of which may activate different sectors at different speeds. The pipeline therefore produces four channel-specific daily sentiment series and estimates their joint dynamics with five sectoral return series in a VAR system.</w:t>
      </w:r>
    </w:p>
    <w:p>
      <w:r>
        <w:rPr>
          <w:b w:val="0"/>
          <w:i w:val="0"/>
        </w:rPr>
        <w:t>The pipeline has five phases, each implemented as a standalone, re-runnable Python script in D:\Stockmarket-Sentiment-Analysis: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fill="D5E8F0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3168"/>
            <w:shd w:val="clear" w:fill="D5E8F0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3312"/>
            <w:shd w:val="clear" w:fill="D5E8F0"/>
          </w:tcPr>
          <w:p>
            <w:r/>
            <w:r>
              <w:rPr>
                <w:b/>
                <w:sz w:val="19"/>
              </w:rPr>
              <w:t>Script</w:t>
            </w:r>
          </w:p>
        </w:tc>
        <w:tc>
          <w:tcPr>
            <w:tcW w:type="dxa" w:w="3456"/>
            <w:shd w:val="clear" w:fill="D5E8F0"/>
          </w:tcPr>
          <w:p>
            <w:r/>
            <w:r>
              <w:rPr>
                <w:b/>
                <w:sz w:val="19"/>
              </w:rPr>
              <w:t>Key output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News corpus acquisition (web scrape)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news_extractor.py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Extracted Data\brecorder_YYYY_MM.csv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Relevance filter + channel routing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keyword_relevance_filter.py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Phase 1 Outputs\relevant_articles_keyword.csv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PSX-directional sentiment scoring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run_phase2.py (+ psx_sign_rules.py)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Phase 2 Outputs\daily_sentiment.xlsx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Sector returns + panel assembly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build_panel_data.py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panel_data.xlsx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Granger / VAR / IRF / FEVD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panel_var_estimator.py, sectoral_sensitivity_matrix.py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granger_causality.xlsx, irf_plots.png, fevd_results.xlsx, sectoral_sensitivity_matrix.xlsx</w:t>
            </w:r>
          </w:p>
        </w:tc>
      </w:tr>
    </w:tbl>
    <w:p/>
    <w:p>
      <w:pPr>
        <w:pStyle w:val="Heading1"/>
      </w:pPr>
      <w:r>
        <w:t>2. Phase 0 — Corpus Acquisition</w:t>
      </w:r>
    </w:p>
    <w:p>
      <w:r>
        <w:rPr>
          <w:b w:val="0"/>
          <w:i w:val="0"/>
        </w:rPr>
        <w:t>Source: Business Recorder (brecorder.com), Pakistan's principal financial daily. Articles were scraped by sequential article-ID scan using curl_cffi with Chrome TLS impersonation, writing one CSV per publication month with columns: article_id, url, headline, body_text, date, author, http_status.</w:t>
      </w:r>
    </w:p>
    <w:p>
      <w:pPr>
        <w:pStyle w:val="ListBullet"/>
      </w:pPr>
      <w:r>
        <w:t>Coverage: 22 June 2020 to 26 May 2026.</w:t>
      </w:r>
    </w:p>
    <w:p>
      <w:pPr>
        <w:pStyle w:val="ListBullet"/>
      </w:pPr>
      <w:r>
        <w:t>After deduplication on article_id and restriction to http_status = 200, the working corpus is 416,806 unique articles.</w:t>
      </w:r>
    </w:p>
    <w:p>
      <w:pPr>
        <w:pStyle w:val="ListBullet"/>
      </w:pPr>
      <w:r>
        <w:t>Data-quality fix applied downstream: some 2020–21 files stored dates as DD-MM-YYYY while the rest used ISO YYYY-MM-DD. All dates were normalised to ISO. Day-first ordering was verified empirically (in ambiguous strings the first field exceeds 12 in 3,164 rows; the second never does), preventing silent day/month swaps in daily aggregation. 4,891 relevant-article dates were converted.</w:t>
      </w:r>
    </w:p>
    <w:p>
      <w:pPr>
        <w:pStyle w:val="Heading1"/>
      </w:pPr>
      <w:r>
        <w:t>3. Phase 1 — Relevance Filtering and Channel Routing</w:t>
      </w:r>
    </w:p>
    <w:p>
      <w:pPr>
        <w:pStyle w:val="Heading2"/>
      </w:pPr>
      <w:r>
        <w:t>3.1 The abandoned first attempt (BERTopic), and why</w:t>
      </w:r>
    </w:p>
    <w:p>
      <w:r>
        <w:rPr>
          <w:b w:val="0"/>
          <w:i w:val="0"/>
        </w:rPr>
        <w:t>The original design fitted a BERTopic model (paraphrase-multilingual-MiniLM-L12-v2 embeddings) and manually labelled each topic keep/discard. This split was abandoned after inspection revealed severe defects:</w:t>
      </w:r>
    </w:p>
    <w:p>
      <w:pPr>
        <w:pStyle w:val="ListBullet"/>
      </w:pPr>
      <w:r>
        <w:t>Internal inconsistency: 151 of 380 topics carried a keep flag that contradicted their own PSX relevance label (~20,000 articles affected).</w:t>
      </w:r>
    </w:p>
    <w:p>
      <w:pPr>
        <w:pStyle w:val="ListBullet"/>
      </w:pPr>
      <w:r>
        <w:t>The outlier bucket (topic −1: 33,495 articles, 8% of the corpus) was hard-discarded, and the intended keyword-rescue step never executed.</w:t>
      </w:r>
    </w:p>
    <w:p>
      <w:pPr>
        <w:pStyle w:val="ListBullet"/>
      </w:pPr>
      <w:r>
        <w:t>The topic model was fitted on only a 100,000-article subsample; the remaining ~317,000 articles received approximate transform assignments.</w:t>
      </w:r>
    </w:p>
    <w:p>
      <w:pPr>
        <w:pStyle w:val="ListBullet"/>
      </w:pPr>
      <w:r>
        <w:t>Topic-level granularity: every article in a mixed topic inherited the whole topic's fate, producing misclassification in both directions.</w:t>
      </w:r>
    </w:p>
    <w:p>
      <w:r>
        <w:rPr>
          <w:b w:val="0"/>
          <w:i/>
        </w:rPr>
        <w:t>BERTopic is retained only as a corpus-exploration tool; it plays no role in the final pipeline.</w:t>
      </w:r>
    </w:p>
    <w:p>
      <w:pPr>
        <w:pStyle w:val="Heading2"/>
      </w:pPr>
      <w:r>
        <w:t>3.2 The keyword channel filter (final method)</w:t>
      </w:r>
    </w:p>
    <w:p>
      <w:r>
        <w:rPr>
          <w:b w:val="0"/>
          <w:i w:val="0"/>
        </w:rPr>
        <w:t>Relevance is decided at the article level with a fully transparent rule that reuses the study's own channel taxonomy: an article is PSX-relevant if and only if it classifies into one of the four macroeconomic policy channels with sufficient keyword evidence. This makes the relevance filter and the channel routing a single, internally consistent step.</w:t>
      </w:r>
    </w:p>
    <w:p>
      <w:pPr>
        <w:pStyle w:val="Heading3"/>
      </w:pPr>
      <w:r>
        <w:t>Step 1 — Channel scoring</w:t>
      </w:r>
    </w:p>
    <w:p>
      <w:r>
        <w:rPr>
          <w:b w:val="0"/>
          <w:i w:val="0"/>
        </w:rPr>
        <w:t>Four domain-validated keyword dictionaries (topic_router.py) reflect Pakistan's institutional vocabulary: Monetary (32 keywords: SBP, policy rate, CPI, rupee, reserves...), Fiscal (33: FBR, budget deficit, PSDP, ratings...), External Finance (34: IMF, current account, remittances, eurobond...), Energy (40: NEPRA, OGRA, tariffs, circular debt, load shedding...). For each article and channel c:</w:t>
      </w:r>
    </w:p>
    <w:p>
      <w:pPr>
        <w:ind w:left="576"/>
      </w:pPr>
      <w:r>
        <w:rPr>
          <w:rFonts w:ascii="Consolas" w:hAnsi="Consolas"/>
          <w:sz w:val="20"/>
        </w:rPr>
        <w:t>score(c) = 3 x (keyword occurrences in headline) + 1 x (keyword occurrences in body)</w:t>
      </w:r>
    </w:p>
    <w:p>
      <w:r>
        <w:rPr>
          <w:b w:val="0"/>
          <w:i w:val="0"/>
        </w:rPr>
        <w:t>Occurrences are case-insensitive substring counts; the 3x headline weight captures editorial emphasis.</w:t>
      </w:r>
    </w:p>
    <w:p>
      <w:pPr>
        <w:pStyle w:val="Heading3"/>
      </w:pPr>
      <w:r>
        <w:t>Step 2 — Category decision</w:t>
      </w:r>
    </w:p>
    <w:p>
      <w:pPr>
        <w:pStyle w:val="ListBullet"/>
      </w:pPr>
      <w:r>
        <w:t>Unclassified if all channel scores are zero.</w:t>
      </w:r>
    </w:p>
    <w:p>
      <w:pPr>
        <w:pStyle w:val="ListBullet"/>
      </w:pPr>
      <w:r>
        <w:t>Mixed if the top channel holds less than 35% of total keyword mass (no dominant channel).</w:t>
      </w:r>
    </w:p>
    <w:p>
      <w:pPr>
        <w:pStyle w:val="ListBullet"/>
      </w:pPr>
      <w:r>
        <w:t>Otherwise the top-scoring channel.</w:t>
      </w:r>
    </w:p>
    <w:p>
      <w:pPr>
        <w:pStyle w:val="Heading3"/>
      </w:pPr>
      <w:r>
        <w:t>Step 3 — Relevance decision</w:t>
      </w:r>
    </w:p>
    <w:p>
      <w:pPr>
        <w:ind w:left="576"/>
      </w:pPr>
      <w:r>
        <w:rPr>
          <w:rFonts w:ascii="Consolas" w:hAnsi="Consolas"/>
          <w:sz w:val="20"/>
        </w:rPr>
        <w:t>relevant  &lt;=&gt;  category in {Monetary, Fiscal, External, Energy, Mixed}  AND  total weighted hits &gt;= 3</w:t>
      </w:r>
    </w:p>
    <w:p>
      <w:r>
        <w:rPr>
          <w:b w:val="0"/>
          <w:i w:val="0"/>
        </w:rPr>
        <w:t>The threshold of 3 requires at least one headline keyword or three body mentions, screening out passing references. It is exposed as a --min-hits parameter.</w:t>
      </w:r>
    </w:p>
    <w:p>
      <w:pPr>
        <w:pStyle w:val="Heading3"/>
      </w:pPr>
      <w:r>
        <w:t>Implementation verification</w:t>
      </w:r>
    </w:p>
    <w:p>
      <w:r>
        <w:rPr>
          <w:b w:val="0"/>
          <w:i w:val="0"/>
        </w:rPr>
        <w:t>Scoring is executed vectorised for speed but is asserted, on every run, to produce byte-identical categories and hit counts to the original row-wise topic_router.classify_article on a 500-article random sample.</w:t>
      </w:r>
    </w:p>
    <w:p>
      <w:pPr>
        <w:pStyle w:val="Heading2"/>
      </w:pPr>
      <w:r>
        <w:t>3.3 Phase 1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184"/>
            <w:shd w:val="clear" w:fill="D5E8F0"/>
          </w:tcPr>
          <w:p>
            <w:r/>
            <w:r>
              <w:rPr>
                <w:b/>
                <w:sz w:val="19"/>
              </w:rPr>
              <w:t>Bucket</w:t>
            </w:r>
          </w:p>
        </w:tc>
        <w:tc>
          <w:tcPr>
            <w:tcW w:type="dxa" w:w="2016"/>
            <w:shd w:val="clear" w:fill="D5E8F0"/>
          </w:tcPr>
          <w:p>
            <w:r/>
            <w:r>
              <w:rPr>
                <w:b/>
                <w:sz w:val="19"/>
              </w:rPr>
              <w:t>Articles</w:t>
            </w:r>
          </w:p>
        </w:tc>
        <w:tc>
          <w:tcPr>
            <w:tcW w:type="dxa" w:w="1440"/>
            <w:shd w:val="clear" w:fill="D5E8F0"/>
          </w:tcPr>
          <w:p>
            <w:r/>
            <w:r>
              <w:rPr>
                <w:b/>
                <w:sz w:val="19"/>
              </w:rPr>
              <w:t>Share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Relevant (channel + hits &gt;= 3)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139,546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33.5%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 xml:space="preserve">   — Energy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49,234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 xml:space="preserve">   — Monetary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40,118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 xml:space="preserve">   — External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28,031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 xml:space="preserve">   — Fiscal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18,717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 xml:space="preserve">   — Mixed (multi-channel)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3,446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In-channel, weak evidence (hits 1–2)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111,269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26.7%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Unclassified (no macro keywords)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165,991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39.8%</w:t>
            </w:r>
          </w:p>
        </w:tc>
      </w:tr>
    </w:tbl>
    <w:p/>
    <w:p>
      <w:r>
        <w:rPr>
          <w:b w:val="0"/>
          <w:i w:val="0"/>
        </w:rPr>
        <w:t>Audit artefact: Phase 1 Outputs\keyword_filter_audit.xlsx contains the hit-count distribution and 300-article random samples of the relevant, borderline and excluded buckets for manual validation of the threshold.</w:t>
      </w:r>
    </w:p>
    <w:p>
      <w:pPr>
        <w:pStyle w:val="Heading1"/>
      </w:pPr>
      <w:r>
        <w:t>4. Phase 2 — PSX-Directional Sentiment Scoring</w:t>
      </w:r>
    </w:p>
    <w:p>
      <w:pPr>
        <w:pStyle w:val="Heading2"/>
      </w:pPr>
      <w:r>
        <w:t>4.1 Why tone alone is not enough</w:t>
      </w:r>
    </w:p>
    <w:p>
      <w:r>
        <w:rPr>
          <w:b w:val="0"/>
          <w:i w:val="0"/>
        </w:rPr>
        <w:t>FinBERT (ProsusAI/finbert; Araci 2019) classifies financial text as positive / negative / neutral in tone. Tone, however, is not direction for equity investors: “SBP hikes policy rate by 150bps to combat inflation” reads as decisive, positive-tone prose, yet is unambiguously negative for KSE-100 equities. Treating tone as direction is a measurement error that attenuates any estimated sentiment-return relationship. Phase 2 therefore combines FinBERT with a channel-specific directional layer.</w:t>
      </w:r>
    </w:p>
    <w:p>
      <w:pPr>
        <w:pStyle w:val="Heading2"/>
      </w:pPr>
      <w:r>
        <w:t>4.2 Step A — FinBERT tone scoring</w:t>
      </w:r>
    </w:p>
    <w:p>
      <w:pPr>
        <w:pStyle w:val="ListBullet"/>
      </w:pPr>
      <w:r>
        <w:t>Input per article: headline + “. ” + first 2,000 characters of body text (the lead paragraph carries the news signal), truncated at 256 tokens.</w:t>
      </w:r>
    </w:p>
    <w:p>
      <w:pPr>
        <w:pStyle w:val="ListBullet"/>
      </w:pPr>
      <w:r>
        <w:t>Model output converted to a signed score: s = +confidence if positive, −confidence if negative, 0 if neutral, so s ∈ [−1, +1].</w:t>
      </w:r>
    </w:p>
    <w:p>
      <w:pPr>
        <w:pStyle w:val="ListBullet"/>
      </w:pPr>
      <w:r>
        <w:t>Compute: batched inference (batch 32, fp16) on GPU; results checkpointed to disk every 1,000 articles, making the run resumable.</w:t>
      </w:r>
    </w:p>
    <w:p>
      <w:pPr>
        <w:pStyle w:val="Heading2"/>
      </w:pPr>
      <w:r>
        <w:t>4.3 Step B — Directional sign rules</w:t>
      </w:r>
    </w:p>
    <w:p>
      <w:r>
        <w:rPr>
          <w:b w:val="0"/>
          <w:i w:val="0"/>
        </w:rPr>
        <w:t>psx_sign_rules.py defines 35 directional event rules grouped by channel. Each rule is a set of regular-expression patterns plus a sign for KSE-100 equities: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fill="D5E8F0"/>
          </w:tcPr>
          <w:p>
            <w:r/>
            <w:r>
              <w:rPr>
                <w:b/>
                <w:sz w:val="19"/>
              </w:rPr>
              <w:t>Channel</w:t>
            </w:r>
          </w:p>
        </w:tc>
        <w:tc>
          <w:tcPr>
            <w:tcW w:type="dxa" w:w="4608"/>
            <w:shd w:val="clear" w:fill="D5E8F0"/>
          </w:tcPr>
          <w:p>
            <w:r/>
            <w:r>
              <w:rPr>
                <w:b/>
                <w:sz w:val="19"/>
              </w:rPr>
              <w:t>Negative-sign rules (examples)</w:t>
            </w:r>
          </w:p>
        </w:tc>
        <w:tc>
          <w:tcPr>
            <w:tcW w:type="dxa" w:w="4608"/>
            <w:shd w:val="clear" w:fill="D5E8F0"/>
          </w:tcPr>
          <w:p>
            <w:r/>
            <w:r>
              <w:rPr>
                <w:b/>
                <w:sz w:val="19"/>
              </w:rPr>
              <w:t>Positive-sign rules (examples)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Monetary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rate_hike, inflation_up, rupee_down, reserves_down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rate_cut, inflation_down, rupee_up, reserves_up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Fiscal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revenue_miss, deficit_widens, new_taxes, rating_downgrade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revenue_beat, deficit_narrows, rating_upgrade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External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imf_negative (talks stall/fail), cad_widens, remittances_down, fdi_down, default_risk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imf_positive (approval/tranche/SLA), cad_narrows, remittances_up, fdi_up, bond_success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Energy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tariff_hike, fuel_price_up, circular_debt_up, outages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tariff_cut, fuel_price_down, circular_debt_down, supply_restored</w:t>
            </w:r>
          </w:p>
        </w:tc>
      </w:tr>
    </w:tbl>
    <w:p/>
    <w:p>
      <w:pPr>
        <w:pStyle w:val="ListBullet"/>
      </w:pPr>
      <w:r>
        <w:t>Matching window mirrors the FinBERT input: headline plus first 2,000 body characters; headline matches are weighted 3x, consistent with Phase 1.</w:t>
      </w:r>
    </w:p>
    <w:p>
      <w:pPr>
        <w:pStyle w:val="ListBullet"/>
      </w:pPr>
      <w:r>
        <w:t>An article's net rule signal is the sign-weighted sum over all matching rules of its channel; Mixed/Unclassified articles are checked against all rules.</w:t>
      </w:r>
    </w:p>
    <w:p>
      <w:pPr>
        <w:pStyle w:val="ListBullet"/>
      </w:pPr>
      <w:r>
        <w:t>Deliberate omission: global crude-oil price moves carry no rule, because their sign is ambiguous for the aggregate market (positive for E&amp;P earnings, negative for the import bill and downstream sectors); such articles fall back to FinBERT, and the VAR is left to disentangle the sectoral asymmetry.</w:t>
      </w:r>
    </w:p>
    <w:p>
      <w:pPr>
        <w:pStyle w:val="Heading2"/>
      </w:pPr>
      <w:r>
        <w:t>4.4 Step C — Combining rule direction with FinBERT magnitude</w:t>
      </w:r>
    </w:p>
    <w:p>
      <w:pPr>
        <w:ind w:left="576"/>
      </w:pPr>
      <w:r>
        <w:rPr>
          <w:rFonts w:ascii="Consolas" w:hAnsi="Consolas"/>
          <w:sz w:val="20"/>
        </w:rPr>
        <w:t>if a rule fires:   psx_score = rule_sign x |finbert_score|      (|.| = 0.5 if FinBERT neutral)</w:t>
      </w:r>
    </w:p>
    <w:p>
      <w:pPr>
        <w:ind w:left="576"/>
      </w:pPr>
      <w:r>
        <w:rPr>
          <w:rFonts w:ascii="Consolas" w:hAnsi="Consolas"/>
          <w:sz w:val="20"/>
        </w:rPr>
        <w:t>otherwise:         psx_score = finbert_score</w:t>
      </w:r>
    </w:p>
    <w:p>
      <w:r>
        <w:rPr>
          <w:b w:val="0"/>
          <w:i w:val="0"/>
        </w:rPr>
        <w:t>The rule supplies the direction; FinBERT's confidence supplies the magnitude. Outcome on the full corpus: 26,214 articles (18.8%) were rule-directed, and in 10,612 of them the rule reversed FinBERT's sign. The clearest illustration: on rate_cut articles, FinBERT tone agreed with the correct equity direction only 34.9% of the time — vanilla FinBERT reads rate-cut coverage (falling inflation, slowing economy) as negative. Audit artefact: Phase 2 Outputs\sign_rules_audit.xlsx (per-rule frequencies, FinBERT-agreement rates, and two 300-article validation samples).</w:t>
      </w:r>
    </w:p>
    <w:p>
      <w:pPr>
        <w:pStyle w:val="Heading2"/>
      </w:pPr>
      <w:r>
        <w:t>4.5 Step D — Daily aggregation</w:t>
      </w:r>
    </w:p>
    <w:p>
      <w:r>
        <w:rPr>
          <w:b w:val="0"/>
          <w:i w:val="0"/>
        </w:rPr>
        <w:t>Article scores are aggregated to four daily series S_Monetary, S_Fiscal, S_External, S_Energy as word-count-weighted means within each date-channel cell (longer articles weigh more); days without articles in a channel carry forward the last observed value. Mixed/Unclassified articles do not enter the four series. The result covers 2,164 days (22 Jun 2020 – 26 May 2026). A parallel series built from raw FinBERT scores (daily_sentiment_finbert_raw.xlsx) is retained as a robustness benchmark.</w:t>
      </w:r>
    </w:p>
    <w:p>
      <w:pPr>
        <w:pStyle w:val="Heading1"/>
      </w:pPr>
      <w:r>
        <w:t>5. Phase 3 — Sector Returns and Panel Assembly</w:t>
      </w:r>
    </w:p>
    <w:p>
      <w:pPr>
        <w:pStyle w:val="Heading2"/>
      </w:pPr>
      <w:r>
        <w:t>5.1 Price data</w:t>
      </w:r>
    </w:p>
    <w:p>
      <w:r>
        <w:rPr>
          <w:b w:val="0"/>
          <w:i w:val="0"/>
        </w:rPr>
        <w:t>Ticker-level PSX daily data (compiled_psx_historical_2017_2026.csv): 922,837 ticker-day rows, 1,191 symbols, 2 Jan 2017 – 30 Jun 2026, with DATE, SYMBOL, LDCP, OPEN, HIGH, LOW, CLOSE, CHANGE, VOLUME. The file contains no usable index series (KSE100/ALLSHR symbols appear for only two days in 2017), so sector returns are constructed from constituents.</w:t>
      </w:r>
    </w:p>
    <w:p>
      <w:pPr>
        <w:pStyle w:val="Heading2"/>
      </w:pPr>
      <w:r>
        <w:t>5.2 Sector portfolios</w:t>
      </w:r>
    </w:p>
    <w:p>
      <w:r>
        <w:rPr>
          <w:b w:val="0"/>
          <w:i w:val="0"/>
        </w:rPr>
        <w:t>Each sector return is the equal-weighted mean of the daily returns of its major KSE-100 constituents — the standard construction when market-capitalisation weights are unavailable. A stock contributes only on days it actually traded, so listings (AIRLINK, 2021) and delistings (FFBL's 2024 merger into FFC) enter and exit naturally. A sector-day requires at least 2 trading constituents.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fill="D5E8F0"/>
          </w:tcPr>
          <w:p>
            <w:r/>
            <w:r>
              <w:rPr>
                <w:b/>
                <w:sz w:val="19"/>
              </w:rPr>
              <w:t>Sector</w:t>
            </w:r>
          </w:p>
        </w:tc>
        <w:tc>
          <w:tcPr>
            <w:tcW w:type="dxa" w:w="1440"/>
            <w:shd w:val="clear" w:fill="D5E8F0"/>
          </w:tcPr>
          <w:p>
            <w:r/>
            <w:r>
              <w:rPr>
                <w:b/>
                <w:sz w:val="19"/>
              </w:rPr>
              <w:t>Constituents (n)</w:t>
            </w:r>
          </w:p>
        </w:tc>
        <w:tc>
          <w:tcPr>
            <w:tcW w:type="dxa" w:w="6768"/>
            <w:shd w:val="clear" w:fill="D5E8F0"/>
          </w:tcPr>
          <w:p>
            <w:r/>
            <w:r>
              <w:rPr>
                <w:b/>
                <w:sz w:val="19"/>
              </w:rPr>
              <w:t>Tickers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Commercial Banks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HBL, UBL, MCB, NBP, ABL, BAHL, BAFL, MEBL, AKBL, FABL, BOP, HMB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Exploration &amp; Production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OGDC, PPL, POL, MARI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Fertilizers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FFC, EFERT, FATIMA, FFBL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Cement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LUCK, DGKC, MLCF, FCCL, KOHC, CHCC, ACPL, PIOC, BWCL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Technology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SYS, TRG, NETSOL, AVN, AIRLINK</w:t>
            </w:r>
          </w:p>
        </w:tc>
      </w:tr>
    </w:tbl>
    <w:p/>
    <w:p>
      <w:pPr>
        <w:pStyle w:val="Heading2"/>
      </w:pPr>
      <w:r>
        <w:t>5.3 Return definition and cleaning</w:t>
      </w:r>
    </w:p>
    <w:p>
      <w:pPr>
        <w:ind w:left="576"/>
      </w:pPr>
      <w:r>
        <w:rPr>
          <w:rFonts w:ascii="Consolas" w:hAnsi="Consolas"/>
          <w:sz w:val="20"/>
        </w:rPr>
        <w:t>r(i,t) = CLOSE(i,t) / LDCP(i,t) - 1</w:t>
      </w:r>
    </w:p>
    <w:p>
      <w:r>
        <w:rPr>
          <w:b w:val="0"/>
          <w:i w:val="0"/>
        </w:rPr>
        <w:t>LDCP is the exchange's own last-day closing price, already adjusted for corporate actions, which avoids the artificial jumps that self-chained closes produce around dividends and rights issues. Rows with CLOSE or LDCP equal to zero are dropped; returns with |r| &gt; 25% are treated as data errors (PSX circuit breakers cap genuine single-day moves far below this) — zero such rows occurred among the 78,188 constituent ticker-days.</w:t>
      </w:r>
    </w:p>
    <w:p>
      <w:pPr>
        <w:pStyle w:val="Heading2"/>
      </w:pPr>
      <w:r>
        <w:t>5.4 Panel assembly</w:t>
      </w:r>
    </w:p>
    <w:p>
      <w:r>
        <w:rPr>
          <w:b w:val="0"/>
          <w:i w:val="0"/>
        </w:rPr>
        <w:t>Sector returns are inner-joined with the four sentiment series on trading dates; residual sentiment gaps are forward-filled and rows with any missing series are dropped. Final panel: 1,470 trading days (22 Jun 2020 – 22 May 2026) x 9 variables (five r_ sector returns, four S_ sentiment series), saved as panel_data.xlsx. Diagnostics (constituent coverage, per-sector return moments) are in Phase 3 Inputs\sector_returns.xlsx.</w:t>
      </w:r>
    </w:p>
    <w:p>
      <w:pPr>
        <w:pStyle w:val="Heading1"/>
      </w:pPr>
      <w:r>
        <w:t>6. Phase 4 — Econometric Estimation</w:t>
      </w:r>
    </w:p>
    <w:p>
      <w:pPr>
        <w:pStyle w:val="Heading2"/>
      </w:pPr>
      <w:r>
        <w:t>6.1 Granger causality</w:t>
      </w:r>
    </w:p>
    <w:p>
      <w:r>
        <w:rPr>
          <w:b w:val="0"/>
          <w:i w:val="0"/>
        </w:rPr>
        <w:t>Bivariate Granger tests (statsmodels grangercausalitytests, SSR F-test) for each of the 20 sentiment-channel x sector pairs at lags 1–5; H0: the sentiment series does not Granger-cause the sector return; rejection at p &lt; 0.05.</w:t>
      </w:r>
    </w:p>
    <w:p>
      <w:pPr>
        <w:pStyle w:val="Heading2"/>
      </w:pPr>
      <w:r>
        <w:t>6.2 VAR</w:t>
      </w:r>
    </w:p>
    <w:p>
      <w:r>
        <w:rPr>
          <w:b w:val="0"/>
          <w:i w:val="0"/>
        </w:rPr>
        <w:t>A reduced-form VAR on the joint 9-variable system, lag order selected by AIC (selected order: 3). Returns and sentiment series are stationary by construction (returns; bounded [-1,1] scores).</w:t>
      </w:r>
    </w:p>
    <w:p>
      <w:pPr>
        <w:pStyle w:val="Heading2"/>
      </w:pPr>
      <w:r>
        <w:t>6.3 Impulse response functions</w:t>
      </w:r>
    </w:p>
    <w:p>
      <w:r>
        <w:rPr>
          <w:b w:val="0"/>
          <w:i w:val="0"/>
        </w:rPr>
        <w:t>IRFs trace each sector's return response to sentiment innovations over 22 trading days (~1 month). 95% confidence bands are computed by Monte Carlo simulation (500 replications). Note: the original code assumed .lower/.upper attributes on statsmodels' IRAnalysis object, which do not exist; this was corrected to explicit errband_mc(orth=False, repl=500, signif=0.05).</w:t>
      </w:r>
    </w:p>
    <w:p>
      <w:pPr>
        <w:pStyle w:val="Heading2"/>
      </w:pPr>
      <w:r>
        <w:t>6.4 FEVD and sensitivity matrix</w:t>
      </w:r>
    </w:p>
    <w:p>
      <w:r>
        <w:rPr>
          <w:b w:val="0"/>
          <w:i w:val="0"/>
        </w:rPr>
        <w:t>Forecast-error variance decomposition at horizons of 1, 5 and 22 trading days quantifies each channel's share of each sector's return variance. Phase 4's final step (sectoral_sensitivity_matrix.py) fuses the Granger and FEVD results into the 20-cell sector x channel sensitivity matrix and heatmap — the paper's core empirical table.</w:t>
      </w:r>
    </w:p>
    <w:p>
      <w:pPr>
        <w:pStyle w:val="Heading1"/>
      </w:pPr>
      <w:r>
        <w:t>7. Headline Results and Interpretation</w:t>
      </w:r>
    </w:p>
    <w:p>
      <w:pPr>
        <w:pStyle w:val="Heading2"/>
      </w:pPr>
      <w:r>
        <w:t>7.1 What was found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fill="D5E8F0"/>
          </w:tcPr>
          <w:p>
            <w:r/>
            <w:r>
              <w:rPr>
                <w:b/>
                <w:sz w:val="19"/>
              </w:rPr>
              <w:t>Finding</w:t>
            </w:r>
          </w:p>
        </w:tc>
        <w:tc>
          <w:tcPr>
            <w:tcW w:type="dxa" w:w="6912"/>
            <w:shd w:val="clear" w:fill="D5E8F0"/>
          </w:tcPr>
          <w:p>
            <w:r/>
            <w:r>
              <w:rPr>
                <w:b/>
                <w:sz w:val="19"/>
              </w:rPr>
              <w:t>Evidence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Only the Monetary channel systematically leads sectoral returns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Granger: S_Monetary -&gt; Banks, E&amp;P, Fertilizers significant at lags 2–5; -&gt; Technology at lag 4 (p&lt;0.05). No Fiscal, External or Energy pair is significant.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Banks are the most monetary-sensitive sector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FEVD at 22 days: Monetary sentiment explains 1.35% of bank return variance — the largest share in the matrix — followed by Fertilizers (1.07%).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Absorption is delayed, not instantaneous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IRF responses peak at day 3 (not day 1) for four of five sectors, with significance concentrated at lags 2–5 — consistent with slow information absorption rather than same-day efficiency.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Economic magnitude is modest but material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Cumulative 22-day response to a one-unit monetary sentiment innovation: +109 to +227 bps across sectors (~+38 to +79 bps for a one-standard-deviation shock, sd = 0.35).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The directional correction is what reveals this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FinBERT tone agreed with the correct equity direction on only ~35% of rate-cut articles; 10,612 article signs were corrected. The monetary results rest on the corrected series.</w:t>
            </w:r>
          </w:p>
        </w:tc>
      </w:tr>
    </w:tbl>
    <w:p/>
    <w:p>
      <w:pPr>
        <w:pStyle w:val="Heading2"/>
      </w:pPr>
      <w:r>
        <w:t>7.2 Interpretation</w:t>
      </w:r>
    </w:p>
    <w:p>
      <w:r>
        <w:rPr>
          <w:b w:val="0"/>
          <w:i w:val="0"/>
        </w:rPr>
        <w:t>The pattern supports the paper's central argument: aggregating news sentiment into one composite series would bury the one channel that matters. Monetary-policy news — rate decisions, inflation prints, rupee and reserve movements — is the dominant sentiment channel for KSE-100 sector returns over 2020–2026, a period spanning a full hiking cycle (2022) and a full cutting cycle (2024–25). Its effect appears with a 2–5-day lag, suggesting gradual incorporation of policy news rather than immediate repricing, and it is strongest precisely where theory predicts: banks (net-interest margins reprice with the policy rate) and leveraged/rate-sensitive manufacturers (fertilizer, cement). The small FEVD shares are typical of daily return data — news sentiment competes with all other return drivers — so the asymmetry across channels and sectors, not the absolute share, is the economically meaningful result. Face-validity checks corroborate the series: S_Monetary averages −0.40 during the 2022 hiking cycle and +0.23 during the 2024–25 cutting cycle.</w:t>
      </w:r>
    </w:p>
    <w:p>
      <w:pPr>
        <w:pStyle w:val="Heading1"/>
      </w:pPr>
      <w:r>
        <w:t>8. Reproducibility: Scripts and Artefacts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fill="D5E8F0"/>
          </w:tcPr>
          <w:p>
            <w:r/>
            <w:r>
              <w:rPr>
                <w:b/>
                <w:sz w:val="19"/>
              </w:rPr>
              <w:t>Run order</w:t>
            </w:r>
          </w:p>
        </w:tc>
        <w:tc>
          <w:tcPr>
            <w:tcW w:type="dxa" w:w="4176"/>
            <w:shd w:val="clear" w:fill="D5E8F0"/>
          </w:tcPr>
          <w:p>
            <w:r/>
            <w:r>
              <w:rPr>
                <w:b/>
                <w:sz w:val="19"/>
              </w:rPr>
              <w:t>Script / file</w:t>
            </w:r>
          </w:p>
        </w:tc>
        <w:tc>
          <w:tcPr>
            <w:tcW w:type="dxa" w:w="5184"/>
            <w:shd w:val="clear" w:fill="D5E8F0"/>
          </w:tcPr>
          <w:p>
            <w:r/>
            <w:r>
              <w:rPr>
                <w:b/>
                <w:sz w:val="19"/>
              </w:rPr>
              <w:t>Produces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keyword_relevance_filter.py  [--min-hits 3]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Phase 1 Outputs\relevant_articles_keyword.csv, keyword_filter_audit.xlsx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run_phase2.py  [--sample N | --status]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Phase 2 Outputs\scored_articles_psx.csv, sign_rules_audit.xlsx, daily_sentiment.xlsx, daily_sentiment_finbert_raw.xlsx, sentiment_series.png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build_panel_data.py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Phase 3 Inputs\sector_returns.xlsx, panel_data.xlsx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panel_var_estimator.py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granger_causality.xlsx, irf_plots.png, fevd_results.xlsx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sectoral_sensitivity_matrix.py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sectoral_sensitivity_matrix.xlsx, sectoral_sensitivity_heatmap.png</w:t>
            </w:r>
          </w:p>
        </w:tc>
      </w:tr>
    </w:tbl>
    <w:p/>
    <w:p>
      <w:r>
        <w:rPr>
          <w:b w:val="0"/>
          <w:i w:val="0"/>
        </w:rPr>
        <w:t>run_phase2.py resumes from checkpoints after interruption; FinBERT inference used fp16 on GPU (CUDA build of PyTorch) with identical settings across the whole corpus.</w:t>
      </w:r>
    </w:p>
    <w:p>
      <w:pPr>
        <w:pStyle w:val="Heading1"/>
      </w:pPr>
      <w:r>
        <w:t>9. Validation and Robustness Checklist</w:t>
      </w:r>
    </w:p>
    <w:p>
      <w:pPr>
        <w:pStyle w:val="ListNumber"/>
      </w:pPr>
      <w:r>
        <w:t>Review keyword_filter_audit.xlsx: does min-hits = 3 exclude/include the right borderline articles? Re-run Phase 1–2 with --min-hits 2 or 4 as a threshold-sensitivity check.</w:t>
      </w:r>
    </w:p>
    <w:p>
      <w:pPr>
        <w:pStyle w:val="ListNumber"/>
      </w:pPr>
      <w:r>
        <w:t>Review sign_rules_audit.xlsx: verify the 300 sampled rule-directed articles (especially the sign-flipped sample); refine any rule with low face validity and re-run Phase 2 (FinBERT scores are cached, so only rules re-apply — minutes, not hours).</w:t>
      </w:r>
    </w:p>
    <w:p>
      <w:pPr>
        <w:pStyle w:val="ListNumber"/>
      </w:pPr>
      <w:r>
        <w:t>Re-estimate Phase 4 on daily_sentiment_finbert_raw.xlsx (raw FinBERT, no direction correction). Weaker monetary results would directly evidence the value of the directional layer.</w:t>
      </w:r>
    </w:p>
    <w:p>
      <w:pPr>
        <w:pStyle w:val="ListNumber"/>
      </w:pPr>
      <w:r>
        <w:t>Equal weighting: as a robustness check, re-run Phase 3 restricted to the 3–4 largest constituents per sector (closer to value weights given KSE-100 concentration).</w:t>
      </w:r>
    </w:p>
    <w:p>
      <w:pPr>
        <w:pStyle w:val="ListNumber"/>
      </w:pPr>
      <w:r>
        <w:t>Report the classifier validation (precision/recall of the channel router on the 300-headline labelled sample) as designed in topic_router.validate_classifier.</w:t>
      </w:r>
    </w:p>
    <w:p>
      <w:pPr>
        <w:pStyle w:val="ListNumber"/>
      </w:pPr>
      <w:r>
        <w:t>Consider volatility transmission (e.g., GARCH or realised-volatility VAR) as an extension; the current system covers returns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