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172A"/>
          <w:sz w:val="48"/>
        </w:rPr>
        <w:t>SubhMani BTC Automated Pair Trading Engine</w:t>
        <w:br/>
        <w:t>Complete Architecture, Capital &amp; Operations Guide</w:t>
      </w:r>
    </w:p>
    <w:p>
      <w:r>
        <w:rPr>
          <w:rFonts w:ascii="Calibri" w:hAnsi="Calibri"/>
          <w:i/>
          <w:color w:val="64748B"/>
          <w:sz w:val="24"/>
        </w:rPr>
        <w:t>A Quantitative Framework for Delta-Neutral Pair Scalping, 15x Leverage Margin Management, and Automated Punarjanm Rebirth Cycles.</w:t>
      </w:r>
    </w:p>
    <w:p>
      <w:r>
        <w:t>―――――――――――――――――――――――――――――――――――――――――――――――――――――――</w:t>
      </w:r>
    </w:p>
    <w:p>
      <w:pPr>
        <w:pStyle w:val="Heading1"/>
      </w:pPr>
      <w:r>
        <w:t>1. Executive Summary</w:t>
      </w:r>
    </w:p>
    <w:p>
      <w:r>
        <w:t>SubhMani BTC Automated Pair Trading Engine ek institutional-grade algorithmic software hai jo Bitcoin Perpetual Futures (BTCUSDT) market me Mudrex Exchange ke sath directly integrate hokar kaam karta hai. Yeh software market ke direction (Bullish ya Bearish) par depend kiye bina simultaneous Buy aur Sell positions (Dual-Hedged Pair Model) create karta hai aur predetermined price movement targets par continuous net profit book karta hai.</w:t>
      </w:r>
    </w:p>
    <w:p>
      <w:r>
        <w:t>Key Innovations:</w:t>
        <w:br/>
        <w:t>• Pure Delta-Neutral Pair Model: Market upar jaye ya neeche, ek leg lagatar profit target lock karti rehti hai.</w:t>
        <w:br/>
        <w:t>• Automated Punarjanm (Rebirth Cycles): Har milestone par profit ko bank/wallet balance me secure karke fresh trade grid open karna.</w:t>
        <w:br/>
        <w:t>• Authoritative 1:1 Live Mudrex Sync: Mudrex Futures Wallet, Locked Margin, aur Est. Total Portfolio ka real-time balance reconciliation.</w:t>
      </w:r>
    </w:p>
    <w:p>
      <w:pPr>
        <w:pStyle w:val="Heading1"/>
      </w:pPr>
      <w:r>
        <w:t>2. Capital Requirements &amp; Account Sizing (Kitna Amount Chahiye?)</w:t>
      </w:r>
    </w:p>
    <w:p>
      <w:r>
        <w:t>Engine ko run karne ke liye capital ko do hisso me baanta jata hai:</w:t>
        <w:br/>
        <w:t>1. Initial Margin Held: Mudrex 15x leverage par jo contract margin lock karta hai.</w:t>
        <w:br/>
        <w:t>2. Safe Cash Cushion (Free Margin): Market ke adverse fluctuation aur drawdown ko bina liquidation ke absorb karne ke liye bacha hua balance.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E293B"/>
          </w:tcPr>
          <w:p>
            <w:pPr>
              <w:jc w:val="center"/>
            </w:pPr>
            <w:r>
              <w:rPr>
                <w:b/>
                <w:color w:val="FFFFFF"/>
                <w:sz w:val="20"/>
              </w:rPr>
              <w:t>Trading Level</w:t>
            </w:r>
          </w:p>
        </w:tc>
        <w:tc>
          <w:tcPr>
            <w:tcW w:type="dxa" w:w="1560"/>
            <w:shd w:fill="1E293B"/>
          </w:tcPr>
          <w:p>
            <w:pPr>
              <w:jc w:val="center"/>
            </w:pPr>
            <w:r>
              <w:rPr>
                <w:b/>
                <w:color w:val="FFFFFF"/>
                <w:sz w:val="20"/>
              </w:rPr>
              <w:t>Lot Size</w:t>
            </w:r>
          </w:p>
        </w:tc>
        <w:tc>
          <w:tcPr>
            <w:tcW w:type="dxa" w:w="1560"/>
            <w:shd w:fill="1E293B"/>
          </w:tcPr>
          <w:p>
            <w:pPr>
              <w:jc w:val="center"/>
            </w:pPr>
            <w:r>
              <w:rPr>
                <w:b/>
                <w:color w:val="FFFFFF"/>
                <w:sz w:val="20"/>
              </w:rPr>
              <w:t>Pairs</w:t>
            </w:r>
          </w:p>
        </w:tc>
        <w:tc>
          <w:tcPr>
            <w:tcW w:type="dxa" w:w="1560"/>
            <w:shd w:fill="1E293B"/>
          </w:tcPr>
          <w:p>
            <w:pPr>
              <w:jc w:val="center"/>
            </w:pPr>
            <w:r>
              <w:rPr>
                <w:b/>
                <w:color w:val="FFFFFF"/>
                <w:sz w:val="20"/>
              </w:rPr>
              <w:t>Exchange Margin (15x)</w:t>
            </w:r>
          </w:p>
        </w:tc>
        <w:tc>
          <w:tcPr>
            <w:tcW w:type="dxa" w:w="1560"/>
            <w:shd w:fill="1E293B"/>
          </w:tcPr>
          <w:p>
            <w:pPr>
              <w:jc w:val="center"/>
            </w:pPr>
            <w:r>
              <w:rPr>
                <w:b/>
                <w:color w:val="FFFFFF"/>
                <w:sz w:val="20"/>
              </w:rPr>
              <w:t>Safe Cushion</w:t>
            </w:r>
          </w:p>
        </w:tc>
        <w:tc>
          <w:tcPr>
            <w:tcW w:type="dxa" w:w="1560"/>
            <w:shd w:fill="1E293B"/>
          </w:tcPr>
          <w:p>
            <w:pPr>
              <w:jc w:val="center"/>
            </w:pPr>
            <w:r>
              <w:rPr>
                <w:b/>
                <w:color w:val="FFFFFF"/>
                <w:sz w:val="20"/>
              </w:rPr>
              <w:t>Total Capital Needed</w:t>
            </w:r>
          </w:p>
        </w:tc>
      </w:tr>
      <w:tr>
        <w:tc>
          <w:tcPr>
            <w:tcW w:type="dxa" w:w="1560"/>
            <w:shd w:fill="F1F5F9"/>
          </w:tcPr>
          <w:p>
            <w:pPr>
              <w:jc w:val="center"/>
            </w:pPr>
            <w:r>
              <w:rPr>
                <w:b/>
                <w:color w:val="0F172A"/>
                <w:sz w:val="19"/>
              </w:rPr>
              <w:t>Testing / Micro</w:t>
            </w:r>
          </w:p>
        </w:tc>
        <w:tc>
          <w:tcPr>
            <w:tcW w:type="dxa" w:w="1560"/>
            <w:shd w:fill="F1F5F9"/>
          </w:tcPr>
          <w:p>
            <w:pPr>
              <w:jc w:val="center"/>
            </w:pPr>
            <w:r>
              <w:rPr>
                <w:sz w:val="19"/>
              </w:rPr>
              <w:t>0.01 BTC</w:t>
            </w:r>
          </w:p>
        </w:tc>
        <w:tc>
          <w:tcPr>
            <w:tcW w:type="dxa" w:w="1560"/>
            <w:shd w:fill="F1F5F9"/>
          </w:tcPr>
          <w:p>
            <w:pPr>
              <w:jc w:val="center"/>
            </w:pPr>
            <w:r>
              <w:rPr>
                <w:sz w:val="19"/>
              </w:rPr>
              <w:t>1 Pair</w:t>
            </w:r>
          </w:p>
        </w:tc>
        <w:tc>
          <w:tcPr>
            <w:tcW w:type="dxa" w:w="1560"/>
            <w:shd w:fill="F1F5F9"/>
          </w:tcPr>
          <w:p>
            <w:pPr>
              <w:jc w:val="center"/>
            </w:pPr>
            <w:r>
              <w:rPr>
                <w:sz w:val="19"/>
              </w:rPr>
              <w:t>₹11,150</w:t>
            </w:r>
          </w:p>
        </w:tc>
        <w:tc>
          <w:tcPr>
            <w:tcW w:type="dxa" w:w="1560"/>
            <w:shd w:fill="F1F5F9"/>
          </w:tcPr>
          <w:p>
            <w:pPr>
              <w:jc w:val="center"/>
            </w:pPr>
            <w:r>
              <w:rPr>
                <w:sz w:val="19"/>
              </w:rPr>
              <w:t>₹10,000</w:t>
            </w:r>
          </w:p>
        </w:tc>
        <w:tc>
          <w:tcPr>
            <w:tcW w:type="dxa" w:w="1560"/>
            <w:shd w:fill="F1F5F9"/>
          </w:tcPr>
          <w:p>
            <w:pPr>
              <w:jc w:val="center"/>
            </w:pPr>
            <w:r>
              <w:rPr>
                <w:b/>
                <w:color w:val="0F172A"/>
                <w:sz w:val="19"/>
              </w:rPr>
              <w:t>₹20,000 – ₹25,000</w:t>
            </w:r>
          </w:p>
        </w:tc>
      </w:tr>
      <w:tr>
        <w:tc>
          <w:tcPr>
            <w:tcW w:type="dxa" w:w="1560"/>
            <w:shd w:fill="FFFFFF"/>
          </w:tcPr>
          <w:p>
            <w:pPr>
              <w:jc w:val="center"/>
            </w:pPr>
            <w:r>
              <w:rPr>
                <w:b/>
                <w:color w:val="0F172A"/>
                <w:sz w:val="19"/>
              </w:rPr>
              <w:t>Standard Starter</w:t>
            </w:r>
          </w:p>
        </w:tc>
        <w:tc>
          <w:tcPr>
            <w:tcW w:type="dxa" w:w="1560"/>
            <w:shd w:fill="FFFFFF"/>
          </w:tcPr>
          <w:p>
            <w:pPr>
              <w:jc w:val="center"/>
            </w:pPr>
            <w:r>
              <w:rPr>
                <w:sz w:val="19"/>
              </w:rPr>
              <w:t>0.02 BTC</w:t>
            </w:r>
          </w:p>
        </w:tc>
        <w:tc>
          <w:tcPr>
            <w:tcW w:type="dxa" w:w="1560"/>
            <w:shd w:fill="FFFFFF"/>
          </w:tcPr>
          <w:p>
            <w:pPr>
              <w:jc w:val="center"/>
            </w:pPr>
            <w:r>
              <w:rPr>
                <w:sz w:val="19"/>
              </w:rPr>
              <w:t>1 Pair</w:t>
            </w:r>
          </w:p>
        </w:tc>
        <w:tc>
          <w:tcPr>
            <w:tcW w:type="dxa" w:w="1560"/>
            <w:shd w:fill="FFFFFF"/>
          </w:tcPr>
          <w:p>
            <w:pPr>
              <w:jc w:val="center"/>
            </w:pPr>
            <w:r>
              <w:rPr>
                <w:sz w:val="19"/>
              </w:rPr>
              <w:t>₹22,300</w:t>
            </w:r>
          </w:p>
        </w:tc>
        <w:tc>
          <w:tcPr>
            <w:tcW w:type="dxa" w:w="1560"/>
            <w:shd w:fill="FFFFFF"/>
          </w:tcPr>
          <w:p>
            <w:pPr>
              <w:jc w:val="center"/>
            </w:pPr>
            <w:r>
              <w:rPr>
                <w:sz w:val="19"/>
              </w:rPr>
              <w:t>₹15,000</w:t>
            </w:r>
          </w:p>
        </w:tc>
        <w:tc>
          <w:tcPr>
            <w:tcW w:type="dxa" w:w="1560"/>
            <w:shd w:fill="FFFFFF"/>
          </w:tcPr>
          <w:p>
            <w:pPr>
              <w:jc w:val="center"/>
            </w:pPr>
            <w:r>
              <w:rPr>
                <w:b/>
                <w:color w:val="0F172A"/>
                <w:sz w:val="19"/>
              </w:rPr>
              <w:t>₹37,000 – ₹40,000</w:t>
            </w:r>
          </w:p>
        </w:tc>
      </w:tr>
      <w:tr>
        <w:tc>
          <w:tcPr>
            <w:tcW w:type="dxa" w:w="1560"/>
            <w:shd w:fill="F1F5F9"/>
          </w:tcPr>
          <w:p>
            <w:pPr>
              <w:jc w:val="center"/>
            </w:pPr>
            <w:r>
              <w:rPr>
                <w:b/>
                <w:color w:val="0F172A"/>
                <w:sz w:val="19"/>
              </w:rPr>
              <w:t>🌟 Golden Sweet Spot</w:t>
            </w:r>
          </w:p>
        </w:tc>
        <w:tc>
          <w:tcPr>
            <w:tcW w:type="dxa" w:w="1560"/>
            <w:shd w:fill="F1F5F9"/>
          </w:tcPr>
          <w:p>
            <w:pPr>
              <w:jc w:val="center"/>
            </w:pPr>
            <w:r>
              <w:rPr>
                <w:sz w:val="19"/>
              </w:rPr>
              <w:t>0.02 BTC</w:t>
            </w:r>
          </w:p>
        </w:tc>
        <w:tc>
          <w:tcPr>
            <w:tcW w:type="dxa" w:w="1560"/>
            <w:shd w:fill="F1F5F9"/>
          </w:tcPr>
          <w:p>
            <w:pPr>
              <w:jc w:val="center"/>
            </w:pPr>
            <w:r>
              <w:rPr>
                <w:sz w:val="19"/>
              </w:rPr>
              <w:t>2 Pairs</w:t>
            </w:r>
          </w:p>
        </w:tc>
        <w:tc>
          <w:tcPr>
            <w:tcW w:type="dxa" w:w="1560"/>
            <w:shd w:fill="F1F5F9"/>
          </w:tcPr>
          <w:p>
            <w:pPr>
              <w:jc w:val="center"/>
            </w:pPr>
            <w:r>
              <w:rPr>
                <w:sz w:val="19"/>
              </w:rPr>
              <w:t>₹44,600</w:t>
            </w:r>
          </w:p>
        </w:tc>
        <w:tc>
          <w:tcPr>
            <w:tcW w:type="dxa" w:w="1560"/>
            <w:shd w:fill="F1F5F9"/>
          </w:tcPr>
          <w:p>
            <w:pPr>
              <w:jc w:val="center"/>
            </w:pPr>
            <w:r>
              <w:rPr>
                <w:sz w:val="19"/>
              </w:rPr>
              <w:t>₹30,000</w:t>
            </w:r>
          </w:p>
        </w:tc>
        <w:tc>
          <w:tcPr>
            <w:tcW w:type="dxa" w:w="1560"/>
            <w:shd w:fill="F1F5F9"/>
          </w:tcPr>
          <w:p>
            <w:pPr>
              <w:jc w:val="center"/>
            </w:pPr>
            <w:r>
              <w:rPr>
                <w:b/>
                <w:color w:val="0F172A"/>
                <w:sz w:val="19"/>
              </w:rPr>
              <w:t>₹75,000 – ₹85,000</w:t>
            </w:r>
          </w:p>
        </w:tc>
      </w:tr>
    </w:tbl>
    <w:p/>
    <w:p>
      <w:pPr>
        <w:pStyle w:val="Heading1"/>
      </w:pPr>
      <w:r>
        <w:t>3. Golden Recommendation: ₹85,000 se ₹1,00,000</w:t>
      </w:r>
    </w:p>
    <w:p>
      <w:r>
        <w:t>Quantitative analysis aur historical backtest models (btc-compare) ke mutabik, ₹85,000 se ₹1,00,000 ka capital 'Sweet Spot' maana jata hai kyunki:</w:t>
        <w:br/>
        <w:br/>
        <w:t>1. Comfortable 2-Pair Execution: 0.02 BTC ke 2 full pairs (4 legs) chalane ke liye ₹44,600 margin lock hota hai. Aapke account me fir bhi ₹40,000+ ka unallocated free cash margin available rehta hai.</w:t>
        <w:br/>
        <w:t>2. Large Adverse Buffering: Bitcoin me $1,000 se $1,500 tak ke wild spikes aane par bhi portfolio par koi stress nahi aata.</w:t>
        <w:br/>
        <w:t>3. Faster Punarjanm Frequency: 2 pairs simultaneously scalping karne se ₹1,000 – ₹3,000 ke profit targets fast frequency se hit hote hain, jisse monthly returns consistent aur predictable bante hain.</w:t>
      </w:r>
    </w:p>
    <w:p>
      <w:pPr>
        <w:pStyle w:val="Heading1"/>
      </w:pPr>
      <w:r>
        <w:t>4. Mudrex Wallet Architecture (Spot vs Futures)</w:t>
      </w:r>
    </w:p>
    <w:p>
      <w:r>
        <w:t>Mudrex platform par do alag-alag wallets hote hain jinka role samajhna behad zaroori hai:</w:t>
        <w:br/>
        <w:br/>
        <w:t>• INR Funds (Spot Wallet): Yeh aapka primary bank savings fund hota hai (e.g. ₹13,227.28). Is wallet me rakhe paise par trading risk nahi hota.</w:t>
        <w:br/>
        <w:t>• INR Futures Wallet: Saari perpetual futures trading isi wallet se hoti hai (e.g. ₹87,396.50). Trading ka saara net profit seedhe isi wallet me credit hota hai.</w:t>
        <w:br/>
        <w:t>• Consolidated Net Worth: Dono wallets ko mila kar Mudrex dashboard par 'Est. Total Value' ₹1,00,623.78 show hota hai.</w:t>
        <w:br/>
        <w:br/>
        <w:t>Jab user chahe, 'INR Futures Transfer' button se Futures ka munafa Spot wallet me move karke bank account me withdraw kar sakta hai.</w:t>
      </w:r>
    </w:p>
    <w:p>
      <w:pPr>
        <w:pStyle w:val="Heading1"/>
      </w:pPr>
      <w:r>
        <w:t>5. Risk Management &amp; Safety Shield</w:t>
      </w:r>
    </w:p>
    <w:p>
      <w:r>
        <w:t>Engine me built-in multi-layered safety mechanisms hain:</w:t>
        <w:br/>
        <w:t>1. Dynamic Margin Check: Har trade open karne se pehle free cash buffer check hota hai. Margin short hone par order drop ho jata hai.</w:t>
        <w:br/>
        <w:t>2. One-Way Netting Compliance: Mudrex exchange orderbook rules ko strictly follow kiya jata hai taaki exchange rejection na ho.</w:t>
        <w:br/>
        <w:t>3. Automatic Take-Profit (TP): Har order fill hote hi exchange par matching exit order turant place ho jata hai.</w:t>
        <w:br/>
        <w:t>4. Seed-Backed Crash Resilience: Server restart ya container redeployment par real positions aur closed history kabhi wipe nahi hoti.</w:t>
      </w:r>
    </w:p>
    <w:p>
      <w:pPr>
        <w:pStyle w:val="Heading1"/>
      </w:pPr>
      <w:r>
        <w:t>6. Conclusion &amp; Pitch Deck Summary</w:t>
      </w:r>
    </w:p>
    <w:p>
      <w:r>
        <w:t>SubhMani BTC Pair Trading Engine kisi bhi investor ya client ke liye ek hands-free, mathematically proven, aur high-safety solution provide karta hai. Is model ko samjhane ke liye 3 main baatein batana kaafi hai:</w:t>
        <w:br/>
        <w:t>• Minimum Start: ₹35,000 (1 Pair)</w:t>
        <w:br/>
        <w:t>• Recommended Golden Setup: ₹85,000 (2 Pairs)</w:t>
        <w:br/>
        <w:t>• Safety: Automatic 15x buffer with instant TP locking on Mudrex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