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6BD44" w14:textId="77777777" w:rsidR="00F75B6B" w:rsidRDefault="00000000">
      <w:pPr>
        <w:spacing w:after="240"/>
      </w:pPr>
      <w:r>
        <w:rPr>
          <w:b/>
          <w:color w:val="C62828"/>
          <w:sz w:val="19"/>
        </w:rPr>
        <w:t>SUBMISSION MANUSCRIPT: COMPUTERS AND ELECTRONICS IN AGRICULTURE (ELSEVIER, Q1, IF: ~7.7)</w:t>
      </w:r>
      <w:r>
        <w:rPr>
          <w:b/>
          <w:color w:val="C62828"/>
          <w:sz w:val="19"/>
        </w:rPr>
        <w:br/>
        <w:t>Article Type: Original Software, Systems Architecture &amp; Empirical Application Article</w:t>
      </w:r>
    </w:p>
    <w:p w14:paraId="7EA7B1F7" w14:textId="77777777" w:rsidR="00F75B6B" w:rsidRPr="00532D7D" w:rsidRDefault="00000000" w:rsidP="00532D7D">
      <w:pPr>
        <w:spacing w:after="160"/>
        <w:jc w:val="center"/>
        <w:rPr>
          <w:rFonts w:ascii="Times New Roman" w:hAnsi="Times New Roman" w:cs="Times New Roman"/>
          <w:sz w:val="24"/>
          <w:szCs w:val="24"/>
        </w:rPr>
      </w:pPr>
      <w:r w:rsidRPr="00532D7D">
        <w:rPr>
          <w:rFonts w:ascii="Times New Roman" w:hAnsi="Times New Roman" w:cs="Times New Roman"/>
          <w:b/>
          <w:color w:val="1B5E20"/>
          <w:sz w:val="24"/>
          <w:szCs w:val="24"/>
        </w:rPr>
        <w:t>AgriIntel: A Hybrid Multi-Agent Autonomous Artificial Intelligence and Biometrical Computing Infrastructure for African Agro-Ecosystems</w:t>
      </w:r>
    </w:p>
    <w:p w14:paraId="02634FE3" w14:textId="77777777" w:rsidR="00F75B6B" w:rsidRPr="00532D7D" w:rsidRDefault="00000000">
      <w:pPr>
        <w:spacing w:after="40"/>
        <w:rPr>
          <w:rFonts w:ascii="Times New Roman" w:hAnsi="Times New Roman" w:cs="Times New Roman"/>
          <w:sz w:val="24"/>
          <w:szCs w:val="24"/>
        </w:rPr>
      </w:pPr>
      <w:r w:rsidRPr="00532D7D">
        <w:rPr>
          <w:rFonts w:ascii="Times New Roman" w:hAnsi="Times New Roman" w:cs="Times New Roman"/>
          <w:b/>
          <w:color w:val="0D47A1"/>
          <w:sz w:val="24"/>
          <w:szCs w:val="24"/>
        </w:rPr>
        <w:t>AgriIntel Research &amp; Engineering Consortium • Pan-African Computational Systems Unit</w:t>
      </w:r>
    </w:p>
    <w:p w14:paraId="36FC7462" w14:textId="77777777" w:rsidR="00F75B6B" w:rsidRPr="00532D7D" w:rsidRDefault="00000000">
      <w:pPr>
        <w:spacing w:after="280"/>
        <w:rPr>
          <w:rFonts w:ascii="Times New Roman" w:hAnsi="Times New Roman" w:cs="Times New Roman"/>
          <w:sz w:val="24"/>
          <w:szCs w:val="24"/>
        </w:rPr>
      </w:pPr>
      <w:r w:rsidRPr="00532D7D">
        <w:rPr>
          <w:rFonts w:ascii="Times New Roman" w:hAnsi="Times New Roman" w:cs="Times New Roman"/>
          <w:i/>
          <w:color w:val="555555"/>
          <w:sz w:val="24"/>
          <w:szCs w:val="24"/>
        </w:rPr>
        <w:t>Affiliated with National Agricultural Research Systems (NARS), Faculties of Agricultural Sciences, and CGIAR Partner Network</w:t>
      </w:r>
      <w:r w:rsidRPr="00532D7D">
        <w:rPr>
          <w:rFonts w:ascii="Times New Roman" w:hAnsi="Times New Roman" w:cs="Times New Roman"/>
          <w:i/>
          <w:color w:val="555555"/>
          <w:sz w:val="24"/>
          <w:szCs w:val="24"/>
        </w:rPr>
        <w:br/>
        <w:t>*Corresponding Systems Architecture: Platform Core Operations (Open-Access Academic Edition)</w:t>
      </w:r>
    </w:p>
    <w:tbl>
      <w:tblPr>
        <w:tblW w:w="0" w:type="auto"/>
        <w:jc w:val="center"/>
        <w:tblLayout w:type="fixed"/>
        <w:tblLook w:val="04A0" w:firstRow="1" w:lastRow="0" w:firstColumn="1" w:lastColumn="0" w:noHBand="0" w:noVBand="1"/>
      </w:tblPr>
      <w:tblGrid>
        <w:gridCol w:w="9360"/>
      </w:tblGrid>
      <w:tr w:rsidR="00F75B6B" w:rsidRPr="00E579E7" w14:paraId="03A99162" w14:textId="77777777">
        <w:trPr>
          <w:jc w:val="center"/>
        </w:trPr>
        <w:tc>
          <w:tcPr>
            <w:tcW w:w="9360" w:type="dxa"/>
            <w:shd w:val="clear" w:color="auto" w:fill="F1F8F2"/>
            <w:tcMar>
              <w:top w:w="160" w:type="dxa"/>
              <w:left w:w="200" w:type="dxa"/>
              <w:bottom w:w="160" w:type="dxa"/>
              <w:right w:w="200" w:type="dxa"/>
            </w:tcMar>
          </w:tcPr>
          <w:p w14:paraId="0E09A0EF"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b/>
                <w:color w:val="1B5E20"/>
                <w:sz w:val="24"/>
                <w:szCs w:val="24"/>
              </w:rPr>
              <w:t>ABSTRACT</w:t>
            </w:r>
          </w:p>
          <w:p w14:paraId="226FA653"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Agricultural production across Sub-Saharan Africa remains critically constrained by biophysical vulnerabilities, fragmented advisory services, and a severe digital computational divide. While general-purpose Large Language Models (LLMs) have emerged as powerful text synthesis engines, their direct application to agricultural science is severely hindered by domain-specific hallucinations, Western agro-climatic biases, mathematically invalid biometrical assertions, and zero guarantees of statistical reproducibility.</w:t>
            </w:r>
            <w:r w:rsidRPr="00E579E7">
              <w:rPr>
                <w:rFonts w:ascii="Times New Roman" w:hAnsi="Times New Roman" w:cs="Times New Roman"/>
                <w:sz w:val="24"/>
                <w:szCs w:val="24"/>
              </w:rPr>
              <w:br/>
            </w:r>
            <w:r w:rsidRPr="00E579E7">
              <w:rPr>
                <w:rFonts w:ascii="Times New Roman" w:hAnsi="Times New Roman" w:cs="Times New Roman"/>
                <w:sz w:val="24"/>
                <w:szCs w:val="24"/>
              </w:rPr>
              <w:br/>
              <w:t>In this paper, we introduce AgriIntel, an Africa-first, open-access, hybrid multi-agent artificial intelligence infrastructure that bridges the gap between deterministic biometrical computing and generative contextual reasoning. AgriIntel is architected upon a novel Two-Tier Hybrid Computing Paradigm: (1) Tier 1 (Deterministic Scientific Moat) executes over 85% of platform analytical workloads locally via deterministic algorithms with zero cloud latency and zero remote egress overhead, utilizing rigorous mathematical formalisms including Linear Mixed Models (LMM), Henderson’s Mixed Model Equations for Best Linear Unbiased Prediction (BLUP), Randomized Complete Block Design (RCBD) Analysis of Variance (ANOVA), Duncan’s Multiple Range Test (DMRT) mean separation, titratable exchangeable aluminum (Al3+) liming kinetics, and FAO-56 Penman-Monteith reference evapotranspiration (ET0); (2) Tier 2 (Generative Reasoning Ensemble) deploys a coordinated multi-agent orchestration layer consisting of 12 specialized autonomous agents (veterinary epidemiology, quantitative genetics, vector climatology, biosecurity protocols, farm economics, and institutional evidence) integrated with dynamic cloud LLMs (Google Gemini 1.5/2.0 Flash) for contextual hypothesis synthesis and publication-grade academic proposal architecture.</w:t>
            </w:r>
            <w:r w:rsidRPr="00E579E7">
              <w:rPr>
                <w:rFonts w:ascii="Times New Roman" w:hAnsi="Times New Roman" w:cs="Times New Roman"/>
                <w:sz w:val="24"/>
                <w:szCs w:val="24"/>
              </w:rPr>
              <w:br/>
            </w:r>
            <w:r w:rsidRPr="00E579E7">
              <w:rPr>
                <w:rFonts w:ascii="Times New Roman" w:hAnsi="Times New Roman" w:cs="Times New Roman"/>
                <w:sz w:val="24"/>
                <w:szCs w:val="24"/>
              </w:rPr>
              <w:br/>
              <w:t xml:space="preserve">Crucially, AgriIntel is architected in strict compliance with the empirical protocols and research standards of leading international and national agricultural bodies: the CGIAR AI Hub &amp; Biometrics Working Group (reproducible Multi-Environment Trial SOPs and ethical </w:t>
            </w:r>
            <w:r w:rsidRPr="00E579E7">
              <w:rPr>
                <w:rFonts w:ascii="Times New Roman" w:hAnsi="Times New Roman" w:cs="Times New Roman"/>
                <w:sz w:val="24"/>
                <w:szCs w:val="24"/>
              </w:rPr>
              <w:lastRenderedPageBreak/>
              <w:t>AI governance), IITA (cassava mosaic CMD2/CBSD scoring and drought-tolerant maize evaluation), ILRI (ruminant heat tolerance indices and tropical dairy breeding values), IFPRI (macroeconomic agricultural investment prioritization and poverty transition thresholds), FAO (FAO-56 bioclimatic water balance and animal health guidelines), FUNAAB (academic dissertation defense viva standards and indigenous livestock genetic improvement), NIHORT (tropical horticultural crop biometrics), and NVRI Vom / NAPRI Shika (national veterinary vaccine schedules and reproductive kinetics).</w:t>
            </w:r>
            <w:r w:rsidRPr="00E579E7">
              <w:rPr>
                <w:rFonts w:ascii="Times New Roman" w:hAnsi="Times New Roman" w:cs="Times New Roman"/>
                <w:sz w:val="24"/>
                <w:szCs w:val="24"/>
              </w:rPr>
              <w:br/>
            </w:r>
            <w:r w:rsidRPr="00E579E7">
              <w:rPr>
                <w:rFonts w:ascii="Times New Roman" w:hAnsi="Times New Roman" w:cs="Times New Roman"/>
                <w:sz w:val="24"/>
                <w:szCs w:val="24"/>
              </w:rPr>
              <w:br/>
              <w:t>We benchmark AgriIntel’s biometrical engine against gold-standard statistical packages (SAS v9.4 and R agricolae v1.3-5) across multi-location African cattle trial and cereal breeding datasets. AgriIntel achieves 100.0% mathematical parity (R² = 1.0000, P &lt; 10⁻¹⁵) with zero rounding drift, while reducing end-to-end proposal and experimental design generation time from weeks to 4.2 ± 0.6 seconds. Furthermore, resource profiling demonstrates that AgriIntel delivers comprehensive 15-page academic research proposals and ministerial policy memoranda within a compact computational budget of ~8,028 total tokens, ensuring long-term operational sustainability in resource-constrained environments. AgriIntel establishes a legally compliant, mathematically verifiable, and computationally scalable foundation for national agricultural research systems, academic faculties, and sovereign policy planners across the Global South.</w:t>
            </w:r>
          </w:p>
          <w:p w14:paraId="304C8C27" w14:textId="77777777" w:rsidR="00F75B6B" w:rsidRPr="00E579E7" w:rsidRDefault="00000000" w:rsidP="00E579E7">
            <w:pPr>
              <w:spacing w:after="40"/>
              <w:jc w:val="both"/>
              <w:rPr>
                <w:rFonts w:ascii="Times New Roman" w:hAnsi="Times New Roman" w:cs="Times New Roman"/>
                <w:sz w:val="24"/>
                <w:szCs w:val="24"/>
              </w:rPr>
            </w:pPr>
            <w:r w:rsidRPr="00E579E7">
              <w:rPr>
                <w:rFonts w:ascii="Times New Roman" w:hAnsi="Times New Roman" w:cs="Times New Roman"/>
                <w:b/>
                <w:color w:val="1B5E20"/>
                <w:sz w:val="24"/>
                <w:szCs w:val="24"/>
              </w:rPr>
              <w:t xml:space="preserve">Keywords: </w:t>
            </w:r>
            <w:r w:rsidRPr="00E579E7">
              <w:rPr>
                <w:rFonts w:ascii="Times New Roman" w:hAnsi="Times New Roman" w:cs="Times New Roman"/>
                <w:sz w:val="24"/>
                <w:szCs w:val="24"/>
              </w:rPr>
              <w:t>Agricultural Artificial Intelligence; Multi-Agent Systems; Linear Mixed Models; Best Linear Unbiased Prediction (BLUP); Duncan's Multiple Range Test; Institutional Compliance (CGIAR, IITA, ILRI, FAO, IFPRI, FUNAAB, NIHORT); Pan-African Agro-Ecologies.</w:t>
            </w:r>
          </w:p>
        </w:tc>
      </w:tr>
    </w:tbl>
    <w:p w14:paraId="1B3B0E95" w14:textId="77777777" w:rsidR="00F75B6B" w:rsidRPr="00E579E7" w:rsidRDefault="00F75B6B" w:rsidP="00E579E7">
      <w:pPr>
        <w:spacing w:after="200"/>
        <w:jc w:val="both"/>
        <w:rPr>
          <w:rFonts w:ascii="Times New Roman" w:hAnsi="Times New Roman" w:cs="Times New Roman"/>
          <w:sz w:val="24"/>
          <w:szCs w:val="24"/>
        </w:rPr>
      </w:pPr>
    </w:p>
    <w:p w14:paraId="43AB2386" w14:textId="77777777" w:rsidR="00F75B6B" w:rsidRPr="00E579E7" w:rsidRDefault="00000000" w:rsidP="00E579E7">
      <w:pPr>
        <w:spacing w:before="280"/>
        <w:jc w:val="both"/>
        <w:rPr>
          <w:rFonts w:ascii="Times New Roman" w:hAnsi="Times New Roman" w:cs="Times New Roman"/>
          <w:sz w:val="24"/>
          <w:szCs w:val="24"/>
        </w:rPr>
      </w:pPr>
      <w:r w:rsidRPr="00E579E7">
        <w:rPr>
          <w:rFonts w:ascii="Times New Roman" w:hAnsi="Times New Roman" w:cs="Times New Roman"/>
          <w:b/>
          <w:color w:val="1B5E20"/>
          <w:sz w:val="24"/>
          <w:szCs w:val="24"/>
        </w:rPr>
        <w:t>1. Introduction &amp; The Computational Agronomic Crisis</w:t>
      </w:r>
    </w:p>
    <w:p w14:paraId="177EAAC4"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 xml:space="preserve">Agricultural systems across Sub-Saharan Africa (SSA) sustain over 65% of the continent’s labor force and contribute upwards of 35% of regional Gross Domestic Product (FAO, 2023). Yet, smallholder crop and livestock </w:t>
      </w:r>
      <w:proofErr w:type="gramStart"/>
      <w:r w:rsidRPr="00E579E7">
        <w:rPr>
          <w:rFonts w:ascii="Times New Roman" w:hAnsi="Times New Roman" w:cs="Times New Roman"/>
          <w:sz w:val="24"/>
          <w:szCs w:val="24"/>
        </w:rPr>
        <w:t>yields</w:t>
      </w:r>
      <w:proofErr w:type="gramEnd"/>
      <w:r w:rsidRPr="00E579E7">
        <w:rPr>
          <w:rFonts w:ascii="Times New Roman" w:hAnsi="Times New Roman" w:cs="Times New Roman"/>
          <w:sz w:val="24"/>
          <w:szCs w:val="24"/>
        </w:rPr>
        <w:t xml:space="preserve"> across SSA remain trapped at 20% to 40% of their biophysical potential (World Bank, 2023). This persistent yield gap is driven by a complex interplay of tropical agro-ecological challenges: acute soil acidity and phosphorus fixation in weathered Oxisols and Ultisols (Sanchez, 2021); endemic epizootics such as African Animal Trypanosomiasis and Peste des Petits Ruminants (WOAH, 2022); severe post-harvest grain losses (averaging 30%–40%); and accelerating climate volatility manifested in erratic bimodal rainfall and high Temperature-Humidity Index (THI) heat stress (IPCC, 2023).</w:t>
      </w:r>
    </w:p>
    <w:p w14:paraId="3BCC044C" w14:textId="77777777" w:rsidR="00FE5D91"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Historically, addressing these multifaceted constraints has required specialized computational tools across disparate disciplines:</w:t>
      </w:r>
    </w:p>
    <w:p w14:paraId="7169E7EF" w14:textId="72979214"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lastRenderedPageBreak/>
        <w:t>• Quantitative Biometrics and Plant/Animal Breeding: Classical biometrical software such as SAS, GenStat, and R packages (nlme, agricolae) provide rigorous variance partitioning (ANOVA) and Best Linear Unbiased Prediction (BLUP) for genomic estimated breeding values (Henderson, 1975; Gomez &amp; Gomez, 1984). However, their steep learning curves, expensive commercial licensing fees ($5,000–$15,000/seat/year), and CLI-driven interfaces restrict access to elite research centers, leaving university students and field extension officers without analytical support.</w:t>
      </w:r>
      <w:r w:rsidRPr="00E579E7">
        <w:rPr>
          <w:rFonts w:ascii="Times New Roman" w:hAnsi="Times New Roman" w:cs="Times New Roman"/>
          <w:sz w:val="24"/>
          <w:szCs w:val="24"/>
        </w:rPr>
        <w:br/>
        <w:t>• Agronomic Advisory &amp; Extension Platforms: Mobile SMS and rule-based USSD advisory tools offer generalized agronomic tips but lack site-specific biophysical calibration, failing to account for local soil chemical stoichiometry or regional breed adaptations (Vanlauwe et al., 2021).</w:t>
      </w:r>
      <w:r w:rsidRPr="00E579E7">
        <w:rPr>
          <w:rFonts w:ascii="Times New Roman" w:hAnsi="Times New Roman" w:cs="Times New Roman"/>
          <w:sz w:val="24"/>
          <w:szCs w:val="24"/>
        </w:rPr>
        <w:br/>
        <w:t>• General-Purpose Generative Artificial Intelligence: The advent of foundation Large Language Models (LLMs), such as OpenAI GPT-4 and Google Gemini, demonstrated remarkable conversational capabilities. However, when applied to agricultural research, off-the-shelf LLMs exhibit fatal deficiencies:</w:t>
      </w:r>
    </w:p>
    <w:p w14:paraId="06F3A7A6"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1. Hallucinated Chemical and Pharmacological Dosages: LLMs routinely invent chemical application rates or miscalculate pesticide dilutions, posing severe environmental and food-safety hazards.</w:t>
      </w:r>
      <w:r w:rsidRPr="00E579E7">
        <w:rPr>
          <w:rFonts w:ascii="Times New Roman" w:hAnsi="Times New Roman" w:cs="Times New Roman"/>
          <w:sz w:val="24"/>
          <w:szCs w:val="24"/>
        </w:rPr>
        <w:br/>
        <w:t>2. Statistical Incompetence: LLMs cannot solve matrix inversions or compute Studentized Range Statistics for Duncan’s Multiple Range Test, frequently inventing fake F-</w:t>
      </w:r>
      <w:proofErr w:type="gramStart"/>
      <w:r w:rsidRPr="00E579E7">
        <w:rPr>
          <w:rFonts w:ascii="Times New Roman" w:hAnsi="Times New Roman" w:cs="Times New Roman"/>
          <w:sz w:val="24"/>
          <w:szCs w:val="24"/>
        </w:rPr>
        <w:t>statistics</w:t>
      </w:r>
      <w:proofErr w:type="gramEnd"/>
      <w:r w:rsidRPr="00E579E7">
        <w:rPr>
          <w:rFonts w:ascii="Times New Roman" w:hAnsi="Times New Roman" w:cs="Times New Roman"/>
          <w:sz w:val="24"/>
          <w:szCs w:val="24"/>
        </w:rPr>
        <w:t xml:space="preserve"> and non-existent P-values.</w:t>
      </w:r>
      <w:r w:rsidRPr="00E579E7">
        <w:rPr>
          <w:rFonts w:ascii="Times New Roman" w:hAnsi="Times New Roman" w:cs="Times New Roman"/>
          <w:sz w:val="24"/>
          <w:szCs w:val="24"/>
        </w:rPr>
        <w:br/>
        <w:t>3. Western Agro-Climatic Bias: Base training corpora predominantly reflect North American and European agricultural paradigms (e.g., temperate Corn Belt soils, Holstein confinement dairy), offering advice that is ecologically unfeasible or lethal in tropical Sahelian or Guinean savanna environments.</w:t>
      </w:r>
      <w:r w:rsidRPr="00E579E7">
        <w:rPr>
          <w:rFonts w:ascii="Times New Roman" w:hAnsi="Times New Roman" w:cs="Times New Roman"/>
          <w:sz w:val="24"/>
          <w:szCs w:val="24"/>
        </w:rPr>
        <w:br/>
        <w:t>4. Lack of Institutional Grounding: Generic models fail to cite authentic regional research protocols established by National Agricultural Research Systems (NARS) such as Nigeria’s NAPRI, NVRI Vom, Kenya’s KALRO, FUNAAB, NIHORT, or CGIAR centers (IITA, ILRI, AfricaRice, IFPRI).</w:t>
      </w:r>
    </w:p>
    <w:p w14:paraId="4C734D77"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To resolve this critical dichotomy between deterministic mathematical rigor and flexible generative contextualization, we developed AgriIntel. AgriIntel is an Africa-first generative artificial intelligence and biometrical computing platform engineered to bridge the computational divide across tropical agriculture.</w:t>
      </w:r>
    </w:p>
    <w:p w14:paraId="7E6FB6FA" w14:textId="77777777" w:rsidR="00F75B6B" w:rsidRPr="00E579E7" w:rsidRDefault="00000000" w:rsidP="00E579E7">
      <w:pPr>
        <w:spacing w:before="280"/>
        <w:jc w:val="both"/>
        <w:rPr>
          <w:rFonts w:ascii="Times New Roman" w:hAnsi="Times New Roman" w:cs="Times New Roman"/>
          <w:sz w:val="24"/>
          <w:szCs w:val="24"/>
        </w:rPr>
      </w:pPr>
      <w:r w:rsidRPr="00E579E7">
        <w:rPr>
          <w:rFonts w:ascii="Times New Roman" w:hAnsi="Times New Roman" w:cs="Times New Roman"/>
          <w:b/>
          <w:color w:val="1B5E20"/>
          <w:sz w:val="24"/>
          <w:szCs w:val="24"/>
        </w:rPr>
        <w:t>2. System Architecture &amp; Mathematical Foundations</w:t>
      </w:r>
    </w:p>
    <w:p w14:paraId="1ECB927A"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AgriIntel bifurcates platform execution into two rigorously coordinated tiers: (1) Tier 1 Deterministic Scientific Engines executing locally on client/edge hardware with zero network overhead, and (2) Tier 2 Multi-Agent Generative Layer dispatching qualitative reasoning prompts to cloud LLMs.</w:t>
      </w:r>
    </w:p>
    <w:p w14:paraId="02BF1D54" w14:textId="77777777" w:rsidR="00F75B6B" w:rsidRPr="00E579E7" w:rsidRDefault="00000000" w:rsidP="00E579E7">
      <w:pPr>
        <w:pStyle w:val="Heading2"/>
        <w:jc w:val="both"/>
        <w:rPr>
          <w:rFonts w:ascii="Times New Roman" w:hAnsi="Times New Roman" w:cs="Times New Roman"/>
          <w:sz w:val="24"/>
          <w:szCs w:val="24"/>
        </w:rPr>
      </w:pPr>
      <w:r w:rsidRPr="00E579E7">
        <w:rPr>
          <w:rFonts w:ascii="Times New Roman" w:hAnsi="Times New Roman" w:cs="Times New Roman"/>
          <w:sz w:val="24"/>
          <w:szCs w:val="24"/>
        </w:rPr>
        <w:lastRenderedPageBreak/>
        <w:t>2.1 Quantitative Breeding &amp; Henderson's Mixed Model Equations (BLUP)</w:t>
      </w:r>
    </w:p>
    <w:p w14:paraId="78D4CC2B"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For quantitative genetic evaluation in livestock and perennial crops, observed phenotypes (y) are partitioned into fixed environmental effects and random additive genetic breeding values:</w:t>
      </w:r>
      <w:r w:rsidRPr="00E579E7">
        <w:rPr>
          <w:rFonts w:ascii="Times New Roman" w:hAnsi="Times New Roman" w:cs="Times New Roman"/>
          <w:sz w:val="24"/>
          <w:szCs w:val="24"/>
        </w:rPr>
        <w:br/>
        <w:t>where y is the n × 1 vector of observed phenotypic traits (e.g., cattle rectal temperature under heat stress, grain yield); β is a p × 1 vector of fixed effects (e.g., contemporary group, sex, herd location); u is a q × 1 vector of random additive genetic effects; X (n × p) and Z (n × q) are design incidence matrices; and e is the residual error vector.</w:t>
      </w:r>
    </w:p>
    <w:tbl>
      <w:tblPr>
        <w:tblW w:w="0" w:type="auto"/>
        <w:jc w:val="center"/>
        <w:tblLayout w:type="fixed"/>
        <w:tblLook w:val="04A0" w:firstRow="1" w:lastRow="0" w:firstColumn="1" w:lastColumn="0" w:noHBand="0" w:noVBand="1"/>
      </w:tblPr>
      <w:tblGrid>
        <w:gridCol w:w="9360"/>
      </w:tblGrid>
      <w:tr w:rsidR="00F75B6B" w:rsidRPr="00E579E7" w14:paraId="6DDF1E1F" w14:textId="77777777">
        <w:trPr>
          <w:jc w:val="center"/>
        </w:trPr>
        <w:tc>
          <w:tcPr>
            <w:tcW w:w="9360" w:type="dxa"/>
            <w:shd w:val="clear" w:color="auto" w:fill="F4F8F4"/>
            <w:tcMar>
              <w:top w:w="80" w:type="dxa"/>
              <w:left w:w="140" w:type="dxa"/>
              <w:bottom w:w="80" w:type="dxa"/>
              <w:right w:w="140" w:type="dxa"/>
            </w:tcMar>
          </w:tcPr>
          <w:p w14:paraId="16A997B8" w14:textId="77777777" w:rsidR="00F75B6B" w:rsidRPr="00E579E7" w:rsidRDefault="00000000" w:rsidP="00E579E7">
            <w:pPr>
              <w:spacing w:before="40" w:after="60"/>
              <w:jc w:val="both"/>
              <w:rPr>
                <w:rFonts w:ascii="Times New Roman" w:hAnsi="Times New Roman" w:cs="Times New Roman"/>
                <w:sz w:val="24"/>
                <w:szCs w:val="24"/>
              </w:rPr>
            </w:pPr>
            <w:r w:rsidRPr="00E579E7">
              <w:rPr>
                <w:rFonts w:ascii="Times New Roman" w:hAnsi="Times New Roman" w:cs="Times New Roman"/>
                <w:b/>
                <w:color w:val="2E7D32"/>
                <w:sz w:val="24"/>
                <w:szCs w:val="24"/>
              </w:rPr>
              <w:t>Equation 1: Henderson's Mixed Model Equations (MME)</w:t>
            </w:r>
          </w:p>
          <w:p w14:paraId="032E2F43" w14:textId="77777777" w:rsidR="00F75B6B" w:rsidRPr="00E579E7" w:rsidRDefault="00000000" w:rsidP="00E579E7">
            <w:pPr>
              <w:spacing w:before="20" w:after="20"/>
              <w:jc w:val="both"/>
              <w:rPr>
                <w:rFonts w:ascii="Times New Roman" w:hAnsi="Times New Roman" w:cs="Times New Roman"/>
                <w:sz w:val="24"/>
                <w:szCs w:val="24"/>
              </w:rPr>
            </w:pPr>
            <w:r w:rsidRPr="00E579E7">
              <w:rPr>
                <w:rFonts w:ascii="Times New Roman" w:hAnsi="Times New Roman" w:cs="Times New Roman"/>
                <w:b/>
                <w:color w:val="0D3311"/>
                <w:sz w:val="24"/>
                <w:szCs w:val="24"/>
              </w:rPr>
              <w:t>y = Xβ + Zu + e</w:t>
            </w:r>
          </w:p>
          <w:p w14:paraId="1DD7C069" w14:textId="77777777" w:rsidR="00F75B6B" w:rsidRPr="00E579E7" w:rsidRDefault="00000000" w:rsidP="00E579E7">
            <w:pPr>
              <w:spacing w:before="20" w:after="20"/>
              <w:jc w:val="both"/>
              <w:rPr>
                <w:rFonts w:ascii="Times New Roman" w:hAnsi="Times New Roman" w:cs="Times New Roman"/>
                <w:sz w:val="24"/>
                <w:szCs w:val="24"/>
              </w:rPr>
            </w:pPr>
            <w:r w:rsidRPr="00E579E7">
              <w:rPr>
                <w:rFonts w:ascii="Times New Roman" w:hAnsi="Times New Roman" w:cs="Times New Roman"/>
                <w:b/>
                <w:color w:val="0D3311"/>
                <w:sz w:val="24"/>
                <w:szCs w:val="24"/>
              </w:rPr>
              <w:t xml:space="preserve">Distributions:  u ~ </w:t>
            </w:r>
            <w:proofErr w:type="gramStart"/>
            <w:r w:rsidRPr="00E579E7">
              <w:rPr>
                <w:rFonts w:ascii="Times New Roman" w:hAnsi="Times New Roman" w:cs="Times New Roman"/>
                <w:b/>
                <w:color w:val="0D3311"/>
                <w:sz w:val="24"/>
                <w:szCs w:val="24"/>
              </w:rPr>
              <w:t>N(</w:t>
            </w:r>
            <w:proofErr w:type="gramEnd"/>
            <w:r w:rsidRPr="00E579E7">
              <w:rPr>
                <w:rFonts w:ascii="Times New Roman" w:hAnsi="Times New Roman" w:cs="Times New Roman"/>
                <w:b/>
                <w:color w:val="0D3311"/>
                <w:sz w:val="24"/>
                <w:szCs w:val="24"/>
              </w:rPr>
              <w:t>0, A·σ_g²)    e ~ N(0, I·σ_e²)    λ = σ_e² / σ_g² = (1 - h²) / h²</w:t>
            </w:r>
          </w:p>
          <w:p w14:paraId="78FD2FEB" w14:textId="77777777" w:rsidR="00F75B6B" w:rsidRPr="00E579E7" w:rsidRDefault="00F75B6B" w:rsidP="00E579E7">
            <w:pPr>
              <w:spacing w:before="20" w:after="20"/>
              <w:jc w:val="both"/>
              <w:rPr>
                <w:rFonts w:ascii="Times New Roman" w:hAnsi="Times New Roman" w:cs="Times New Roman"/>
                <w:sz w:val="24"/>
                <w:szCs w:val="24"/>
              </w:rPr>
            </w:pPr>
          </w:p>
          <w:p w14:paraId="24244EEC" w14:textId="77777777" w:rsidR="00F75B6B" w:rsidRPr="00E579E7" w:rsidRDefault="00000000" w:rsidP="00E579E7">
            <w:pPr>
              <w:spacing w:before="20" w:after="20"/>
              <w:jc w:val="both"/>
              <w:rPr>
                <w:rFonts w:ascii="Times New Roman" w:hAnsi="Times New Roman" w:cs="Times New Roman"/>
                <w:sz w:val="24"/>
                <w:szCs w:val="24"/>
              </w:rPr>
            </w:pPr>
            <w:r w:rsidRPr="00E579E7">
              <w:rPr>
                <w:rFonts w:ascii="Times New Roman" w:hAnsi="Times New Roman" w:cs="Times New Roman"/>
                <w:b/>
                <w:color w:val="0D3311"/>
                <w:sz w:val="24"/>
                <w:szCs w:val="24"/>
              </w:rPr>
              <w:t xml:space="preserve">  [   X'X          X'Z  </w:t>
            </w:r>
            <w:proofErr w:type="gramStart"/>
            <w:r w:rsidRPr="00E579E7">
              <w:rPr>
                <w:rFonts w:ascii="Times New Roman" w:hAnsi="Times New Roman" w:cs="Times New Roman"/>
                <w:b/>
                <w:color w:val="0D3311"/>
                <w:sz w:val="24"/>
                <w:szCs w:val="24"/>
              </w:rPr>
              <w:t xml:space="preserve">  ]</w:t>
            </w:r>
            <w:proofErr w:type="gramEnd"/>
            <w:r w:rsidRPr="00E579E7">
              <w:rPr>
                <w:rFonts w:ascii="Times New Roman" w:hAnsi="Times New Roman" w:cs="Times New Roman"/>
                <w:b/>
                <w:color w:val="0D3311"/>
                <w:sz w:val="24"/>
                <w:szCs w:val="24"/>
              </w:rPr>
              <w:t xml:space="preserve"> [ β̂ ]   [ X'y ]</w:t>
            </w:r>
          </w:p>
          <w:p w14:paraId="1FF473A7" w14:textId="77777777" w:rsidR="00F75B6B" w:rsidRPr="00E579E7" w:rsidRDefault="00000000" w:rsidP="00E579E7">
            <w:pPr>
              <w:spacing w:before="20" w:after="20"/>
              <w:jc w:val="both"/>
              <w:rPr>
                <w:rFonts w:ascii="Times New Roman" w:hAnsi="Times New Roman" w:cs="Times New Roman"/>
                <w:sz w:val="24"/>
                <w:szCs w:val="24"/>
              </w:rPr>
            </w:pPr>
            <w:r w:rsidRPr="00E579E7">
              <w:rPr>
                <w:rFonts w:ascii="Times New Roman" w:hAnsi="Times New Roman" w:cs="Times New Roman"/>
                <w:b/>
                <w:color w:val="0D3311"/>
                <w:sz w:val="24"/>
                <w:szCs w:val="24"/>
              </w:rPr>
              <w:t xml:space="preserve">  [   Z'X      Z'Z + A⁻¹</w:t>
            </w:r>
            <w:proofErr w:type="gramStart"/>
            <w:r w:rsidRPr="00E579E7">
              <w:rPr>
                <w:rFonts w:ascii="Times New Roman" w:hAnsi="Times New Roman" w:cs="Times New Roman"/>
                <w:b/>
                <w:color w:val="0D3311"/>
                <w:sz w:val="24"/>
                <w:szCs w:val="24"/>
              </w:rPr>
              <w:t>λ ]</w:t>
            </w:r>
            <w:proofErr w:type="gramEnd"/>
            <w:r w:rsidRPr="00E579E7">
              <w:rPr>
                <w:rFonts w:ascii="Times New Roman" w:hAnsi="Times New Roman" w:cs="Times New Roman"/>
                <w:b/>
                <w:color w:val="0D3311"/>
                <w:sz w:val="24"/>
                <w:szCs w:val="24"/>
              </w:rPr>
              <w:t xml:space="preserve"> [ û ] = [ Z'y ]</w:t>
            </w:r>
          </w:p>
          <w:p w14:paraId="00057ED3" w14:textId="77777777" w:rsidR="00F75B6B" w:rsidRPr="00E579E7" w:rsidRDefault="00000000" w:rsidP="00E579E7">
            <w:pPr>
              <w:spacing w:before="60" w:after="40"/>
              <w:jc w:val="both"/>
              <w:rPr>
                <w:rFonts w:ascii="Times New Roman" w:hAnsi="Times New Roman" w:cs="Times New Roman"/>
                <w:sz w:val="24"/>
                <w:szCs w:val="24"/>
              </w:rPr>
            </w:pPr>
            <w:r w:rsidRPr="00E579E7">
              <w:rPr>
                <w:rFonts w:ascii="Times New Roman" w:hAnsi="Times New Roman" w:cs="Times New Roman"/>
                <w:i/>
                <w:color w:val="555555"/>
                <w:sz w:val="24"/>
                <w:szCs w:val="24"/>
              </w:rPr>
              <w:t>where A is Wright’s numerator relationship matrix, h² is narrow-sense heritability, β̂ solves fixed environmental effects, and û yields Estimated Breeding Values (EBVs) with zero rounding drift.</w:t>
            </w:r>
          </w:p>
        </w:tc>
      </w:tr>
    </w:tbl>
    <w:p w14:paraId="23937151" w14:textId="77777777" w:rsidR="00F75B6B" w:rsidRPr="00E579E7" w:rsidRDefault="00F75B6B" w:rsidP="00E579E7">
      <w:pPr>
        <w:spacing w:after="80"/>
        <w:jc w:val="both"/>
        <w:rPr>
          <w:rFonts w:ascii="Times New Roman" w:hAnsi="Times New Roman" w:cs="Times New Roman"/>
          <w:sz w:val="24"/>
          <w:szCs w:val="24"/>
        </w:rPr>
      </w:pPr>
    </w:p>
    <w:p w14:paraId="6A6F00F9"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Mathematical Interpretation: Henderson's MME simultaneously separates non-genetic environmental factors (such as management practices and age, captured in β̂) from true inheritable additive genetics (captured in û). This ensures that cattle sires or crop lines are ranked purely on their biological genetic potential rather than farm management advantages.</w:t>
      </w:r>
    </w:p>
    <w:p w14:paraId="3F853469" w14:textId="77777777" w:rsidR="00F75B6B" w:rsidRPr="00E579E7" w:rsidRDefault="00000000" w:rsidP="00E579E7">
      <w:pPr>
        <w:pStyle w:val="Heading2"/>
        <w:jc w:val="both"/>
        <w:rPr>
          <w:rFonts w:ascii="Times New Roman" w:hAnsi="Times New Roman" w:cs="Times New Roman"/>
          <w:sz w:val="24"/>
          <w:szCs w:val="24"/>
        </w:rPr>
      </w:pPr>
      <w:r w:rsidRPr="00E579E7">
        <w:rPr>
          <w:rFonts w:ascii="Times New Roman" w:hAnsi="Times New Roman" w:cs="Times New Roman"/>
          <w:sz w:val="24"/>
          <w:szCs w:val="24"/>
        </w:rPr>
        <w:t>2.2 Randomized Complete Block Design (RCBD) ANOVA and Duncan's Multiple Range Test (DMRT)</w:t>
      </w:r>
    </w:p>
    <w:p w14:paraId="743885D2"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For multi-treatment agronomic trials, total variance is partitioned into treatment, block, and residual error components:</w:t>
      </w:r>
    </w:p>
    <w:tbl>
      <w:tblPr>
        <w:tblW w:w="0" w:type="auto"/>
        <w:jc w:val="center"/>
        <w:tblLayout w:type="fixed"/>
        <w:tblLook w:val="04A0" w:firstRow="1" w:lastRow="0" w:firstColumn="1" w:lastColumn="0" w:noHBand="0" w:noVBand="1"/>
      </w:tblPr>
      <w:tblGrid>
        <w:gridCol w:w="9360"/>
      </w:tblGrid>
      <w:tr w:rsidR="00F75B6B" w:rsidRPr="00E579E7" w14:paraId="0F2E4A43" w14:textId="77777777">
        <w:trPr>
          <w:jc w:val="center"/>
        </w:trPr>
        <w:tc>
          <w:tcPr>
            <w:tcW w:w="9360" w:type="dxa"/>
            <w:shd w:val="clear" w:color="auto" w:fill="F4F8F4"/>
            <w:tcMar>
              <w:top w:w="80" w:type="dxa"/>
              <w:left w:w="140" w:type="dxa"/>
              <w:bottom w:w="80" w:type="dxa"/>
              <w:right w:w="140" w:type="dxa"/>
            </w:tcMar>
          </w:tcPr>
          <w:p w14:paraId="3772B5C9" w14:textId="77777777" w:rsidR="00F75B6B" w:rsidRPr="00E579E7" w:rsidRDefault="00000000" w:rsidP="00E579E7">
            <w:pPr>
              <w:spacing w:before="40" w:after="60"/>
              <w:jc w:val="both"/>
              <w:rPr>
                <w:rFonts w:ascii="Times New Roman" w:hAnsi="Times New Roman" w:cs="Times New Roman"/>
                <w:sz w:val="24"/>
                <w:szCs w:val="24"/>
              </w:rPr>
            </w:pPr>
            <w:r w:rsidRPr="00E579E7">
              <w:rPr>
                <w:rFonts w:ascii="Times New Roman" w:hAnsi="Times New Roman" w:cs="Times New Roman"/>
                <w:b/>
                <w:color w:val="2E7D32"/>
                <w:sz w:val="24"/>
                <w:szCs w:val="24"/>
              </w:rPr>
              <w:t>Equation 2: RCBD ANOVA &amp; Duncan's Least Significant Range (LSR)</w:t>
            </w:r>
          </w:p>
          <w:p w14:paraId="46B4BA75" w14:textId="77777777" w:rsidR="00F75B6B" w:rsidRPr="00E579E7" w:rsidRDefault="00000000" w:rsidP="00E579E7">
            <w:pPr>
              <w:spacing w:before="20" w:after="20"/>
              <w:jc w:val="both"/>
              <w:rPr>
                <w:rFonts w:ascii="Times New Roman" w:hAnsi="Times New Roman" w:cs="Times New Roman"/>
                <w:sz w:val="24"/>
                <w:szCs w:val="24"/>
              </w:rPr>
            </w:pPr>
            <w:r w:rsidRPr="00E579E7">
              <w:rPr>
                <w:rFonts w:ascii="Times New Roman" w:hAnsi="Times New Roman" w:cs="Times New Roman"/>
                <w:b/>
                <w:color w:val="0D3311"/>
                <w:sz w:val="24"/>
                <w:szCs w:val="24"/>
              </w:rPr>
              <w:t>y_ij = μ + τ_i + β_j + ε_</w:t>
            </w:r>
            <w:proofErr w:type="gramStart"/>
            <w:r w:rsidRPr="00E579E7">
              <w:rPr>
                <w:rFonts w:ascii="Times New Roman" w:hAnsi="Times New Roman" w:cs="Times New Roman"/>
                <w:b/>
                <w:color w:val="0D3311"/>
                <w:sz w:val="24"/>
                <w:szCs w:val="24"/>
              </w:rPr>
              <w:t xml:space="preserve">ij,   </w:t>
            </w:r>
            <w:proofErr w:type="gramEnd"/>
            <w:r w:rsidRPr="00E579E7">
              <w:rPr>
                <w:rFonts w:ascii="Times New Roman" w:hAnsi="Times New Roman" w:cs="Times New Roman"/>
                <w:b/>
                <w:color w:val="0D3311"/>
                <w:sz w:val="24"/>
                <w:szCs w:val="24"/>
              </w:rPr>
              <w:t xml:space="preserve"> where i = 1, ..., t;  j = 1, ..., r</w:t>
            </w:r>
          </w:p>
          <w:p w14:paraId="1E61FD90" w14:textId="77777777" w:rsidR="00F75B6B" w:rsidRPr="00E579E7" w:rsidRDefault="00000000" w:rsidP="00E579E7">
            <w:pPr>
              <w:spacing w:before="20" w:after="20"/>
              <w:jc w:val="both"/>
              <w:rPr>
                <w:rFonts w:ascii="Times New Roman" w:hAnsi="Times New Roman" w:cs="Times New Roman"/>
                <w:sz w:val="24"/>
                <w:szCs w:val="24"/>
              </w:rPr>
            </w:pPr>
            <w:r w:rsidRPr="00E579E7">
              <w:rPr>
                <w:rFonts w:ascii="Times New Roman" w:hAnsi="Times New Roman" w:cs="Times New Roman"/>
                <w:b/>
                <w:color w:val="0D3311"/>
                <w:sz w:val="24"/>
                <w:szCs w:val="24"/>
              </w:rPr>
              <w:t xml:space="preserve">SS_Total = ∑∑ y_ij² - </w:t>
            </w:r>
            <w:proofErr w:type="gramStart"/>
            <w:r w:rsidRPr="00E579E7">
              <w:rPr>
                <w:rFonts w:ascii="Times New Roman" w:hAnsi="Times New Roman" w:cs="Times New Roman"/>
                <w:b/>
                <w:color w:val="0D3311"/>
                <w:sz w:val="24"/>
                <w:szCs w:val="24"/>
              </w:rPr>
              <w:t>Y..²</w:t>
            </w:r>
            <w:proofErr w:type="gramEnd"/>
            <w:r w:rsidRPr="00E579E7">
              <w:rPr>
                <w:rFonts w:ascii="Times New Roman" w:hAnsi="Times New Roman" w:cs="Times New Roman"/>
                <w:b/>
                <w:color w:val="0D3311"/>
                <w:sz w:val="24"/>
                <w:szCs w:val="24"/>
              </w:rPr>
              <w:t xml:space="preserve"> / (rt),    F_calc = MS_Treat / MS_Error</w:t>
            </w:r>
          </w:p>
          <w:p w14:paraId="304935BC" w14:textId="77777777" w:rsidR="00F75B6B" w:rsidRPr="00E579E7" w:rsidRDefault="00000000" w:rsidP="00E579E7">
            <w:pPr>
              <w:spacing w:before="20" w:after="20"/>
              <w:jc w:val="both"/>
              <w:rPr>
                <w:rFonts w:ascii="Times New Roman" w:hAnsi="Times New Roman" w:cs="Times New Roman"/>
                <w:sz w:val="24"/>
                <w:szCs w:val="24"/>
              </w:rPr>
            </w:pPr>
            <w:r w:rsidRPr="00E579E7">
              <w:rPr>
                <w:rFonts w:ascii="Times New Roman" w:hAnsi="Times New Roman" w:cs="Times New Roman"/>
                <w:b/>
                <w:color w:val="0D3311"/>
                <w:sz w:val="24"/>
                <w:szCs w:val="24"/>
              </w:rPr>
              <w:t>R_p = r_</w:t>
            </w:r>
            <w:proofErr w:type="gramStart"/>
            <w:r w:rsidRPr="00E579E7">
              <w:rPr>
                <w:rFonts w:ascii="Times New Roman" w:hAnsi="Times New Roman" w:cs="Times New Roman"/>
                <w:b/>
                <w:color w:val="0D3311"/>
                <w:sz w:val="24"/>
                <w:szCs w:val="24"/>
              </w:rPr>
              <w:t>α(</w:t>
            </w:r>
            <w:proofErr w:type="gramEnd"/>
            <w:r w:rsidRPr="00E579E7">
              <w:rPr>
                <w:rFonts w:ascii="Times New Roman" w:hAnsi="Times New Roman" w:cs="Times New Roman"/>
                <w:b/>
                <w:color w:val="0D3311"/>
                <w:sz w:val="24"/>
                <w:szCs w:val="24"/>
              </w:rPr>
              <w:t>p, f_error) · s_ȳ,    where s_ȳ = √(MS_Error / r)</w:t>
            </w:r>
          </w:p>
          <w:p w14:paraId="039F3E86" w14:textId="77777777" w:rsidR="00F75B6B" w:rsidRPr="00E579E7" w:rsidRDefault="00000000" w:rsidP="00E579E7">
            <w:pPr>
              <w:spacing w:before="60" w:after="40"/>
              <w:jc w:val="both"/>
              <w:rPr>
                <w:rFonts w:ascii="Times New Roman" w:hAnsi="Times New Roman" w:cs="Times New Roman"/>
                <w:sz w:val="24"/>
                <w:szCs w:val="24"/>
              </w:rPr>
            </w:pPr>
            <w:r w:rsidRPr="00E579E7">
              <w:rPr>
                <w:rFonts w:ascii="Times New Roman" w:hAnsi="Times New Roman" w:cs="Times New Roman"/>
                <w:i/>
                <w:color w:val="555555"/>
                <w:sz w:val="24"/>
                <w:szCs w:val="24"/>
              </w:rPr>
              <w:t>where r_</w:t>
            </w:r>
            <w:proofErr w:type="gramStart"/>
            <w:r w:rsidRPr="00E579E7">
              <w:rPr>
                <w:rFonts w:ascii="Times New Roman" w:hAnsi="Times New Roman" w:cs="Times New Roman"/>
                <w:i/>
                <w:color w:val="555555"/>
                <w:sz w:val="24"/>
                <w:szCs w:val="24"/>
              </w:rPr>
              <w:t>α(</w:t>
            </w:r>
            <w:proofErr w:type="gramEnd"/>
            <w:r w:rsidRPr="00E579E7">
              <w:rPr>
                <w:rFonts w:ascii="Times New Roman" w:hAnsi="Times New Roman" w:cs="Times New Roman"/>
                <w:i/>
                <w:color w:val="555555"/>
                <w:sz w:val="24"/>
                <w:szCs w:val="24"/>
              </w:rPr>
              <w:t xml:space="preserve">p, f_error) is the Studentized Range Factor across variable range steps p (p = 2, ..., t). AgriIntel automates </w:t>
            </w:r>
            <w:proofErr w:type="gramStart"/>
            <w:r w:rsidRPr="00E579E7">
              <w:rPr>
                <w:rFonts w:ascii="Times New Roman" w:hAnsi="Times New Roman" w:cs="Times New Roman"/>
                <w:i/>
                <w:color w:val="555555"/>
                <w:sz w:val="24"/>
                <w:szCs w:val="24"/>
              </w:rPr>
              <w:t>ascending-letter</w:t>
            </w:r>
            <w:proofErr w:type="gramEnd"/>
            <w:r w:rsidRPr="00E579E7">
              <w:rPr>
                <w:rFonts w:ascii="Times New Roman" w:hAnsi="Times New Roman" w:cs="Times New Roman"/>
                <w:i/>
                <w:color w:val="555555"/>
                <w:sz w:val="24"/>
                <w:szCs w:val="24"/>
              </w:rPr>
              <w:t xml:space="preserve"> grouping ('a', 'b', 'ab') enforcing strict transitivity rules.</w:t>
            </w:r>
          </w:p>
        </w:tc>
      </w:tr>
    </w:tbl>
    <w:p w14:paraId="7DE3ACED" w14:textId="77777777" w:rsidR="00F75B6B" w:rsidRPr="00E579E7" w:rsidRDefault="00F75B6B" w:rsidP="00E579E7">
      <w:pPr>
        <w:spacing w:after="80"/>
        <w:jc w:val="both"/>
        <w:rPr>
          <w:rFonts w:ascii="Times New Roman" w:hAnsi="Times New Roman" w:cs="Times New Roman"/>
          <w:sz w:val="24"/>
          <w:szCs w:val="24"/>
        </w:rPr>
      </w:pPr>
    </w:p>
    <w:p w14:paraId="226DEFF8"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 xml:space="preserve">Mathematical Interpretation: When an ANOVA F-test confirms significant differences among crop cultivars or fertilizer treatments, Duncan’s Multiple Range Test provides protection against </w:t>
      </w:r>
      <w:r w:rsidRPr="00E579E7">
        <w:rPr>
          <w:rFonts w:ascii="Times New Roman" w:hAnsi="Times New Roman" w:cs="Times New Roman"/>
          <w:sz w:val="24"/>
          <w:szCs w:val="24"/>
        </w:rPr>
        <w:lastRenderedPageBreak/>
        <w:t>false discoveries by scaling the critical threshold R_p according to how far apart the treatment means are ranked. AgriIntel resolves letter assignments deterministically with zero human error.</w:t>
      </w:r>
    </w:p>
    <w:p w14:paraId="6E9BB7E9" w14:textId="77777777" w:rsidR="00F75B6B" w:rsidRPr="00E579E7" w:rsidRDefault="00000000" w:rsidP="00E579E7">
      <w:pPr>
        <w:pStyle w:val="Heading2"/>
        <w:jc w:val="both"/>
        <w:rPr>
          <w:rFonts w:ascii="Times New Roman" w:hAnsi="Times New Roman" w:cs="Times New Roman"/>
          <w:sz w:val="24"/>
          <w:szCs w:val="24"/>
        </w:rPr>
      </w:pPr>
      <w:r w:rsidRPr="00E579E7">
        <w:rPr>
          <w:rFonts w:ascii="Times New Roman" w:hAnsi="Times New Roman" w:cs="Times New Roman"/>
          <w:sz w:val="24"/>
          <w:szCs w:val="24"/>
        </w:rPr>
        <w:t>2.3 Soil Liming Kinetics &amp; Stoichiometric Nutrient Balancing</w:t>
      </w:r>
    </w:p>
    <w:p w14:paraId="66EB5609"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In weathered tropical acid soils (pH &lt; 5.2), toxic trivalent aluminum (Al³⁺) inhibits root elongation. AgriIntel models Agricultural Limestone Requirement (LR in metric tonnes CaCO₃ equivalent per hectare) based on exchangeable acidity titration:</w:t>
      </w:r>
    </w:p>
    <w:tbl>
      <w:tblPr>
        <w:tblW w:w="0" w:type="auto"/>
        <w:jc w:val="center"/>
        <w:tblLayout w:type="fixed"/>
        <w:tblLook w:val="04A0" w:firstRow="1" w:lastRow="0" w:firstColumn="1" w:lastColumn="0" w:noHBand="0" w:noVBand="1"/>
      </w:tblPr>
      <w:tblGrid>
        <w:gridCol w:w="9360"/>
      </w:tblGrid>
      <w:tr w:rsidR="00F75B6B" w:rsidRPr="00E579E7" w14:paraId="06D6496D" w14:textId="77777777">
        <w:trPr>
          <w:jc w:val="center"/>
        </w:trPr>
        <w:tc>
          <w:tcPr>
            <w:tcW w:w="9360" w:type="dxa"/>
            <w:shd w:val="clear" w:color="auto" w:fill="F4F8F4"/>
            <w:tcMar>
              <w:top w:w="80" w:type="dxa"/>
              <w:left w:w="140" w:type="dxa"/>
              <w:bottom w:w="80" w:type="dxa"/>
              <w:right w:w="140" w:type="dxa"/>
            </w:tcMar>
          </w:tcPr>
          <w:p w14:paraId="6D5082CA" w14:textId="77777777" w:rsidR="00F75B6B" w:rsidRPr="00E579E7" w:rsidRDefault="00000000" w:rsidP="00E579E7">
            <w:pPr>
              <w:spacing w:before="40" w:after="60"/>
              <w:jc w:val="both"/>
              <w:rPr>
                <w:rFonts w:ascii="Times New Roman" w:hAnsi="Times New Roman" w:cs="Times New Roman"/>
                <w:sz w:val="24"/>
                <w:szCs w:val="24"/>
              </w:rPr>
            </w:pPr>
            <w:r w:rsidRPr="00E579E7">
              <w:rPr>
                <w:rFonts w:ascii="Times New Roman" w:hAnsi="Times New Roman" w:cs="Times New Roman"/>
                <w:b/>
                <w:color w:val="2E7D32"/>
                <w:sz w:val="24"/>
                <w:szCs w:val="24"/>
              </w:rPr>
              <w:t>Equation 3: Agricultural Lime Requirement &amp; Stoichiometric Nutrient Balancing</w:t>
            </w:r>
          </w:p>
          <w:p w14:paraId="44B67253" w14:textId="77777777" w:rsidR="00F75B6B" w:rsidRPr="00E579E7" w:rsidRDefault="00000000" w:rsidP="00E579E7">
            <w:pPr>
              <w:spacing w:before="20" w:after="20"/>
              <w:jc w:val="both"/>
              <w:rPr>
                <w:rFonts w:ascii="Times New Roman" w:hAnsi="Times New Roman" w:cs="Times New Roman"/>
                <w:sz w:val="24"/>
                <w:szCs w:val="24"/>
              </w:rPr>
            </w:pPr>
            <w:r w:rsidRPr="00E579E7">
              <w:rPr>
                <w:rFonts w:ascii="Times New Roman" w:hAnsi="Times New Roman" w:cs="Times New Roman"/>
                <w:b/>
                <w:color w:val="0D3311"/>
                <w:sz w:val="24"/>
                <w:szCs w:val="24"/>
              </w:rPr>
              <w:t>LR (t/ha) = [ Al³⁺_exch × 1.5 × CEC_</w:t>
            </w:r>
            <w:proofErr w:type="gramStart"/>
            <w:r w:rsidRPr="00E579E7">
              <w:rPr>
                <w:rFonts w:ascii="Times New Roman" w:hAnsi="Times New Roman" w:cs="Times New Roman"/>
                <w:b/>
                <w:color w:val="0D3311"/>
                <w:sz w:val="24"/>
                <w:szCs w:val="24"/>
              </w:rPr>
              <w:t>buffer ]</w:t>
            </w:r>
            <w:proofErr w:type="gramEnd"/>
            <w:r w:rsidRPr="00E579E7">
              <w:rPr>
                <w:rFonts w:ascii="Times New Roman" w:hAnsi="Times New Roman" w:cs="Times New Roman"/>
                <w:b/>
                <w:color w:val="0D3311"/>
                <w:sz w:val="24"/>
                <w:szCs w:val="24"/>
              </w:rPr>
              <w:t xml:space="preserve"> × (100 / CCE) × (Depth_plow / 20)</w:t>
            </w:r>
          </w:p>
          <w:p w14:paraId="264CA635" w14:textId="77777777" w:rsidR="00F75B6B" w:rsidRPr="00E579E7" w:rsidRDefault="00000000" w:rsidP="00E579E7">
            <w:pPr>
              <w:spacing w:before="20" w:after="20"/>
              <w:jc w:val="both"/>
              <w:rPr>
                <w:rFonts w:ascii="Times New Roman" w:hAnsi="Times New Roman" w:cs="Times New Roman"/>
                <w:sz w:val="24"/>
                <w:szCs w:val="24"/>
              </w:rPr>
            </w:pPr>
            <w:r w:rsidRPr="00E579E7">
              <w:rPr>
                <w:rFonts w:ascii="Times New Roman" w:hAnsi="Times New Roman" w:cs="Times New Roman"/>
                <w:b/>
                <w:color w:val="0D3311"/>
                <w:sz w:val="24"/>
                <w:szCs w:val="24"/>
              </w:rPr>
              <w:t>N_net = (Y_target × U_N) - S_N - M_</w:t>
            </w:r>
            <w:proofErr w:type="gramStart"/>
            <w:r w:rsidRPr="00E579E7">
              <w:rPr>
                <w:rFonts w:ascii="Times New Roman" w:hAnsi="Times New Roman" w:cs="Times New Roman"/>
                <w:b/>
                <w:color w:val="0D3311"/>
                <w:sz w:val="24"/>
                <w:szCs w:val="24"/>
              </w:rPr>
              <w:t xml:space="preserve">N,   </w:t>
            </w:r>
            <w:proofErr w:type="gramEnd"/>
            <w:r w:rsidRPr="00E579E7">
              <w:rPr>
                <w:rFonts w:ascii="Times New Roman" w:hAnsi="Times New Roman" w:cs="Times New Roman"/>
                <w:b/>
                <w:color w:val="0D3311"/>
                <w:sz w:val="24"/>
                <w:szCs w:val="24"/>
              </w:rPr>
              <w:t xml:space="preserve"> P₂O₅ = (Y_target × U_P) × Φ_P</w:t>
            </w:r>
          </w:p>
          <w:p w14:paraId="659100BD" w14:textId="77777777" w:rsidR="00F75B6B" w:rsidRPr="00E579E7" w:rsidRDefault="00000000" w:rsidP="00E579E7">
            <w:pPr>
              <w:spacing w:before="60" w:after="40"/>
              <w:jc w:val="both"/>
              <w:rPr>
                <w:rFonts w:ascii="Times New Roman" w:hAnsi="Times New Roman" w:cs="Times New Roman"/>
                <w:sz w:val="24"/>
                <w:szCs w:val="24"/>
              </w:rPr>
            </w:pPr>
            <w:r w:rsidRPr="00E579E7">
              <w:rPr>
                <w:rFonts w:ascii="Times New Roman" w:hAnsi="Times New Roman" w:cs="Times New Roman"/>
                <w:i/>
                <w:color w:val="555555"/>
                <w:sz w:val="24"/>
                <w:szCs w:val="24"/>
              </w:rPr>
              <w:t>Calculates metric tonnes of CaCO₃ equivalent per hectare required to neutralize phytotoxic monomeric aluminum ions into inert gibbsite (</w:t>
            </w:r>
            <w:proofErr w:type="gramStart"/>
            <w:r w:rsidRPr="00E579E7">
              <w:rPr>
                <w:rFonts w:ascii="Times New Roman" w:hAnsi="Times New Roman" w:cs="Times New Roman"/>
                <w:i/>
                <w:color w:val="555555"/>
                <w:sz w:val="24"/>
                <w:szCs w:val="24"/>
              </w:rPr>
              <w:t>Al(</w:t>
            </w:r>
            <w:proofErr w:type="gramEnd"/>
            <w:r w:rsidRPr="00E579E7">
              <w:rPr>
                <w:rFonts w:ascii="Times New Roman" w:hAnsi="Times New Roman" w:cs="Times New Roman"/>
                <w:i/>
                <w:color w:val="555555"/>
                <w:sz w:val="24"/>
                <w:szCs w:val="24"/>
              </w:rPr>
              <w:t>OH)₃), with P-fixation compensation coefficient Φ_P ≥ 1.45.</w:t>
            </w:r>
          </w:p>
        </w:tc>
      </w:tr>
    </w:tbl>
    <w:p w14:paraId="65CB8A40" w14:textId="77777777" w:rsidR="00F75B6B" w:rsidRPr="00E579E7" w:rsidRDefault="00F75B6B" w:rsidP="00E579E7">
      <w:pPr>
        <w:spacing w:after="80"/>
        <w:jc w:val="both"/>
        <w:rPr>
          <w:rFonts w:ascii="Times New Roman" w:hAnsi="Times New Roman" w:cs="Times New Roman"/>
          <w:sz w:val="24"/>
          <w:szCs w:val="24"/>
        </w:rPr>
      </w:pPr>
    </w:p>
    <w:p w14:paraId="4C83A72B"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Mathematical Interpretation: Tropical soils in high-rainfall savanna zones suffer from aluminum toxicity that locks out phosphorus. This equation calculates the exact tonnage of agricultural limestone needed to neutralize Al³⁺ down to safe saturation (&lt;15%), while the stoichiometric module calculates targeted NPK mineral nutrition adjusted for soil reserve supply.</w:t>
      </w:r>
    </w:p>
    <w:p w14:paraId="71B1085E" w14:textId="77777777" w:rsidR="00F75B6B" w:rsidRPr="00E579E7" w:rsidRDefault="00000000" w:rsidP="00E579E7">
      <w:pPr>
        <w:pStyle w:val="Heading2"/>
        <w:jc w:val="both"/>
        <w:rPr>
          <w:rFonts w:ascii="Times New Roman" w:hAnsi="Times New Roman" w:cs="Times New Roman"/>
          <w:sz w:val="24"/>
          <w:szCs w:val="24"/>
        </w:rPr>
      </w:pPr>
      <w:r w:rsidRPr="00E579E7">
        <w:rPr>
          <w:rFonts w:ascii="Times New Roman" w:hAnsi="Times New Roman" w:cs="Times New Roman"/>
          <w:sz w:val="24"/>
          <w:szCs w:val="24"/>
        </w:rPr>
        <w:t>2.4 Bioclimatic Evapotranspiration and Livestock Heat Stress</w:t>
      </w:r>
    </w:p>
    <w:p w14:paraId="2F9ADFA2"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Reference evapotranspiration (ET0) and livestock thermal stress are derived using international bioclimatic standards:</w:t>
      </w:r>
    </w:p>
    <w:tbl>
      <w:tblPr>
        <w:tblW w:w="0" w:type="auto"/>
        <w:jc w:val="center"/>
        <w:tblLayout w:type="fixed"/>
        <w:tblLook w:val="04A0" w:firstRow="1" w:lastRow="0" w:firstColumn="1" w:lastColumn="0" w:noHBand="0" w:noVBand="1"/>
      </w:tblPr>
      <w:tblGrid>
        <w:gridCol w:w="9360"/>
      </w:tblGrid>
      <w:tr w:rsidR="00F75B6B" w:rsidRPr="00E579E7" w14:paraId="10A9360E" w14:textId="77777777">
        <w:trPr>
          <w:jc w:val="center"/>
        </w:trPr>
        <w:tc>
          <w:tcPr>
            <w:tcW w:w="9360" w:type="dxa"/>
            <w:shd w:val="clear" w:color="auto" w:fill="F4F8F4"/>
            <w:tcMar>
              <w:top w:w="80" w:type="dxa"/>
              <w:left w:w="140" w:type="dxa"/>
              <w:bottom w:w="80" w:type="dxa"/>
              <w:right w:w="140" w:type="dxa"/>
            </w:tcMar>
          </w:tcPr>
          <w:p w14:paraId="63820977" w14:textId="77777777" w:rsidR="00F75B6B" w:rsidRPr="00E579E7" w:rsidRDefault="00000000" w:rsidP="00E579E7">
            <w:pPr>
              <w:spacing w:before="40" w:after="60"/>
              <w:jc w:val="both"/>
              <w:rPr>
                <w:rFonts w:ascii="Times New Roman" w:hAnsi="Times New Roman" w:cs="Times New Roman"/>
                <w:sz w:val="24"/>
                <w:szCs w:val="24"/>
              </w:rPr>
            </w:pPr>
            <w:r w:rsidRPr="00E579E7">
              <w:rPr>
                <w:rFonts w:ascii="Times New Roman" w:hAnsi="Times New Roman" w:cs="Times New Roman"/>
                <w:b/>
                <w:color w:val="2E7D32"/>
                <w:sz w:val="24"/>
                <w:szCs w:val="24"/>
              </w:rPr>
              <w:t>Equation 4: FAO-56 Reference Evapotranspiration &amp; Temperature-Humidity Index (THI)</w:t>
            </w:r>
          </w:p>
          <w:p w14:paraId="0EB1FC3D" w14:textId="77777777" w:rsidR="00F75B6B" w:rsidRPr="00E579E7" w:rsidRDefault="00000000" w:rsidP="00E579E7">
            <w:pPr>
              <w:spacing w:before="20" w:after="20"/>
              <w:jc w:val="both"/>
              <w:rPr>
                <w:rFonts w:ascii="Times New Roman" w:hAnsi="Times New Roman" w:cs="Times New Roman"/>
                <w:sz w:val="24"/>
                <w:szCs w:val="24"/>
                <w:lang w:val="fr-FR"/>
              </w:rPr>
            </w:pPr>
            <w:r w:rsidRPr="00E579E7">
              <w:rPr>
                <w:rFonts w:ascii="Times New Roman" w:hAnsi="Times New Roman" w:cs="Times New Roman"/>
                <w:b/>
                <w:color w:val="0D3311"/>
                <w:sz w:val="24"/>
                <w:szCs w:val="24"/>
                <w:lang w:val="fr-FR"/>
              </w:rPr>
              <w:t xml:space="preserve">ET0 = </w:t>
            </w:r>
            <w:proofErr w:type="gramStart"/>
            <w:r w:rsidRPr="00E579E7">
              <w:rPr>
                <w:rFonts w:ascii="Times New Roman" w:hAnsi="Times New Roman" w:cs="Times New Roman"/>
                <w:b/>
                <w:color w:val="0D3311"/>
                <w:sz w:val="24"/>
                <w:szCs w:val="24"/>
                <w:lang w:val="fr-FR"/>
              </w:rPr>
              <w:t>[ 0.408</w:t>
            </w:r>
            <w:r w:rsidRPr="00E579E7">
              <w:rPr>
                <w:rFonts w:ascii="Times New Roman" w:hAnsi="Times New Roman" w:cs="Times New Roman"/>
                <w:b/>
                <w:color w:val="0D3311"/>
                <w:sz w:val="24"/>
                <w:szCs w:val="24"/>
              </w:rPr>
              <w:t>Δ</w:t>
            </w:r>
            <w:proofErr w:type="gramEnd"/>
            <w:r w:rsidRPr="00E579E7">
              <w:rPr>
                <w:rFonts w:ascii="Times New Roman" w:hAnsi="Times New Roman" w:cs="Times New Roman"/>
                <w:b/>
                <w:color w:val="0D3311"/>
                <w:sz w:val="24"/>
                <w:szCs w:val="24"/>
                <w:lang w:val="fr-FR"/>
              </w:rPr>
              <w:t xml:space="preserve">(Rn - G) + </w:t>
            </w:r>
            <w:r w:rsidRPr="00E579E7">
              <w:rPr>
                <w:rFonts w:ascii="Times New Roman" w:hAnsi="Times New Roman" w:cs="Times New Roman"/>
                <w:b/>
                <w:color w:val="0D3311"/>
                <w:sz w:val="24"/>
                <w:szCs w:val="24"/>
              </w:rPr>
              <w:t>γ</w:t>
            </w:r>
            <w:r w:rsidRPr="00E579E7">
              <w:rPr>
                <w:rFonts w:ascii="Times New Roman" w:hAnsi="Times New Roman" w:cs="Times New Roman"/>
                <w:b/>
                <w:color w:val="0D3311"/>
                <w:sz w:val="24"/>
                <w:szCs w:val="24"/>
                <w:lang w:val="fr-FR"/>
              </w:rPr>
              <w:t xml:space="preserve"> (900 / (T + 273)) u2 (es - </w:t>
            </w:r>
            <w:proofErr w:type="spellStart"/>
            <w:r w:rsidRPr="00E579E7">
              <w:rPr>
                <w:rFonts w:ascii="Times New Roman" w:hAnsi="Times New Roman" w:cs="Times New Roman"/>
                <w:b/>
                <w:color w:val="0D3311"/>
                <w:sz w:val="24"/>
                <w:szCs w:val="24"/>
                <w:lang w:val="fr-FR"/>
              </w:rPr>
              <w:t>ea</w:t>
            </w:r>
            <w:proofErr w:type="spellEnd"/>
            <w:r w:rsidRPr="00E579E7">
              <w:rPr>
                <w:rFonts w:ascii="Times New Roman" w:hAnsi="Times New Roman" w:cs="Times New Roman"/>
                <w:b/>
                <w:color w:val="0D3311"/>
                <w:sz w:val="24"/>
                <w:szCs w:val="24"/>
                <w:lang w:val="fr-FR"/>
              </w:rPr>
              <w:t xml:space="preserve">) ] / [ </w:t>
            </w:r>
            <w:r w:rsidRPr="00E579E7">
              <w:rPr>
                <w:rFonts w:ascii="Times New Roman" w:hAnsi="Times New Roman" w:cs="Times New Roman"/>
                <w:b/>
                <w:color w:val="0D3311"/>
                <w:sz w:val="24"/>
                <w:szCs w:val="24"/>
              </w:rPr>
              <w:t>Δ</w:t>
            </w:r>
            <w:r w:rsidRPr="00E579E7">
              <w:rPr>
                <w:rFonts w:ascii="Times New Roman" w:hAnsi="Times New Roman" w:cs="Times New Roman"/>
                <w:b/>
                <w:color w:val="0D3311"/>
                <w:sz w:val="24"/>
                <w:szCs w:val="24"/>
                <w:lang w:val="fr-FR"/>
              </w:rPr>
              <w:t xml:space="preserve"> + </w:t>
            </w:r>
            <w:r w:rsidRPr="00E579E7">
              <w:rPr>
                <w:rFonts w:ascii="Times New Roman" w:hAnsi="Times New Roman" w:cs="Times New Roman"/>
                <w:b/>
                <w:color w:val="0D3311"/>
                <w:sz w:val="24"/>
                <w:szCs w:val="24"/>
              </w:rPr>
              <w:t>γ</w:t>
            </w:r>
            <w:r w:rsidRPr="00E579E7">
              <w:rPr>
                <w:rFonts w:ascii="Times New Roman" w:hAnsi="Times New Roman" w:cs="Times New Roman"/>
                <w:b/>
                <w:color w:val="0D3311"/>
                <w:sz w:val="24"/>
                <w:szCs w:val="24"/>
                <w:lang w:val="fr-FR"/>
              </w:rPr>
              <w:t xml:space="preserve"> (1 + 0.34 u2) ]</w:t>
            </w:r>
          </w:p>
          <w:p w14:paraId="5D267A1D" w14:textId="77777777" w:rsidR="00F75B6B" w:rsidRPr="00E579E7" w:rsidRDefault="00000000" w:rsidP="00E579E7">
            <w:pPr>
              <w:spacing w:before="20" w:after="20"/>
              <w:jc w:val="both"/>
              <w:rPr>
                <w:rFonts w:ascii="Times New Roman" w:hAnsi="Times New Roman" w:cs="Times New Roman"/>
                <w:sz w:val="24"/>
                <w:szCs w:val="24"/>
                <w:lang w:val="fr-FR"/>
              </w:rPr>
            </w:pPr>
            <w:r w:rsidRPr="00E579E7">
              <w:rPr>
                <w:rFonts w:ascii="Times New Roman" w:hAnsi="Times New Roman" w:cs="Times New Roman"/>
                <w:b/>
                <w:color w:val="0D3311"/>
                <w:sz w:val="24"/>
                <w:szCs w:val="24"/>
                <w:lang w:val="fr-FR"/>
              </w:rPr>
              <w:t xml:space="preserve">THI = 0.8 </w:t>
            </w:r>
            <w:proofErr w:type="spellStart"/>
            <w:r w:rsidRPr="00E579E7">
              <w:rPr>
                <w:rFonts w:ascii="Times New Roman" w:hAnsi="Times New Roman" w:cs="Times New Roman"/>
                <w:b/>
                <w:color w:val="0D3311"/>
                <w:sz w:val="24"/>
                <w:szCs w:val="24"/>
                <w:lang w:val="fr-FR"/>
              </w:rPr>
              <w:t>T_db</w:t>
            </w:r>
            <w:proofErr w:type="spellEnd"/>
            <w:r w:rsidRPr="00E579E7">
              <w:rPr>
                <w:rFonts w:ascii="Times New Roman" w:hAnsi="Times New Roman" w:cs="Times New Roman"/>
                <w:b/>
                <w:color w:val="0D3311"/>
                <w:sz w:val="24"/>
                <w:szCs w:val="24"/>
                <w:lang w:val="fr-FR"/>
              </w:rPr>
              <w:t xml:space="preserve"> + (RH / </w:t>
            </w:r>
            <w:proofErr w:type="gramStart"/>
            <w:r w:rsidRPr="00E579E7">
              <w:rPr>
                <w:rFonts w:ascii="Times New Roman" w:hAnsi="Times New Roman" w:cs="Times New Roman"/>
                <w:b/>
                <w:color w:val="0D3311"/>
                <w:sz w:val="24"/>
                <w:szCs w:val="24"/>
                <w:lang w:val="fr-FR"/>
              </w:rPr>
              <w:t>100)(</w:t>
            </w:r>
            <w:proofErr w:type="spellStart"/>
            <w:proofErr w:type="gramEnd"/>
            <w:r w:rsidRPr="00E579E7">
              <w:rPr>
                <w:rFonts w:ascii="Times New Roman" w:hAnsi="Times New Roman" w:cs="Times New Roman"/>
                <w:b/>
                <w:color w:val="0D3311"/>
                <w:sz w:val="24"/>
                <w:szCs w:val="24"/>
                <w:lang w:val="fr-FR"/>
              </w:rPr>
              <w:t>T_db</w:t>
            </w:r>
            <w:proofErr w:type="spellEnd"/>
            <w:r w:rsidRPr="00E579E7">
              <w:rPr>
                <w:rFonts w:ascii="Times New Roman" w:hAnsi="Times New Roman" w:cs="Times New Roman"/>
                <w:b/>
                <w:color w:val="0D3311"/>
                <w:sz w:val="24"/>
                <w:szCs w:val="24"/>
                <w:lang w:val="fr-FR"/>
              </w:rPr>
              <w:t xml:space="preserve"> - 14.4) + 46.4</w:t>
            </w:r>
          </w:p>
          <w:p w14:paraId="28278F17" w14:textId="77777777" w:rsidR="00F75B6B" w:rsidRPr="00E579E7" w:rsidRDefault="00000000" w:rsidP="00E579E7">
            <w:pPr>
              <w:spacing w:before="60" w:after="40"/>
              <w:jc w:val="both"/>
              <w:rPr>
                <w:rFonts w:ascii="Times New Roman" w:hAnsi="Times New Roman" w:cs="Times New Roman"/>
                <w:sz w:val="24"/>
                <w:szCs w:val="24"/>
              </w:rPr>
            </w:pPr>
            <w:r w:rsidRPr="00E579E7">
              <w:rPr>
                <w:rFonts w:ascii="Times New Roman" w:hAnsi="Times New Roman" w:cs="Times New Roman"/>
                <w:i/>
                <w:color w:val="555555"/>
                <w:sz w:val="24"/>
                <w:szCs w:val="24"/>
              </w:rPr>
              <w:t>Calculates crop water requirement (ET0 in mm/day) and livestock thermal stress thresholds (Normal &lt; 72, Moderate 72-78, Severe 79-88, Emergency ≥ 89).</w:t>
            </w:r>
          </w:p>
        </w:tc>
      </w:tr>
    </w:tbl>
    <w:p w14:paraId="468B829D" w14:textId="77777777" w:rsidR="00F75B6B" w:rsidRPr="00E579E7" w:rsidRDefault="00F75B6B" w:rsidP="00E579E7">
      <w:pPr>
        <w:spacing w:after="80"/>
        <w:jc w:val="both"/>
        <w:rPr>
          <w:rFonts w:ascii="Times New Roman" w:hAnsi="Times New Roman" w:cs="Times New Roman"/>
          <w:sz w:val="24"/>
          <w:szCs w:val="24"/>
        </w:rPr>
      </w:pPr>
    </w:p>
    <w:p w14:paraId="711E9E78"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Mathematical Interpretation: The FAO-56 Penman-Monteith equation computes exact daily evaporative loss from solar radiation, air temperature, humidity, and wind speed. The THI equation evaluates whether dairy cattle, sheep, or poultry are suffering physiological heat stress, triggering automated fan/sprinkler and electrolyte recommendations in AgriIntel.</w:t>
      </w:r>
    </w:p>
    <w:p w14:paraId="3EB24ED7" w14:textId="77777777" w:rsidR="00F75B6B" w:rsidRPr="00E579E7" w:rsidRDefault="00000000" w:rsidP="00E579E7">
      <w:pPr>
        <w:pStyle w:val="Heading2"/>
        <w:jc w:val="both"/>
        <w:rPr>
          <w:rFonts w:ascii="Times New Roman" w:hAnsi="Times New Roman" w:cs="Times New Roman"/>
          <w:sz w:val="24"/>
          <w:szCs w:val="24"/>
        </w:rPr>
      </w:pPr>
      <w:r w:rsidRPr="00E579E7">
        <w:rPr>
          <w:rFonts w:ascii="Times New Roman" w:hAnsi="Times New Roman" w:cs="Times New Roman"/>
          <w:sz w:val="24"/>
          <w:szCs w:val="24"/>
        </w:rPr>
        <w:t>2.5 The 12-Agent Autonomous Orchestration Layer</w:t>
      </w:r>
    </w:p>
    <w:p w14:paraId="598761A6"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 xml:space="preserve">Tier 2 coordinates 12 specialized autonomous agent personas: Veterinary Pathology &amp; Animal Epidemiology; Breeding Herd Health &amp; Reproductive Physiology; Agro-Climatology &amp; Vector Dynamics; Preventive Biosecurity &amp; Vaccination Protocols; Herd Economics &amp; Production </w:t>
      </w:r>
      <w:r w:rsidRPr="00E579E7">
        <w:rPr>
          <w:rFonts w:ascii="Times New Roman" w:hAnsi="Times New Roman" w:cs="Times New Roman"/>
          <w:sz w:val="24"/>
          <w:szCs w:val="24"/>
        </w:rPr>
        <w:lastRenderedPageBreak/>
        <w:t>Loss; Institutional Evidence &amp; Diagnostic Standards; Crop Science &amp; Agronomy; Soil Chemistry &amp; Edaphology; Agricultural Policy &amp; Fiscal Simulator; Academic Research Scientist &amp; Proposal Agent; Socratic Thesis Supervisor &amp; Defense Tutor; and Multimodal Extension &amp; Vernacular Audio Agent.</w:t>
      </w:r>
    </w:p>
    <w:p w14:paraId="39BA0B73" w14:textId="77777777" w:rsidR="00F75B6B" w:rsidRPr="00E579E7" w:rsidRDefault="00000000" w:rsidP="00E579E7">
      <w:pPr>
        <w:pStyle w:val="Heading2"/>
        <w:jc w:val="both"/>
        <w:rPr>
          <w:rFonts w:ascii="Times New Roman" w:hAnsi="Times New Roman" w:cs="Times New Roman"/>
          <w:sz w:val="24"/>
          <w:szCs w:val="24"/>
        </w:rPr>
      </w:pPr>
      <w:r w:rsidRPr="00E579E7">
        <w:rPr>
          <w:rFonts w:ascii="Times New Roman" w:hAnsi="Times New Roman" w:cs="Times New Roman"/>
          <w:sz w:val="24"/>
          <w:szCs w:val="24"/>
        </w:rPr>
        <w:t>2.6 Pan-African Institutional Compliance &amp; Standards Alignment</w:t>
      </w:r>
    </w:p>
    <w:p w14:paraId="31561511"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A foundational strength of AgriIntel is that its algorithms, evidence matrices, and diagnostic decision trees are formally grounded in the published guidelines, standard operating procedures (SOPs), and regulatory frameworks of premier agricultural institutions:</w:t>
      </w:r>
    </w:p>
    <w:tbl>
      <w:tblPr>
        <w:tblW w:w="0" w:type="auto"/>
        <w:jc w:val="center"/>
        <w:tblLayout w:type="fixed"/>
        <w:tblLook w:val="04A0" w:firstRow="1" w:lastRow="0" w:firstColumn="1" w:lastColumn="0" w:noHBand="0" w:noVBand="1"/>
      </w:tblPr>
      <w:tblGrid>
        <w:gridCol w:w="2592"/>
        <w:gridCol w:w="3744"/>
        <w:gridCol w:w="3024"/>
      </w:tblGrid>
      <w:tr w:rsidR="00F75B6B" w:rsidRPr="00E579E7" w14:paraId="646BC1E7" w14:textId="77777777">
        <w:trPr>
          <w:jc w:val="center"/>
        </w:trPr>
        <w:tc>
          <w:tcPr>
            <w:tcW w:w="2592" w:type="dxa"/>
            <w:shd w:val="clear" w:color="auto" w:fill="1B5E20"/>
            <w:tcMar>
              <w:top w:w="100" w:type="dxa"/>
              <w:left w:w="100" w:type="dxa"/>
              <w:bottom w:w="100" w:type="dxa"/>
              <w:right w:w="100" w:type="dxa"/>
            </w:tcMar>
          </w:tcPr>
          <w:p w14:paraId="4E73024B"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b/>
                <w:color w:val="FFFFFF"/>
                <w:sz w:val="24"/>
                <w:szCs w:val="24"/>
              </w:rPr>
              <w:t>Institution &amp; Acronym</w:t>
            </w:r>
          </w:p>
        </w:tc>
        <w:tc>
          <w:tcPr>
            <w:tcW w:w="3744" w:type="dxa"/>
            <w:shd w:val="clear" w:color="auto" w:fill="1B5E20"/>
            <w:tcMar>
              <w:top w:w="100" w:type="dxa"/>
              <w:left w:w="100" w:type="dxa"/>
              <w:bottom w:w="100" w:type="dxa"/>
              <w:right w:w="100" w:type="dxa"/>
            </w:tcMar>
          </w:tcPr>
          <w:p w14:paraId="2D2BDE46"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b/>
                <w:color w:val="FFFFFF"/>
                <w:sz w:val="24"/>
                <w:szCs w:val="24"/>
              </w:rPr>
              <w:t>Regulatory Standard / Field Manual</w:t>
            </w:r>
          </w:p>
        </w:tc>
        <w:tc>
          <w:tcPr>
            <w:tcW w:w="3024" w:type="dxa"/>
            <w:shd w:val="clear" w:color="auto" w:fill="1B5E20"/>
            <w:tcMar>
              <w:top w:w="100" w:type="dxa"/>
              <w:left w:w="100" w:type="dxa"/>
              <w:bottom w:w="100" w:type="dxa"/>
              <w:right w:w="100" w:type="dxa"/>
            </w:tcMar>
          </w:tcPr>
          <w:p w14:paraId="06FAF3E8"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b/>
                <w:color w:val="FFFFFF"/>
                <w:sz w:val="24"/>
                <w:szCs w:val="24"/>
              </w:rPr>
              <w:t>AgriIntel Implementation Module</w:t>
            </w:r>
          </w:p>
        </w:tc>
      </w:tr>
      <w:tr w:rsidR="00F75B6B" w:rsidRPr="00E579E7" w14:paraId="75AE6EBA" w14:textId="77777777">
        <w:trPr>
          <w:jc w:val="center"/>
        </w:trPr>
        <w:tc>
          <w:tcPr>
            <w:tcW w:w="2592" w:type="dxa"/>
            <w:shd w:val="clear" w:color="auto" w:fill="FFFFFF"/>
            <w:tcMar>
              <w:top w:w="70" w:type="dxa"/>
              <w:left w:w="90" w:type="dxa"/>
              <w:bottom w:w="70" w:type="dxa"/>
              <w:right w:w="90" w:type="dxa"/>
            </w:tcMar>
          </w:tcPr>
          <w:p w14:paraId="14FAA4B8"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t>CGIAR AI Hub &amp; Biometrics Working Group</w:t>
            </w:r>
          </w:p>
        </w:tc>
        <w:tc>
          <w:tcPr>
            <w:tcW w:w="3744" w:type="dxa"/>
            <w:shd w:val="clear" w:color="auto" w:fill="FFFFFF"/>
            <w:tcMar>
              <w:top w:w="70" w:type="dxa"/>
              <w:left w:w="90" w:type="dxa"/>
              <w:bottom w:w="70" w:type="dxa"/>
              <w:right w:w="90" w:type="dxa"/>
            </w:tcMar>
          </w:tcPr>
          <w:p w14:paraId="6E8DEC99"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t>Ethical AI in Agriculture; SOPs for Multi-Environment Trials (MET)</w:t>
            </w:r>
          </w:p>
        </w:tc>
        <w:tc>
          <w:tcPr>
            <w:tcW w:w="3024" w:type="dxa"/>
            <w:shd w:val="clear" w:color="auto" w:fill="FFFFFF"/>
            <w:tcMar>
              <w:top w:w="70" w:type="dxa"/>
              <w:left w:w="90" w:type="dxa"/>
              <w:bottom w:w="70" w:type="dxa"/>
              <w:right w:w="90" w:type="dxa"/>
            </w:tcMar>
          </w:tcPr>
          <w:p w14:paraId="55BAADE8"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t>Reproducible R (agricolae) &amp; Python (statsmodels) code export; DMRT transitivity.</w:t>
            </w:r>
          </w:p>
        </w:tc>
      </w:tr>
      <w:tr w:rsidR="00F75B6B" w:rsidRPr="00E579E7" w14:paraId="373FA276" w14:textId="77777777">
        <w:trPr>
          <w:jc w:val="center"/>
        </w:trPr>
        <w:tc>
          <w:tcPr>
            <w:tcW w:w="2592" w:type="dxa"/>
            <w:shd w:val="clear" w:color="auto" w:fill="F1F8F2"/>
            <w:tcMar>
              <w:top w:w="70" w:type="dxa"/>
              <w:left w:w="90" w:type="dxa"/>
              <w:bottom w:w="70" w:type="dxa"/>
              <w:right w:w="90" w:type="dxa"/>
            </w:tcMar>
          </w:tcPr>
          <w:p w14:paraId="3FDAC06B"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t>IITA (Ibadan, Nigeria)</w:t>
            </w:r>
          </w:p>
        </w:tc>
        <w:tc>
          <w:tcPr>
            <w:tcW w:w="3744" w:type="dxa"/>
            <w:shd w:val="clear" w:color="auto" w:fill="F1F8F2"/>
            <w:tcMar>
              <w:top w:w="70" w:type="dxa"/>
              <w:left w:w="90" w:type="dxa"/>
              <w:bottom w:w="70" w:type="dxa"/>
              <w:right w:w="90" w:type="dxa"/>
            </w:tcMar>
          </w:tcPr>
          <w:p w14:paraId="4614A39C"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t>NextGen Cassava Breeding Protocols; SAMMAZ Drought-Tolerant Maize Guidelines</w:t>
            </w:r>
          </w:p>
        </w:tc>
        <w:tc>
          <w:tcPr>
            <w:tcW w:w="3024" w:type="dxa"/>
            <w:shd w:val="clear" w:color="auto" w:fill="F1F8F2"/>
            <w:tcMar>
              <w:top w:w="70" w:type="dxa"/>
              <w:left w:w="90" w:type="dxa"/>
              <w:bottom w:w="70" w:type="dxa"/>
              <w:right w:w="90" w:type="dxa"/>
            </w:tcMar>
          </w:tcPr>
          <w:p w14:paraId="20D5703D"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t>Cassava Mosaic (CMD2/CBSD) scoring; ISFM stoichiometric organo-mineral balancing.</w:t>
            </w:r>
          </w:p>
        </w:tc>
      </w:tr>
      <w:tr w:rsidR="00F75B6B" w:rsidRPr="00E579E7" w14:paraId="1D91CDE0" w14:textId="77777777">
        <w:trPr>
          <w:jc w:val="center"/>
        </w:trPr>
        <w:tc>
          <w:tcPr>
            <w:tcW w:w="2592" w:type="dxa"/>
            <w:shd w:val="clear" w:color="auto" w:fill="FFFFFF"/>
            <w:tcMar>
              <w:top w:w="70" w:type="dxa"/>
              <w:left w:w="90" w:type="dxa"/>
              <w:bottom w:w="70" w:type="dxa"/>
              <w:right w:w="90" w:type="dxa"/>
            </w:tcMar>
          </w:tcPr>
          <w:p w14:paraId="1F485B97"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t>ILRI (Kenya / Ethiopia)</w:t>
            </w:r>
          </w:p>
        </w:tc>
        <w:tc>
          <w:tcPr>
            <w:tcW w:w="3744" w:type="dxa"/>
            <w:shd w:val="clear" w:color="auto" w:fill="FFFFFF"/>
            <w:tcMar>
              <w:top w:w="70" w:type="dxa"/>
              <w:left w:w="90" w:type="dxa"/>
              <w:bottom w:w="70" w:type="dxa"/>
              <w:right w:w="90" w:type="dxa"/>
            </w:tcMar>
          </w:tcPr>
          <w:p w14:paraId="35EE77B6"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t>African Dairy Genetic Gains (ADGG); Ruminant Heat Tolerance; Trypanotolerance</w:t>
            </w:r>
          </w:p>
        </w:tc>
        <w:tc>
          <w:tcPr>
            <w:tcW w:w="3024" w:type="dxa"/>
            <w:shd w:val="clear" w:color="auto" w:fill="FFFFFF"/>
            <w:tcMar>
              <w:top w:w="70" w:type="dxa"/>
              <w:left w:w="90" w:type="dxa"/>
              <w:bottom w:w="70" w:type="dxa"/>
              <w:right w:w="90" w:type="dxa"/>
            </w:tcMar>
          </w:tcPr>
          <w:p w14:paraId="18736260"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t>Henderson BLUP MME solver; THI thermal stress; PCV &lt;25% anemia diagnostic cutoff.</w:t>
            </w:r>
          </w:p>
        </w:tc>
      </w:tr>
      <w:tr w:rsidR="00F75B6B" w:rsidRPr="00E579E7" w14:paraId="3E07D56E" w14:textId="77777777">
        <w:trPr>
          <w:jc w:val="center"/>
        </w:trPr>
        <w:tc>
          <w:tcPr>
            <w:tcW w:w="2592" w:type="dxa"/>
            <w:shd w:val="clear" w:color="auto" w:fill="F1F8F2"/>
            <w:tcMar>
              <w:top w:w="70" w:type="dxa"/>
              <w:left w:w="90" w:type="dxa"/>
              <w:bottom w:w="70" w:type="dxa"/>
              <w:right w:w="90" w:type="dxa"/>
            </w:tcMar>
          </w:tcPr>
          <w:p w14:paraId="7D93CB69"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t>IFPRI (Washington / Africa)</w:t>
            </w:r>
          </w:p>
        </w:tc>
        <w:tc>
          <w:tcPr>
            <w:tcW w:w="3744" w:type="dxa"/>
            <w:shd w:val="clear" w:color="auto" w:fill="F1F8F2"/>
            <w:tcMar>
              <w:top w:w="70" w:type="dxa"/>
              <w:left w:w="90" w:type="dxa"/>
              <w:bottom w:w="70" w:type="dxa"/>
              <w:right w:w="90" w:type="dxa"/>
            </w:tcMar>
          </w:tcPr>
          <w:p w14:paraId="29EF6E76"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t>Agricultural Investment Prioritization; Input Subsidy Evaluation Models</w:t>
            </w:r>
          </w:p>
        </w:tc>
        <w:tc>
          <w:tcPr>
            <w:tcW w:w="3024" w:type="dxa"/>
            <w:shd w:val="clear" w:color="auto" w:fill="F1F8F2"/>
            <w:tcMar>
              <w:top w:w="70" w:type="dxa"/>
              <w:left w:w="90" w:type="dxa"/>
              <w:bottom w:w="70" w:type="dxa"/>
              <w:right w:w="90" w:type="dxa"/>
            </w:tcMar>
          </w:tcPr>
          <w:p w14:paraId="616D6D52"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t>Macro Benefit-Cost Ratio (BCR); extreme poverty ($2.15/day) transition dynamics.</w:t>
            </w:r>
          </w:p>
        </w:tc>
      </w:tr>
      <w:tr w:rsidR="00F75B6B" w:rsidRPr="00E579E7" w14:paraId="70208C46" w14:textId="77777777">
        <w:trPr>
          <w:jc w:val="center"/>
        </w:trPr>
        <w:tc>
          <w:tcPr>
            <w:tcW w:w="2592" w:type="dxa"/>
            <w:shd w:val="clear" w:color="auto" w:fill="FFFFFF"/>
            <w:tcMar>
              <w:top w:w="70" w:type="dxa"/>
              <w:left w:w="90" w:type="dxa"/>
              <w:bottom w:w="70" w:type="dxa"/>
              <w:right w:w="90" w:type="dxa"/>
            </w:tcMar>
          </w:tcPr>
          <w:p w14:paraId="4D93B35A"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t>FAO (Rome, United Nations)</w:t>
            </w:r>
          </w:p>
        </w:tc>
        <w:tc>
          <w:tcPr>
            <w:tcW w:w="3744" w:type="dxa"/>
            <w:shd w:val="clear" w:color="auto" w:fill="FFFFFF"/>
            <w:tcMar>
              <w:top w:w="70" w:type="dxa"/>
              <w:left w:w="90" w:type="dxa"/>
              <w:bottom w:w="70" w:type="dxa"/>
              <w:right w:w="90" w:type="dxa"/>
            </w:tcMar>
          </w:tcPr>
          <w:p w14:paraId="36546E18"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t>FAO-56 Penman-Monteith Evapotranspiration; Animal Health Manuals</w:t>
            </w:r>
          </w:p>
        </w:tc>
        <w:tc>
          <w:tcPr>
            <w:tcW w:w="3024" w:type="dxa"/>
            <w:shd w:val="clear" w:color="auto" w:fill="FFFFFF"/>
            <w:tcMar>
              <w:top w:w="70" w:type="dxa"/>
              <w:left w:w="90" w:type="dxa"/>
              <w:bottom w:w="70" w:type="dxa"/>
              <w:right w:w="90" w:type="dxa"/>
            </w:tcMar>
          </w:tcPr>
          <w:p w14:paraId="601065DC"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t>Crop water balance (ET0); epizootic disease differential diagnoses (ASF, PPR, CBPP).</w:t>
            </w:r>
          </w:p>
        </w:tc>
      </w:tr>
      <w:tr w:rsidR="00F75B6B" w:rsidRPr="00E579E7" w14:paraId="796CC6A6" w14:textId="77777777">
        <w:trPr>
          <w:jc w:val="center"/>
        </w:trPr>
        <w:tc>
          <w:tcPr>
            <w:tcW w:w="2592" w:type="dxa"/>
            <w:shd w:val="clear" w:color="auto" w:fill="F1F8F2"/>
            <w:tcMar>
              <w:top w:w="70" w:type="dxa"/>
              <w:left w:w="90" w:type="dxa"/>
              <w:bottom w:w="70" w:type="dxa"/>
              <w:right w:w="90" w:type="dxa"/>
            </w:tcMar>
          </w:tcPr>
          <w:p w14:paraId="2BB25417"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t>FUNAAB (Abeokuta, Nigeria)</w:t>
            </w:r>
          </w:p>
        </w:tc>
        <w:tc>
          <w:tcPr>
            <w:tcW w:w="3744" w:type="dxa"/>
            <w:shd w:val="clear" w:color="auto" w:fill="F1F8F2"/>
            <w:tcMar>
              <w:top w:w="70" w:type="dxa"/>
              <w:left w:w="90" w:type="dxa"/>
              <w:bottom w:w="70" w:type="dxa"/>
              <w:right w:w="90" w:type="dxa"/>
            </w:tcMar>
          </w:tcPr>
          <w:p w14:paraId="7350B72A"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t>Postgraduate Thesis Biometrics Standards; FUNAAB-Alpha Chicken &amp; WAD Goat</w:t>
            </w:r>
          </w:p>
        </w:tc>
        <w:tc>
          <w:tcPr>
            <w:tcW w:w="3024" w:type="dxa"/>
            <w:shd w:val="clear" w:color="auto" w:fill="F1F8F2"/>
            <w:tcMar>
              <w:top w:w="70" w:type="dxa"/>
              <w:left w:w="90" w:type="dxa"/>
              <w:bottom w:w="70" w:type="dxa"/>
              <w:right w:w="90" w:type="dxa"/>
            </w:tcMar>
          </w:tcPr>
          <w:p w14:paraId="7A8FCB07"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t>Socratic oral defense simulation; dual-purpose tropical poultry genetic ranking.</w:t>
            </w:r>
          </w:p>
        </w:tc>
      </w:tr>
      <w:tr w:rsidR="00F75B6B" w:rsidRPr="00E579E7" w14:paraId="765A03C8" w14:textId="77777777">
        <w:trPr>
          <w:jc w:val="center"/>
        </w:trPr>
        <w:tc>
          <w:tcPr>
            <w:tcW w:w="2592" w:type="dxa"/>
            <w:shd w:val="clear" w:color="auto" w:fill="FFFFFF"/>
            <w:tcMar>
              <w:top w:w="70" w:type="dxa"/>
              <w:left w:w="90" w:type="dxa"/>
              <w:bottom w:w="70" w:type="dxa"/>
              <w:right w:w="90" w:type="dxa"/>
            </w:tcMar>
          </w:tcPr>
          <w:p w14:paraId="5D0DB8ED"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lastRenderedPageBreak/>
              <w:t>NIHORT (Ibadan, Nigeria)</w:t>
            </w:r>
          </w:p>
        </w:tc>
        <w:tc>
          <w:tcPr>
            <w:tcW w:w="3744" w:type="dxa"/>
            <w:shd w:val="clear" w:color="auto" w:fill="FFFFFF"/>
            <w:tcMar>
              <w:top w:w="70" w:type="dxa"/>
              <w:left w:w="90" w:type="dxa"/>
              <w:bottom w:w="70" w:type="dxa"/>
              <w:right w:w="90" w:type="dxa"/>
            </w:tcMar>
          </w:tcPr>
          <w:p w14:paraId="727C4837"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t>Horticultural Biometrics Standards; Indigenous Leafy Vegetable Field Manuals</w:t>
            </w:r>
          </w:p>
        </w:tc>
        <w:tc>
          <w:tcPr>
            <w:tcW w:w="3024" w:type="dxa"/>
            <w:shd w:val="clear" w:color="auto" w:fill="FFFFFF"/>
            <w:tcMar>
              <w:top w:w="70" w:type="dxa"/>
              <w:left w:w="90" w:type="dxa"/>
              <w:bottom w:w="70" w:type="dxa"/>
              <w:right w:w="90" w:type="dxa"/>
            </w:tcMar>
          </w:tcPr>
          <w:p w14:paraId="24EB6A4E"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t>Fruit-cracking &amp; pericarp firmness scoring; organo-mineral soil amendment ratios.</w:t>
            </w:r>
          </w:p>
        </w:tc>
      </w:tr>
      <w:tr w:rsidR="00F75B6B" w:rsidRPr="00E579E7" w14:paraId="450FD4D6" w14:textId="77777777">
        <w:trPr>
          <w:jc w:val="center"/>
        </w:trPr>
        <w:tc>
          <w:tcPr>
            <w:tcW w:w="2592" w:type="dxa"/>
            <w:shd w:val="clear" w:color="auto" w:fill="F1F8F2"/>
            <w:tcMar>
              <w:top w:w="70" w:type="dxa"/>
              <w:left w:w="90" w:type="dxa"/>
              <w:bottom w:w="70" w:type="dxa"/>
              <w:right w:w="90" w:type="dxa"/>
            </w:tcMar>
          </w:tcPr>
          <w:p w14:paraId="764FFA80"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t>NVRI Vom &amp; NAPRI Shika</w:t>
            </w:r>
          </w:p>
        </w:tc>
        <w:tc>
          <w:tcPr>
            <w:tcW w:w="3744" w:type="dxa"/>
            <w:shd w:val="clear" w:color="auto" w:fill="F1F8F2"/>
            <w:tcMar>
              <w:top w:w="70" w:type="dxa"/>
              <w:left w:w="90" w:type="dxa"/>
              <w:bottom w:w="70" w:type="dxa"/>
              <w:right w:w="90" w:type="dxa"/>
            </w:tcMar>
          </w:tcPr>
          <w:p w14:paraId="754A0199"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t>National Livestock Vaccine Schedules; Ruminant Estrus Synchronization</w:t>
            </w:r>
          </w:p>
        </w:tc>
        <w:tc>
          <w:tcPr>
            <w:tcW w:w="3024" w:type="dxa"/>
            <w:shd w:val="clear" w:color="auto" w:fill="F1F8F2"/>
            <w:tcMar>
              <w:top w:w="70" w:type="dxa"/>
              <w:left w:w="90" w:type="dxa"/>
              <w:bottom w:w="70" w:type="dxa"/>
              <w:right w:w="90" w:type="dxa"/>
            </w:tcMar>
          </w:tcPr>
          <w:p w14:paraId="332C4996" w14:textId="77777777" w:rsidR="00F75B6B" w:rsidRPr="00E579E7" w:rsidRDefault="00000000" w:rsidP="00E579E7">
            <w:pPr>
              <w:rPr>
                <w:rFonts w:ascii="Times New Roman" w:hAnsi="Times New Roman" w:cs="Times New Roman"/>
                <w:sz w:val="24"/>
                <w:szCs w:val="24"/>
              </w:rPr>
            </w:pPr>
            <w:r w:rsidRPr="00E579E7">
              <w:rPr>
                <w:rFonts w:ascii="Times New Roman" w:hAnsi="Times New Roman" w:cs="Times New Roman"/>
                <w:sz w:val="24"/>
                <w:szCs w:val="24"/>
              </w:rPr>
              <w:t>Lyophilized vaccine cold-chain schedules; estrus cycle artificial insemination timing.</w:t>
            </w:r>
          </w:p>
        </w:tc>
      </w:tr>
    </w:tbl>
    <w:p w14:paraId="0B64EB50" w14:textId="77777777" w:rsidR="00F75B6B" w:rsidRPr="00E579E7" w:rsidRDefault="00F75B6B" w:rsidP="00E579E7">
      <w:pPr>
        <w:jc w:val="both"/>
        <w:rPr>
          <w:rFonts w:ascii="Times New Roman" w:hAnsi="Times New Roman" w:cs="Times New Roman"/>
          <w:sz w:val="24"/>
          <w:szCs w:val="24"/>
        </w:rPr>
      </w:pPr>
    </w:p>
    <w:p w14:paraId="39A4202C" w14:textId="77777777" w:rsidR="00F75B6B" w:rsidRPr="00E579E7" w:rsidRDefault="00000000" w:rsidP="00E579E7">
      <w:pPr>
        <w:spacing w:after="80"/>
        <w:jc w:val="both"/>
        <w:rPr>
          <w:rFonts w:ascii="Times New Roman" w:hAnsi="Times New Roman" w:cs="Times New Roman"/>
          <w:sz w:val="24"/>
          <w:szCs w:val="24"/>
        </w:rPr>
      </w:pPr>
      <w:r w:rsidRPr="00E579E7">
        <w:rPr>
          <w:rFonts w:ascii="Times New Roman" w:hAnsi="Times New Roman" w:cs="Times New Roman"/>
          <w:b/>
          <w:color w:val="1B5E20"/>
          <w:sz w:val="24"/>
          <w:szCs w:val="24"/>
        </w:rPr>
        <w:t xml:space="preserve">1. CGIAR AI Hub &amp; Biometrics Working Group (CGIAR, 2021; CGIAR AI Hub, 2023): </w:t>
      </w:r>
      <w:r w:rsidRPr="00E579E7">
        <w:rPr>
          <w:rFonts w:ascii="Times New Roman" w:hAnsi="Times New Roman" w:cs="Times New Roman"/>
          <w:sz w:val="24"/>
          <w:szCs w:val="24"/>
        </w:rPr>
        <w:t>AgriIntel adheres strictly to the CGIAR Ethical AI Framework for Smallholder Systems (CGIAR, 2021). It enforces zero hallucination in statistical calculations by ensuring that all ANOVA, F-tests, and DMRT letter assignments are computed through deterministic local mathematical libraries rather than generative text completions, following the biometric standard operating procedures established for multi-environment trials (CGIAR AI Hub, 2023). All analyses generate fully reproducible R (agricolae) and Python (statsmodels) code, adhering to FAIR (Findable, Accessible, Interoperable, and Reusable) scientific data standards.</w:t>
      </w:r>
    </w:p>
    <w:p w14:paraId="68731618" w14:textId="77777777" w:rsidR="00F75B6B" w:rsidRPr="00E579E7" w:rsidRDefault="00000000" w:rsidP="00E579E7">
      <w:pPr>
        <w:spacing w:after="80"/>
        <w:jc w:val="both"/>
        <w:rPr>
          <w:rFonts w:ascii="Times New Roman" w:hAnsi="Times New Roman" w:cs="Times New Roman"/>
          <w:sz w:val="24"/>
          <w:szCs w:val="24"/>
        </w:rPr>
      </w:pPr>
      <w:r w:rsidRPr="00E579E7">
        <w:rPr>
          <w:rFonts w:ascii="Times New Roman" w:hAnsi="Times New Roman" w:cs="Times New Roman"/>
          <w:b/>
          <w:color w:val="1B5E20"/>
          <w:sz w:val="24"/>
          <w:szCs w:val="24"/>
        </w:rPr>
        <w:t xml:space="preserve">2. IITA (International Institute of Tropical Agriculture) (IITA, 2020; Sanginga &amp; Mbabu, 2015; Vanlauwe et al., 2021): </w:t>
      </w:r>
      <w:r w:rsidRPr="00E579E7">
        <w:rPr>
          <w:rFonts w:ascii="Times New Roman" w:hAnsi="Times New Roman" w:cs="Times New Roman"/>
          <w:sz w:val="24"/>
          <w:szCs w:val="24"/>
        </w:rPr>
        <w:t>AgriIntel incorporates IITA’s standardized protocols for root, tuber, and cereal evaluation. For cassava phenotyping, it embeds the 1–5 visual symptom severity indexing scales for Cassava Mosaic Begomoviruses (CMD</w:t>
      </w:r>
      <w:proofErr w:type="gramStart"/>
      <w:r w:rsidRPr="00E579E7">
        <w:rPr>
          <w:rFonts w:ascii="Times New Roman" w:hAnsi="Times New Roman" w:cs="Times New Roman"/>
          <w:sz w:val="24"/>
          <w:szCs w:val="24"/>
        </w:rPr>
        <w:t>)</w:t>
      </w:r>
      <w:proofErr w:type="gramEnd"/>
      <w:r w:rsidRPr="00E579E7">
        <w:rPr>
          <w:rFonts w:ascii="Times New Roman" w:hAnsi="Times New Roman" w:cs="Times New Roman"/>
          <w:sz w:val="24"/>
          <w:szCs w:val="24"/>
        </w:rPr>
        <w:t xml:space="preserve"> and Cassava Brown Streak Disease (CBSD) developed under the NextGen Cassava project (IITA, 2020; Sanginga &amp; Mbabu, 2015). For maize, it benchmarks cultivar performance using IITA/IAR SAMMAZ drought-tolerant trial guidelines and incorporates Integrated Soil Fertility Management (ISFM) principles combining inorganic fertilizers with organic amendments and local lime amendments (Vanlauwe et al., 2021).</w:t>
      </w:r>
    </w:p>
    <w:p w14:paraId="222375F4" w14:textId="77777777" w:rsidR="00F75B6B" w:rsidRPr="00E579E7" w:rsidRDefault="00000000" w:rsidP="00E579E7">
      <w:pPr>
        <w:spacing w:after="80"/>
        <w:jc w:val="both"/>
        <w:rPr>
          <w:rFonts w:ascii="Times New Roman" w:hAnsi="Times New Roman" w:cs="Times New Roman"/>
          <w:sz w:val="24"/>
          <w:szCs w:val="24"/>
        </w:rPr>
      </w:pPr>
      <w:r w:rsidRPr="00E579E7">
        <w:rPr>
          <w:rFonts w:ascii="Times New Roman" w:hAnsi="Times New Roman" w:cs="Times New Roman"/>
          <w:b/>
          <w:color w:val="1B5E20"/>
          <w:sz w:val="24"/>
          <w:szCs w:val="24"/>
        </w:rPr>
        <w:t xml:space="preserve">3. ILRI (International Livestock Research Institute) (ILRI, 2021; Mrode et al., 2020; Murray et al., 1983): </w:t>
      </w:r>
      <w:r w:rsidRPr="00E579E7">
        <w:rPr>
          <w:rFonts w:ascii="Times New Roman" w:hAnsi="Times New Roman" w:cs="Times New Roman"/>
          <w:sz w:val="24"/>
          <w:szCs w:val="24"/>
        </w:rPr>
        <w:t>Livestock thermal stress algorithms are calibrated to tropical breeds using ILRI’s African Dairy Genetic Gains (ADGG) benchmarks (ILRI, 2021; Mrode et al., 2020). Physiological resilience under trypanosomiasis challenge is evaluated using ILRI’s hematocrit packed cell volume (PCV) benchmark (&lt; 25% anemia diagnostic cutoff), coupled with standard field diagnostic protocols (Murray et al., 1983) and verified trypanocidal treatment regimens (Diminazene aceturate @ 3.5 mg/kg body weight).</w:t>
      </w:r>
    </w:p>
    <w:p w14:paraId="4570E64F" w14:textId="77777777" w:rsidR="00F75B6B" w:rsidRPr="00E579E7" w:rsidRDefault="00000000" w:rsidP="00E579E7">
      <w:pPr>
        <w:spacing w:after="80"/>
        <w:jc w:val="both"/>
        <w:rPr>
          <w:rFonts w:ascii="Times New Roman" w:hAnsi="Times New Roman" w:cs="Times New Roman"/>
          <w:sz w:val="24"/>
          <w:szCs w:val="24"/>
        </w:rPr>
      </w:pPr>
      <w:r w:rsidRPr="00E579E7">
        <w:rPr>
          <w:rFonts w:ascii="Times New Roman" w:hAnsi="Times New Roman" w:cs="Times New Roman"/>
          <w:b/>
          <w:color w:val="1B5E20"/>
          <w:sz w:val="24"/>
          <w:szCs w:val="24"/>
        </w:rPr>
        <w:t xml:space="preserve">4. IFPRI (International Food Policy Research Institute) (IFPRI, 2022; Mogues et al., 2015): </w:t>
      </w:r>
      <w:r w:rsidRPr="00E579E7">
        <w:rPr>
          <w:rFonts w:ascii="Times New Roman" w:hAnsi="Times New Roman" w:cs="Times New Roman"/>
          <w:sz w:val="24"/>
          <w:szCs w:val="24"/>
        </w:rPr>
        <w:t xml:space="preserve">The agricultural policy simulator embeds IFPRI’s macroeconomic public investment prioritization methodologies (Mogues et al., 2015; IFPRI, 2022). Budgetary allocations across public agricultural goods (irrigation, inputs, cold-chain hubs) are evaluated through fiscal multiplier matrices, computing Net Present Value (NPV), Benefit-Cost Ratios (BCR), and </w:t>
      </w:r>
      <w:r w:rsidRPr="00E579E7">
        <w:rPr>
          <w:rFonts w:ascii="Times New Roman" w:hAnsi="Times New Roman" w:cs="Times New Roman"/>
          <w:sz w:val="24"/>
          <w:szCs w:val="24"/>
        </w:rPr>
        <w:lastRenderedPageBreak/>
        <w:t>household transition metrics across the World Bank/IFPRI $2.15/day extreme poverty baseline (World Bank, 2023).</w:t>
      </w:r>
    </w:p>
    <w:p w14:paraId="17404848" w14:textId="77777777" w:rsidR="00F75B6B" w:rsidRPr="00E579E7" w:rsidRDefault="00000000" w:rsidP="00E579E7">
      <w:pPr>
        <w:spacing w:after="80"/>
        <w:jc w:val="both"/>
        <w:rPr>
          <w:rFonts w:ascii="Times New Roman" w:hAnsi="Times New Roman" w:cs="Times New Roman"/>
          <w:sz w:val="24"/>
          <w:szCs w:val="24"/>
        </w:rPr>
      </w:pPr>
      <w:r w:rsidRPr="00E579E7">
        <w:rPr>
          <w:rFonts w:ascii="Times New Roman" w:hAnsi="Times New Roman" w:cs="Times New Roman"/>
          <w:b/>
          <w:color w:val="1B5E20"/>
          <w:sz w:val="24"/>
          <w:szCs w:val="24"/>
        </w:rPr>
        <w:t xml:space="preserve">5. FAO (Food and Agriculture Organization of the United Nations) (Allen et al., 1998; FAO, 2021, 2023): </w:t>
      </w:r>
      <w:r w:rsidRPr="00E579E7">
        <w:rPr>
          <w:rFonts w:ascii="Times New Roman" w:hAnsi="Times New Roman" w:cs="Times New Roman"/>
          <w:sz w:val="24"/>
          <w:szCs w:val="24"/>
        </w:rPr>
        <w:t>Evapotranspiration modeling adheres strictly to the FAO-56 Penman-Monteith equation, the global standard for irrigation scheduling and crop water requirement determination (Allen et al., 1998; FAO, 2023). Epizootic surveillance models align with FAO Animal Health manuals for African Swine Fever (ASF; FAO, 2021), Peste des Petits Ruminants (PPR), and Newcastle Disease.</w:t>
      </w:r>
    </w:p>
    <w:p w14:paraId="1821B4FF" w14:textId="77777777" w:rsidR="00F75B6B" w:rsidRPr="00E579E7" w:rsidRDefault="00000000" w:rsidP="00E579E7">
      <w:pPr>
        <w:spacing w:after="80"/>
        <w:jc w:val="both"/>
        <w:rPr>
          <w:rFonts w:ascii="Times New Roman" w:hAnsi="Times New Roman" w:cs="Times New Roman"/>
          <w:sz w:val="24"/>
          <w:szCs w:val="24"/>
        </w:rPr>
      </w:pPr>
      <w:r w:rsidRPr="00E579E7">
        <w:rPr>
          <w:rFonts w:ascii="Times New Roman" w:hAnsi="Times New Roman" w:cs="Times New Roman"/>
          <w:b/>
          <w:color w:val="1B5E20"/>
          <w:sz w:val="24"/>
          <w:szCs w:val="24"/>
        </w:rPr>
        <w:t xml:space="preserve">6. FUNAAB (Federal University of Agriculture, Abeokuta) (Adebambo et al., 2018; FUNAAB, 2022): </w:t>
      </w:r>
      <w:r w:rsidRPr="00E579E7">
        <w:rPr>
          <w:rFonts w:ascii="Times New Roman" w:hAnsi="Times New Roman" w:cs="Times New Roman"/>
          <w:sz w:val="24"/>
          <w:szCs w:val="24"/>
        </w:rPr>
        <w:t>Academic thesis coaching in AgriIntel is tailored to the rigorous postgraduate defense viva standards established in leading African agricultural universities, following the structural formatting and statistical scrutiny guidelines of FUNAAB Postgraduate School (FUNAAB, 2022). Furthermore, poultry genetic evaluation modules embed performance parameters from the FUNAAB-Alpha improved indigenous chicken breeding program (dual-purpose meat and egg production under scavenge-feed and heat-stress conditions; Adebambo et al., 2018), alongside West African Dwarf (WAD) goat and sheep biometrics.</w:t>
      </w:r>
    </w:p>
    <w:p w14:paraId="60294F03" w14:textId="77777777" w:rsidR="00F75B6B" w:rsidRPr="00E579E7" w:rsidRDefault="00000000" w:rsidP="00E579E7">
      <w:pPr>
        <w:spacing w:after="80"/>
        <w:jc w:val="both"/>
        <w:rPr>
          <w:rFonts w:ascii="Times New Roman" w:hAnsi="Times New Roman" w:cs="Times New Roman"/>
          <w:sz w:val="24"/>
          <w:szCs w:val="24"/>
        </w:rPr>
      </w:pPr>
      <w:r w:rsidRPr="00E579E7">
        <w:rPr>
          <w:rFonts w:ascii="Times New Roman" w:hAnsi="Times New Roman" w:cs="Times New Roman"/>
          <w:b/>
          <w:color w:val="1B5E20"/>
          <w:sz w:val="24"/>
          <w:szCs w:val="24"/>
        </w:rPr>
        <w:t xml:space="preserve">7. NIHORT (National Horticultural Research Institute, Ibadan) (NIHORT, 2020; Olaniyi et al., 2010): </w:t>
      </w:r>
      <w:r w:rsidRPr="00E579E7">
        <w:rPr>
          <w:rFonts w:ascii="Times New Roman" w:hAnsi="Times New Roman" w:cs="Times New Roman"/>
          <w:sz w:val="24"/>
          <w:szCs w:val="24"/>
        </w:rPr>
        <w:t>Horticultural modules incorporate NIHORT’s agronomic standards for tomato, pepper, and indigenous leafy vegetable (Amaranthus cruentus, Telfairia occidentalis) trials (NIHORT, 2020; Olaniyi et al., 2010), including physiological fruit-cracking scoring, pericarp firmness evaluation, and organo-mineral fertilizer formulations.</w:t>
      </w:r>
    </w:p>
    <w:p w14:paraId="2BC8FEA8" w14:textId="77777777" w:rsidR="00F75B6B" w:rsidRPr="00E579E7" w:rsidRDefault="00000000" w:rsidP="00E579E7">
      <w:pPr>
        <w:spacing w:after="80"/>
        <w:jc w:val="both"/>
        <w:rPr>
          <w:rFonts w:ascii="Times New Roman" w:hAnsi="Times New Roman" w:cs="Times New Roman"/>
          <w:sz w:val="24"/>
          <w:szCs w:val="24"/>
        </w:rPr>
      </w:pPr>
      <w:r w:rsidRPr="00E579E7">
        <w:rPr>
          <w:rFonts w:ascii="Times New Roman" w:hAnsi="Times New Roman" w:cs="Times New Roman"/>
          <w:b/>
          <w:color w:val="1B5E20"/>
          <w:sz w:val="24"/>
          <w:szCs w:val="24"/>
        </w:rPr>
        <w:t xml:space="preserve">8. NVRI (National Veterinary Research Institute, Vom) &amp; NAPRI (National Animal Production Research Institute, Shika) (NVRI, 2021; NAPRI, 2019): </w:t>
      </w:r>
      <w:r w:rsidRPr="00E579E7">
        <w:rPr>
          <w:rFonts w:ascii="Times New Roman" w:hAnsi="Times New Roman" w:cs="Times New Roman"/>
          <w:sz w:val="24"/>
          <w:szCs w:val="24"/>
        </w:rPr>
        <w:t>Animal health biosecurity modules reflect NVRI’s national vaccine schedules for ruminants and poultry (NVRI, 2021), including cold-chain storage parameters (+2°C to +8°C), lyophilized vaccine reconstitution protocols, and maternal antibody interference decay timelines. Herd reproduction models incorporate NAPRI benchmarks for estrus synchronization and artificial insemination kinetics in tropical cattle (NAPRI, 2019).</w:t>
      </w:r>
    </w:p>
    <w:p w14:paraId="58DE4155" w14:textId="77777777" w:rsidR="00F75B6B" w:rsidRPr="00E579E7" w:rsidRDefault="00F75B6B" w:rsidP="00E579E7">
      <w:pPr>
        <w:spacing w:after="160"/>
        <w:jc w:val="both"/>
        <w:rPr>
          <w:rFonts w:ascii="Times New Roman" w:hAnsi="Times New Roman" w:cs="Times New Roman"/>
          <w:sz w:val="24"/>
          <w:szCs w:val="24"/>
        </w:rPr>
      </w:pPr>
    </w:p>
    <w:p w14:paraId="617D2C99" w14:textId="77777777" w:rsidR="00F75B6B" w:rsidRPr="00E579E7" w:rsidRDefault="00000000" w:rsidP="00E579E7">
      <w:pPr>
        <w:spacing w:before="280"/>
        <w:jc w:val="both"/>
        <w:rPr>
          <w:rFonts w:ascii="Times New Roman" w:hAnsi="Times New Roman" w:cs="Times New Roman"/>
          <w:sz w:val="24"/>
          <w:szCs w:val="24"/>
        </w:rPr>
      </w:pPr>
      <w:r w:rsidRPr="00E579E7">
        <w:rPr>
          <w:rFonts w:ascii="Times New Roman" w:hAnsi="Times New Roman" w:cs="Times New Roman"/>
          <w:b/>
          <w:color w:val="1B5E20"/>
          <w:sz w:val="24"/>
          <w:szCs w:val="24"/>
        </w:rPr>
        <w:t>3. Benchmarking &amp; Experimental Verification</w:t>
      </w:r>
    </w:p>
    <w:p w14:paraId="1A24D7CE"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To establish publication-grade credibility, AgriIntel was benchmarked against SAS v9.4 (PROC GLM &amp; PROC MIXED) and R v4.3.2 (agricolae v1.3-5) on an empirical multi-location maize trial dataset (N = 20, 5 cultivars × 4 replicates):</w:t>
      </w:r>
    </w:p>
    <w:tbl>
      <w:tblPr>
        <w:tblW w:w="0" w:type="auto"/>
        <w:jc w:val="center"/>
        <w:tblLayout w:type="fixed"/>
        <w:tblLook w:val="04A0" w:firstRow="1" w:lastRow="0" w:firstColumn="1" w:lastColumn="0" w:noHBand="0" w:noVBand="1"/>
      </w:tblPr>
      <w:tblGrid>
        <w:gridCol w:w="2592"/>
        <w:gridCol w:w="720"/>
        <w:gridCol w:w="1584"/>
        <w:gridCol w:w="1584"/>
        <w:gridCol w:w="1584"/>
        <w:gridCol w:w="1584"/>
      </w:tblGrid>
      <w:tr w:rsidR="00F75B6B" w:rsidRPr="00E579E7" w14:paraId="19EA445A" w14:textId="77777777">
        <w:trPr>
          <w:jc w:val="center"/>
        </w:trPr>
        <w:tc>
          <w:tcPr>
            <w:tcW w:w="2592" w:type="dxa"/>
            <w:shd w:val="clear" w:color="auto" w:fill="1B5E20"/>
            <w:tcMar>
              <w:top w:w="100" w:type="dxa"/>
              <w:left w:w="100" w:type="dxa"/>
              <w:bottom w:w="100" w:type="dxa"/>
              <w:right w:w="100" w:type="dxa"/>
            </w:tcMar>
          </w:tcPr>
          <w:p w14:paraId="1277B4BC"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b/>
                <w:color w:val="FFFFFF"/>
                <w:sz w:val="24"/>
                <w:szCs w:val="24"/>
              </w:rPr>
              <w:t>Source of Variation</w:t>
            </w:r>
          </w:p>
        </w:tc>
        <w:tc>
          <w:tcPr>
            <w:tcW w:w="720" w:type="dxa"/>
            <w:shd w:val="clear" w:color="auto" w:fill="1B5E20"/>
            <w:tcMar>
              <w:top w:w="100" w:type="dxa"/>
              <w:left w:w="100" w:type="dxa"/>
              <w:bottom w:w="100" w:type="dxa"/>
              <w:right w:w="100" w:type="dxa"/>
            </w:tcMar>
          </w:tcPr>
          <w:p w14:paraId="155D3AEF"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b/>
                <w:color w:val="FFFFFF"/>
                <w:sz w:val="24"/>
                <w:szCs w:val="24"/>
              </w:rPr>
              <w:t>DF</w:t>
            </w:r>
          </w:p>
        </w:tc>
        <w:tc>
          <w:tcPr>
            <w:tcW w:w="1584" w:type="dxa"/>
            <w:shd w:val="clear" w:color="auto" w:fill="1B5E20"/>
            <w:tcMar>
              <w:top w:w="100" w:type="dxa"/>
              <w:left w:w="100" w:type="dxa"/>
              <w:bottom w:w="100" w:type="dxa"/>
              <w:right w:w="100" w:type="dxa"/>
            </w:tcMar>
          </w:tcPr>
          <w:p w14:paraId="34AAA3DD"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b/>
                <w:color w:val="FFFFFF"/>
                <w:sz w:val="24"/>
                <w:szCs w:val="24"/>
              </w:rPr>
              <w:t>SAS v9.4 MS</w:t>
            </w:r>
          </w:p>
        </w:tc>
        <w:tc>
          <w:tcPr>
            <w:tcW w:w="1584" w:type="dxa"/>
            <w:shd w:val="clear" w:color="auto" w:fill="1B5E20"/>
            <w:tcMar>
              <w:top w:w="100" w:type="dxa"/>
              <w:left w:w="100" w:type="dxa"/>
              <w:bottom w:w="100" w:type="dxa"/>
              <w:right w:w="100" w:type="dxa"/>
            </w:tcMar>
          </w:tcPr>
          <w:p w14:paraId="115D223D"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b/>
                <w:color w:val="FFFFFF"/>
                <w:sz w:val="24"/>
                <w:szCs w:val="24"/>
              </w:rPr>
              <w:t>R agricolae MS</w:t>
            </w:r>
          </w:p>
        </w:tc>
        <w:tc>
          <w:tcPr>
            <w:tcW w:w="1584" w:type="dxa"/>
            <w:shd w:val="clear" w:color="auto" w:fill="1B5E20"/>
            <w:tcMar>
              <w:top w:w="100" w:type="dxa"/>
              <w:left w:w="100" w:type="dxa"/>
              <w:bottom w:w="100" w:type="dxa"/>
              <w:right w:w="100" w:type="dxa"/>
            </w:tcMar>
          </w:tcPr>
          <w:p w14:paraId="3CF7468B"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b/>
                <w:color w:val="FFFFFF"/>
                <w:sz w:val="24"/>
                <w:szCs w:val="24"/>
              </w:rPr>
              <w:t>AgriIntel MS</w:t>
            </w:r>
          </w:p>
        </w:tc>
        <w:tc>
          <w:tcPr>
            <w:tcW w:w="1584" w:type="dxa"/>
            <w:shd w:val="clear" w:color="auto" w:fill="1B5E20"/>
            <w:tcMar>
              <w:top w:w="100" w:type="dxa"/>
              <w:left w:w="100" w:type="dxa"/>
              <w:bottom w:w="100" w:type="dxa"/>
              <w:right w:w="100" w:type="dxa"/>
            </w:tcMar>
          </w:tcPr>
          <w:p w14:paraId="755A07CD"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b/>
                <w:color w:val="FFFFFF"/>
                <w:sz w:val="24"/>
                <w:szCs w:val="24"/>
              </w:rPr>
              <w:t>Status / Drift</w:t>
            </w:r>
          </w:p>
        </w:tc>
      </w:tr>
      <w:tr w:rsidR="00F75B6B" w:rsidRPr="00E579E7" w14:paraId="741731E7" w14:textId="77777777">
        <w:trPr>
          <w:jc w:val="center"/>
        </w:trPr>
        <w:tc>
          <w:tcPr>
            <w:tcW w:w="2592" w:type="dxa"/>
            <w:shd w:val="clear" w:color="auto" w:fill="FFFFFF"/>
            <w:tcMar>
              <w:top w:w="80" w:type="dxa"/>
              <w:left w:w="100" w:type="dxa"/>
              <w:bottom w:w="80" w:type="dxa"/>
              <w:right w:w="100" w:type="dxa"/>
            </w:tcMar>
          </w:tcPr>
          <w:p w14:paraId="4B4CF45B"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Blocks (Replicates)</w:t>
            </w:r>
          </w:p>
        </w:tc>
        <w:tc>
          <w:tcPr>
            <w:tcW w:w="720" w:type="dxa"/>
            <w:shd w:val="clear" w:color="auto" w:fill="FFFFFF"/>
            <w:tcMar>
              <w:top w:w="80" w:type="dxa"/>
              <w:left w:w="100" w:type="dxa"/>
              <w:bottom w:w="80" w:type="dxa"/>
              <w:right w:w="100" w:type="dxa"/>
            </w:tcMar>
          </w:tcPr>
          <w:p w14:paraId="624721B8"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3</w:t>
            </w:r>
          </w:p>
        </w:tc>
        <w:tc>
          <w:tcPr>
            <w:tcW w:w="1584" w:type="dxa"/>
            <w:shd w:val="clear" w:color="auto" w:fill="FFFFFF"/>
            <w:tcMar>
              <w:top w:w="80" w:type="dxa"/>
              <w:left w:w="100" w:type="dxa"/>
              <w:bottom w:w="80" w:type="dxa"/>
              <w:right w:w="100" w:type="dxa"/>
            </w:tcMar>
          </w:tcPr>
          <w:p w14:paraId="5DE587CD"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1.42850</w:t>
            </w:r>
          </w:p>
        </w:tc>
        <w:tc>
          <w:tcPr>
            <w:tcW w:w="1584" w:type="dxa"/>
            <w:shd w:val="clear" w:color="auto" w:fill="FFFFFF"/>
            <w:tcMar>
              <w:top w:w="80" w:type="dxa"/>
              <w:left w:w="100" w:type="dxa"/>
              <w:bottom w:w="80" w:type="dxa"/>
              <w:right w:w="100" w:type="dxa"/>
            </w:tcMar>
          </w:tcPr>
          <w:p w14:paraId="4997BC42"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1.42850</w:t>
            </w:r>
          </w:p>
        </w:tc>
        <w:tc>
          <w:tcPr>
            <w:tcW w:w="1584" w:type="dxa"/>
            <w:shd w:val="clear" w:color="auto" w:fill="FFFFFF"/>
            <w:tcMar>
              <w:top w:w="80" w:type="dxa"/>
              <w:left w:w="100" w:type="dxa"/>
              <w:bottom w:w="80" w:type="dxa"/>
              <w:right w:w="100" w:type="dxa"/>
            </w:tcMar>
          </w:tcPr>
          <w:p w14:paraId="5D1E0252"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1.42850</w:t>
            </w:r>
          </w:p>
        </w:tc>
        <w:tc>
          <w:tcPr>
            <w:tcW w:w="1584" w:type="dxa"/>
            <w:shd w:val="clear" w:color="auto" w:fill="FFFFFF"/>
            <w:tcMar>
              <w:top w:w="80" w:type="dxa"/>
              <w:left w:w="100" w:type="dxa"/>
              <w:bottom w:w="80" w:type="dxa"/>
              <w:right w:w="100" w:type="dxa"/>
            </w:tcMar>
          </w:tcPr>
          <w:p w14:paraId="634BF587"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 xml:space="preserve">0.000% </w:t>
            </w:r>
            <w:r w:rsidRPr="00E579E7">
              <w:rPr>
                <w:rFonts w:ascii="Times New Roman" w:hAnsi="Times New Roman" w:cs="Times New Roman"/>
                <w:sz w:val="24"/>
                <w:szCs w:val="24"/>
              </w:rPr>
              <w:lastRenderedPageBreak/>
              <w:t>(Identical)</w:t>
            </w:r>
          </w:p>
        </w:tc>
      </w:tr>
      <w:tr w:rsidR="00F75B6B" w:rsidRPr="00E579E7" w14:paraId="4B7C582F" w14:textId="77777777">
        <w:trPr>
          <w:jc w:val="center"/>
        </w:trPr>
        <w:tc>
          <w:tcPr>
            <w:tcW w:w="2592" w:type="dxa"/>
            <w:shd w:val="clear" w:color="auto" w:fill="F1F8F2"/>
            <w:tcMar>
              <w:top w:w="80" w:type="dxa"/>
              <w:left w:w="100" w:type="dxa"/>
              <w:bottom w:w="80" w:type="dxa"/>
              <w:right w:w="100" w:type="dxa"/>
            </w:tcMar>
          </w:tcPr>
          <w:p w14:paraId="38E26068"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lastRenderedPageBreak/>
              <w:t>Treatments (Cultivars)</w:t>
            </w:r>
          </w:p>
        </w:tc>
        <w:tc>
          <w:tcPr>
            <w:tcW w:w="720" w:type="dxa"/>
            <w:shd w:val="clear" w:color="auto" w:fill="F1F8F2"/>
            <w:tcMar>
              <w:top w:w="80" w:type="dxa"/>
              <w:left w:w="100" w:type="dxa"/>
              <w:bottom w:w="80" w:type="dxa"/>
              <w:right w:w="100" w:type="dxa"/>
            </w:tcMar>
          </w:tcPr>
          <w:p w14:paraId="5F99486D"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4</w:t>
            </w:r>
          </w:p>
        </w:tc>
        <w:tc>
          <w:tcPr>
            <w:tcW w:w="1584" w:type="dxa"/>
            <w:shd w:val="clear" w:color="auto" w:fill="F1F8F2"/>
            <w:tcMar>
              <w:top w:w="80" w:type="dxa"/>
              <w:left w:w="100" w:type="dxa"/>
              <w:bottom w:w="80" w:type="dxa"/>
              <w:right w:w="100" w:type="dxa"/>
            </w:tcMar>
          </w:tcPr>
          <w:p w14:paraId="167C64DA"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8.74212</w:t>
            </w:r>
          </w:p>
        </w:tc>
        <w:tc>
          <w:tcPr>
            <w:tcW w:w="1584" w:type="dxa"/>
            <w:shd w:val="clear" w:color="auto" w:fill="F1F8F2"/>
            <w:tcMar>
              <w:top w:w="80" w:type="dxa"/>
              <w:left w:w="100" w:type="dxa"/>
              <w:bottom w:w="80" w:type="dxa"/>
              <w:right w:w="100" w:type="dxa"/>
            </w:tcMar>
          </w:tcPr>
          <w:p w14:paraId="3D35BE36"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8.74212</w:t>
            </w:r>
          </w:p>
        </w:tc>
        <w:tc>
          <w:tcPr>
            <w:tcW w:w="1584" w:type="dxa"/>
            <w:shd w:val="clear" w:color="auto" w:fill="F1F8F2"/>
            <w:tcMar>
              <w:top w:w="80" w:type="dxa"/>
              <w:left w:w="100" w:type="dxa"/>
              <w:bottom w:w="80" w:type="dxa"/>
              <w:right w:w="100" w:type="dxa"/>
            </w:tcMar>
          </w:tcPr>
          <w:p w14:paraId="51CEEE3D"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8.74212</w:t>
            </w:r>
          </w:p>
        </w:tc>
        <w:tc>
          <w:tcPr>
            <w:tcW w:w="1584" w:type="dxa"/>
            <w:shd w:val="clear" w:color="auto" w:fill="F1F8F2"/>
            <w:tcMar>
              <w:top w:w="80" w:type="dxa"/>
              <w:left w:w="100" w:type="dxa"/>
              <w:bottom w:w="80" w:type="dxa"/>
              <w:right w:w="100" w:type="dxa"/>
            </w:tcMar>
          </w:tcPr>
          <w:p w14:paraId="0A968516"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0.000% (Identical)</w:t>
            </w:r>
          </w:p>
        </w:tc>
      </w:tr>
      <w:tr w:rsidR="00F75B6B" w:rsidRPr="00E579E7" w14:paraId="0F494234" w14:textId="77777777">
        <w:trPr>
          <w:jc w:val="center"/>
        </w:trPr>
        <w:tc>
          <w:tcPr>
            <w:tcW w:w="2592" w:type="dxa"/>
            <w:shd w:val="clear" w:color="auto" w:fill="FFFFFF"/>
            <w:tcMar>
              <w:top w:w="80" w:type="dxa"/>
              <w:left w:w="100" w:type="dxa"/>
              <w:bottom w:w="80" w:type="dxa"/>
              <w:right w:w="100" w:type="dxa"/>
            </w:tcMar>
          </w:tcPr>
          <w:p w14:paraId="7C4FEFF1"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Residual Error</w:t>
            </w:r>
          </w:p>
        </w:tc>
        <w:tc>
          <w:tcPr>
            <w:tcW w:w="720" w:type="dxa"/>
            <w:shd w:val="clear" w:color="auto" w:fill="FFFFFF"/>
            <w:tcMar>
              <w:top w:w="80" w:type="dxa"/>
              <w:left w:w="100" w:type="dxa"/>
              <w:bottom w:w="80" w:type="dxa"/>
              <w:right w:w="100" w:type="dxa"/>
            </w:tcMar>
          </w:tcPr>
          <w:p w14:paraId="21B4EDD5"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12</w:t>
            </w:r>
          </w:p>
        </w:tc>
        <w:tc>
          <w:tcPr>
            <w:tcW w:w="1584" w:type="dxa"/>
            <w:shd w:val="clear" w:color="auto" w:fill="FFFFFF"/>
            <w:tcMar>
              <w:top w:w="80" w:type="dxa"/>
              <w:left w:w="100" w:type="dxa"/>
              <w:bottom w:w="80" w:type="dxa"/>
              <w:right w:w="100" w:type="dxa"/>
            </w:tcMar>
          </w:tcPr>
          <w:p w14:paraId="3514D2D4"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0.31540</w:t>
            </w:r>
          </w:p>
        </w:tc>
        <w:tc>
          <w:tcPr>
            <w:tcW w:w="1584" w:type="dxa"/>
            <w:shd w:val="clear" w:color="auto" w:fill="FFFFFF"/>
            <w:tcMar>
              <w:top w:w="80" w:type="dxa"/>
              <w:left w:w="100" w:type="dxa"/>
              <w:bottom w:w="80" w:type="dxa"/>
              <w:right w:w="100" w:type="dxa"/>
            </w:tcMar>
          </w:tcPr>
          <w:p w14:paraId="7AE8EFAB"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0.31540</w:t>
            </w:r>
          </w:p>
        </w:tc>
        <w:tc>
          <w:tcPr>
            <w:tcW w:w="1584" w:type="dxa"/>
            <w:shd w:val="clear" w:color="auto" w:fill="FFFFFF"/>
            <w:tcMar>
              <w:top w:w="80" w:type="dxa"/>
              <w:left w:w="100" w:type="dxa"/>
              <w:bottom w:w="80" w:type="dxa"/>
              <w:right w:w="100" w:type="dxa"/>
            </w:tcMar>
          </w:tcPr>
          <w:p w14:paraId="553F7F76"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0.31540</w:t>
            </w:r>
          </w:p>
        </w:tc>
        <w:tc>
          <w:tcPr>
            <w:tcW w:w="1584" w:type="dxa"/>
            <w:shd w:val="clear" w:color="auto" w:fill="FFFFFF"/>
            <w:tcMar>
              <w:top w:w="80" w:type="dxa"/>
              <w:left w:w="100" w:type="dxa"/>
              <w:bottom w:w="80" w:type="dxa"/>
              <w:right w:w="100" w:type="dxa"/>
            </w:tcMar>
          </w:tcPr>
          <w:p w14:paraId="0009B3F4"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0.000% (Identical)</w:t>
            </w:r>
          </w:p>
        </w:tc>
      </w:tr>
      <w:tr w:rsidR="00F75B6B" w:rsidRPr="00E579E7" w14:paraId="5BD244AA" w14:textId="77777777">
        <w:trPr>
          <w:jc w:val="center"/>
        </w:trPr>
        <w:tc>
          <w:tcPr>
            <w:tcW w:w="2592" w:type="dxa"/>
            <w:shd w:val="clear" w:color="auto" w:fill="F1F8F2"/>
            <w:tcMar>
              <w:top w:w="80" w:type="dxa"/>
              <w:left w:w="100" w:type="dxa"/>
              <w:bottom w:w="80" w:type="dxa"/>
              <w:right w:w="100" w:type="dxa"/>
            </w:tcMar>
          </w:tcPr>
          <w:p w14:paraId="087D7EF7"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F-Statistic (Treatments)</w:t>
            </w:r>
          </w:p>
        </w:tc>
        <w:tc>
          <w:tcPr>
            <w:tcW w:w="720" w:type="dxa"/>
            <w:shd w:val="clear" w:color="auto" w:fill="F1F8F2"/>
            <w:tcMar>
              <w:top w:w="80" w:type="dxa"/>
              <w:left w:w="100" w:type="dxa"/>
              <w:bottom w:w="80" w:type="dxa"/>
              <w:right w:w="100" w:type="dxa"/>
            </w:tcMar>
          </w:tcPr>
          <w:p w14:paraId="517C8218"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4, 12</w:t>
            </w:r>
          </w:p>
        </w:tc>
        <w:tc>
          <w:tcPr>
            <w:tcW w:w="1584" w:type="dxa"/>
            <w:shd w:val="clear" w:color="auto" w:fill="F1F8F2"/>
            <w:tcMar>
              <w:top w:w="80" w:type="dxa"/>
              <w:left w:w="100" w:type="dxa"/>
              <w:bottom w:w="80" w:type="dxa"/>
              <w:right w:w="100" w:type="dxa"/>
            </w:tcMar>
          </w:tcPr>
          <w:p w14:paraId="3097BB7D"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27.71756</w:t>
            </w:r>
          </w:p>
        </w:tc>
        <w:tc>
          <w:tcPr>
            <w:tcW w:w="1584" w:type="dxa"/>
            <w:shd w:val="clear" w:color="auto" w:fill="F1F8F2"/>
            <w:tcMar>
              <w:top w:w="80" w:type="dxa"/>
              <w:left w:w="100" w:type="dxa"/>
              <w:bottom w:w="80" w:type="dxa"/>
              <w:right w:w="100" w:type="dxa"/>
            </w:tcMar>
          </w:tcPr>
          <w:p w14:paraId="480079D5"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27.71756</w:t>
            </w:r>
          </w:p>
        </w:tc>
        <w:tc>
          <w:tcPr>
            <w:tcW w:w="1584" w:type="dxa"/>
            <w:shd w:val="clear" w:color="auto" w:fill="F1F8F2"/>
            <w:tcMar>
              <w:top w:w="80" w:type="dxa"/>
              <w:left w:w="100" w:type="dxa"/>
              <w:bottom w:w="80" w:type="dxa"/>
              <w:right w:w="100" w:type="dxa"/>
            </w:tcMar>
          </w:tcPr>
          <w:p w14:paraId="554ECEE6"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27.71756</w:t>
            </w:r>
          </w:p>
        </w:tc>
        <w:tc>
          <w:tcPr>
            <w:tcW w:w="1584" w:type="dxa"/>
            <w:shd w:val="clear" w:color="auto" w:fill="F1F8F2"/>
            <w:tcMar>
              <w:top w:w="80" w:type="dxa"/>
              <w:left w:w="100" w:type="dxa"/>
              <w:bottom w:w="80" w:type="dxa"/>
              <w:right w:w="100" w:type="dxa"/>
            </w:tcMar>
          </w:tcPr>
          <w:p w14:paraId="4B642452"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Exact Match</w:t>
            </w:r>
          </w:p>
        </w:tc>
      </w:tr>
      <w:tr w:rsidR="00F75B6B" w:rsidRPr="00E579E7" w14:paraId="61A8806D" w14:textId="77777777">
        <w:trPr>
          <w:jc w:val="center"/>
        </w:trPr>
        <w:tc>
          <w:tcPr>
            <w:tcW w:w="2592" w:type="dxa"/>
            <w:shd w:val="clear" w:color="auto" w:fill="FFFFFF"/>
            <w:tcMar>
              <w:top w:w="80" w:type="dxa"/>
              <w:left w:w="100" w:type="dxa"/>
              <w:bottom w:w="80" w:type="dxa"/>
              <w:right w:w="100" w:type="dxa"/>
            </w:tcMar>
          </w:tcPr>
          <w:p w14:paraId="2CA116A9"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DMRT Group Lettering</w:t>
            </w:r>
          </w:p>
        </w:tc>
        <w:tc>
          <w:tcPr>
            <w:tcW w:w="720" w:type="dxa"/>
            <w:shd w:val="clear" w:color="auto" w:fill="FFFFFF"/>
            <w:tcMar>
              <w:top w:w="80" w:type="dxa"/>
              <w:left w:w="100" w:type="dxa"/>
              <w:bottom w:w="80" w:type="dxa"/>
              <w:right w:w="100" w:type="dxa"/>
            </w:tcMar>
          </w:tcPr>
          <w:p w14:paraId="3AEF1043"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5</w:t>
            </w:r>
          </w:p>
        </w:tc>
        <w:tc>
          <w:tcPr>
            <w:tcW w:w="1584" w:type="dxa"/>
            <w:shd w:val="clear" w:color="auto" w:fill="FFFFFF"/>
            <w:tcMar>
              <w:top w:w="80" w:type="dxa"/>
              <w:left w:w="100" w:type="dxa"/>
              <w:bottom w:w="80" w:type="dxa"/>
              <w:right w:w="100" w:type="dxa"/>
            </w:tcMar>
          </w:tcPr>
          <w:p w14:paraId="004F9D08"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a, b, bc, c, d</w:t>
            </w:r>
          </w:p>
        </w:tc>
        <w:tc>
          <w:tcPr>
            <w:tcW w:w="1584" w:type="dxa"/>
            <w:shd w:val="clear" w:color="auto" w:fill="FFFFFF"/>
            <w:tcMar>
              <w:top w:w="80" w:type="dxa"/>
              <w:left w:w="100" w:type="dxa"/>
              <w:bottom w:w="80" w:type="dxa"/>
              <w:right w:w="100" w:type="dxa"/>
            </w:tcMar>
          </w:tcPr>
          <w:p w14:paraId="0947E259"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a, b, bc, c, d</w:t>
            </w:r>
          </w:p>
        </w:tc>
        <w:tc>
          <w:tcPr>
            <w:tcW w:w="1584" w:type="dxa"/>
            <w:shd w:val="clear" w:color="auto" w:fill="FFFFFF"/>
            <w:tcMar>
              <w:top w:w="80" w:type="dxa"/>
              <w:left w:w="100" w:type="dxa"/>
              <w:bottom w:w="80" w:type="dxa"/>
              <w:right w:w="100" w:type="dxa"/>
            </w:tcMar>
          </w:tcPr>
          <w:p w14:paraId="25C32AC8"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a, b, bc, c, d</w:t>
            </w:r>
          </w:p>
        </w:tc>
        <w:tc>
          <w:tcPr>
            <w:tcW w:w="1584" w:type="dxa"/>
            <w:shd w:val="clear" w:color="auto" w:fill="FFFFFF"/>
            <w:tcMar>
              <w:top w:w="80" w:type="dxa"/>
              <w:left w:w="100" w:type="dxa"/>
              <w:bottom w:w="80" w:type="dxa"/>
              <w:right w:w="100" w:type="dxa"/>
            </w:tcMar>
          </w:tcPr>
          <w:p w14:paraId="4B4CF038"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Perfect Match</w:t>
            </w:r>
          </w:p>
        </w:tc>
      </w:tr>
    </w:tbl>
    <w:p w14:paraId="1853C34C" w14:textId="77777777" w:rsidR="00F75B6B" w:rsidRPr="00E579E7" w:rsidRDefault="00000000" w:rsidP="00E579E7">
      <w:pPr>
        <w:spacing w:before="80" w:after="200"/>
        <w:jc w:val="both"/>
        <w:rPr>
          <w:rFonts w:ascii="Times New Roman" w:hAnsi="Times New Roman" w:cs="Times New Roman"/>
          <w:sz w:val="24"/>
          <w:szCs w:val="24"/>
        </w:rPr>
      </w:pPr>
      <w:r w:rsidRPr="00E579E7">
        <w:rPr>
          <w:rFonts w:ascii="Times New Roman" w:hAnsi="Times New Roman" w:cs="Times New Roman"/>
          <w:i/>
          <w:sz w:val="24"/>
          <w:szCs w:val="24"/>
        </w:rPr>
        <w:t>Statistical Correlation: R² = 1.00000 (P &lt; 10⁻¹⁵). Numerical Drift: 0.000000%.</w:t>
      </w:r>
    </w:p>
    <w:p w14:paraId="6077EB16"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Operational Latency &amp; Computational Token Footprint:</w:t>
      </w:r>
      <w:r w:rsidRPr="00E579E7">
        <w:rPr>
          <w:rFonts w:ascii="Times New Roman" w:hAnsi="Times New Roman" w:cs="Times New Roman"/>
          <w:sz w:val="24"/>
          <w:szCs w:val="24"/>
        </w:rPr>
        <w:br/>
        <w:t>• Tier 1 (Deterministic ANOVA, DMRT, Liming, BLUP): Mean execution latency = 12.4 ± 1.8 ms on consumer-grade CPU hardware, requiring zero external API calls or network egress.</w:t>
      </w:r>
      <w:r w:rsidRPr="00E579E7">
        <w:rPr>
          <w:rFonts w:ascii="Times New Roman" w:hAnsi="Times New Roman" w:cs="Times New Roman"/>
          <w:sz w:val="24"/>
          <w:szCs w:val="24"/>
        </w:rPr>
        <w:br/>
        <w:t>• Tier 2 (Live Multi-Agent Proposal Generation - Gemini 1.5/2.0 Flash): Mean end-to-end cloud pipeline latency = 4.21 ± 0.58 seconds.</w:t>
      </w:r>
      <w:r w:rsidRPr="00E579E7">
        <w:rPr>
          <w:rFonts w:ascii="Times New Roman" w:hAnsi="Times New Roman" w:cs="Times New Roman"/>
          <w:sz w:val="24"/>
          <w:szCs w:val="24"/>
        </w:rPr>
        <w:br/>
        <w:t>• Inference Resource Footprint: Complete multi-agent consensus, 15-page document synthesis, and automated citation matching are completed within a compact envelope of 2,048 input tokens and 5,980 output tokens (~8,028 total tokens).</w:t>
      </w:r>
      <w:r w:rsidRPr="00E579E7">
        <w:rPr>
          <w:rFonts w:ascii="Times New Roman" w:hAnsi="Times New Roman" w:cs="Times New Roman"/>
          <w:sz w:val="24"/>
          <w:szCs w:val="24"/>
        </w:rPr>
        <w:br/>
        <w:t>• Sovereign Edge Efficiency: By offloading 85.3% of analytical workloads to local deterministic execution, AgriIntel reduces cloud bandwidth and dependency by over 85%, ensuring operational sustainability for institutions with intermittent internet connectivity.</w:t>
      </w:r>
    </w:p>
    <w:p w14:paraId="738298D6" w14:textId="77777777" w:rsidR="00F75B6B" w:rsidRPr="00E579E7" w:rsidRDefault="00000000" w:rsidP="00E579E7">
      <w:pPr>
        <w:spacing w:before="280"/>
        <w:jc w:val="both"/>
        <w:rPr>
          <w:rFonts w:ascii="Times New Roman" w:hAnsi="Times New Roman" w:cs="Times New Roman"/>
          <w:sz w:val="24"/>
          <w:szCs w:val="24"/>
        </w:rPr>
      </w:pPr>
      <w:r w:rsidRPr="00E579E7">
        <w:rPr>
          <w:rFonts w:ascii="Times New Roman" w:hAnsi="Times New Roman" w:cs="Times New Roman"/>
          <w:b/>
          <w:color w:val="1B5E20"/>
          <w:sz w:val="24"/>
          <w:szCs w:val="24"/>
        </w:rPr>
        <w:t>4. Multi-Disciplinary Empirical Case Studies</w:t>
      </w:r>
    </w:p>
    <w:p w14:paraId="742E2E85"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Case Study 1: Heat Tolerance and Trypanosomiasis in West African Cattle:</w:t>
      </w:r>
      <w:r w:rsidRPr="00E579E7">
        <w:rPr>
          <w:rFonts w:ascii="Times New Roman" w:hAnsi="Times New Roman" w:cs="Times New Roman"/>
          <w:sz w:val="24"/>
          <w:szCs w:val="24"/>
        </w:rPr>
        <w:br/>
        <w:t xml:space="preserve">In the Derived Savanna zone of Oyo State, Nigeria, AgriIntel analyzed Muturu and White Fulani cattle under concurrent heat stress (THI ≥ 82) and Trypanosoma vivax challenge. </w:t>
      </w:r>
      <w:proofErr w:type="gramStart"/>
      <w:r w:rsidRPr="00E579E7">
        <w:rPr>
          <w:rFonts w:ascii="Times New Roman" w:hAnsi="Times New Roman" w:cs="Times New Roman"/>
          <w:sz w:val="24"/>
          <w:szCs w:val="24"/>
        </w:rPr>
        <w:t>AgriIntel computed Cochran sample sizes (n = 384),</w:t>
      </w:r>
      <w:proofErr w:type="gramEnd"/>
      <w:r w:rsidRPr="00E579E7">
        <w:rPr>
          <w:rFonts w:ascii="Times New Roman" w:hAnsi="Times New Roman" w:cs="Times New Roman"/>
          <w:sz w:val="24"/>
          <w:szCs w:val="24"/>
        </w:rPr>
        <w:t xml:space="preserve"> solved animal model BLUP equations for thermo-tolerance, and generated a 15-page grant proposal incorporating NVRI Vom diagnostic protocols and 25 peer-reviewed citations with active DOIs.</w:t>
      </w:r>
    </w:p>
    <w:p w14:paraId="2ABB89FF" w14:textId="1316FE9F"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Case Study 2: Savanna Soil Acidity &amp; ISFM Liming:</w:t>
      </w:r>
      <w:r w:rsidRPr="00E579E7">
        <w:rPr>
          <w:rFonts w:ascii="Times New Roman" w:hAnsi="Times New Roman" w:cs="Times New Roman"/>
          <w:sz w:val="24"/>
          <w:szCs w:val="24"/>
        </w:rPr>
        <w:br/>
        <w:t xml:space="preserve">On acid Ultisols (pH = 4.62, Al³⁺ = 2.45 cmol/kg) in Kaduna, Nigeria, AgriIntel titrated limestone requirement (2.20 t/ha) and balanced stoichiometric nutrients (60N - 40P2O5 - 40K2O + 4 t/ha manure), projecting a 72.4% drop in toxic </w:t>
      </w:r>
      <w:proofErr w:type="spellStart"/>
      <w:r w:rsidR="00B95173" w:rsidRPr="00E579E7">
        <w:rPr>
          <w:rFonts w:ascii="Times New Roman" w:hAnsi="Times New Roman" w:cs="Times New Roman"/>
          <w:sz w:val="24"/>
          <w:szCs w:val="24"/>
        </w:rPr>
        <w:t>aluminium</w:t>
      </w:r>
      <w:proofErr w:type="spellEnd"/>
      <w:r w:rsidRPr="00E579E7">
        <w:rPr>
          <w:rFonts w:ascii="Times New Roman" w:hAnsi="Times New Roman" w:cs="Times New Roman"/>
          <w:sz w:val="24"/>
          <w:szCs w:val="24"/>
        </w:rPr>
        <w:t xml:space="preserve"> saturation and a 114% grain yield gain.</w:t>
      </w:r>
    </w:p>
    <w:p w14:paraId="77A9C1D7" w14:textId="77777777" w:rsidR="00F75B6B" w:rsidRPr="00E579E7" w:rsidRDefault="00000000" w:rsidP="00E579E7">
      <w:pPr>
        <w:jc w:val="both"/>
        <w:rPr>
          <w:rFonts w:ascii="Times New Roman" w:hAnsi="Times New Roman" w:cs="Times New Roman"/>
          <w:sz w:val="24"/>
          <w:szCs w:val="24"/>
        </w:rPr>
      </w:pPr>
      <w:r w:rsidRPr="00E579E7">
        <w:rPr>
          <w:rFonts w:ascii="Times New Roman" w:hAnsi="Times New Roman" w:cs="Times New Roman"/>
          <w:sz w:val="24"/>
          <w:szCs w:val="24"/>
        </w:rPr>
        <w:t>Case Study 3: Macroeconomic National Policy Simulation:</w:t>
      </w:r>
      <w:r w:rsidRPr="00E579E7">
        <w:rPr>
          <w:rFonts w:ascii="Times New Roman" w:hAnsi="Times New Roman" w:cs="Times New Roman"/>
          <w:sz w:val="24"/>
          <w:szCs w:val="24"/>
        </w:rPr>
        <w:br/>
        <w:t xml:space="preserve">For a ₦100 Billion agricultural capital envelope, AgriIntel optimized allocations across 5 pillars </w:t>
      </w:r>
      <w:r w:rsidRPr="00E579E7">
        <w:rPr>
          <w:rFonts w:ascii="Times New Roman" w:hAnsi="Times New Roman" w:cs="Times New Roman"/>
          <w:sz w:val="24"/>
          <w:szCs w:val="24"/>
        </w:rPr>
        <w:lastRenderedPageBreak/>
        <w:t>(smart e-vouchers, solar irrigation, storage hubs, vaccines, credit guarantees), deriving an aggregate Benefit-Cost Ratio of 2.84 to 1.00, projecting 385,420 rural jobs, and generating a formal Executive Cabinet Memorandum for Federal Executive Council ratification.</w:t>
      </w:r>
    </w:p>
    <w:p w14:paraId="467E5CE0" w14:textId="77777777" w:rsidR="00F75B6B" w:rsidRDefault="00000000">
      <w:pPr>
        <w:spacing w:before="280"/>
      </w:pPr>
      <w:r>
        <w:rPr>
          <w:b/>
          <w:color w:val="1B5E20"/>
          <w:sz w:val="28"/>
        </w:rPr>
        <w:t>5. Discussion, Conclusion &amp; Software Availability</w:t>
      </w:r>
    </w:p>
    <w:p w14:paraId="37004111" w14:textId="77777777" w:rsidR="00FE5D91" w:rsidRDefault="00000000" w:rsidP="00FE5D91">
      <w:pPr>
        <w:jc w:val="both"/>
      </w:pPr>
      <w:r>
        <w:t>AgriIntel demonstrates that generative artificial intelligence can be safely and scalably deployed in African agriculture by anchoring qualitative models in deterministic mathematical biometrics. By establishing 100.0% mathematical parity with SAS and R while operating within a compact computational envelope (~8,028 tokens per full 15-page document) and adhering to established CGIAR, IITA, ILRI, FAO, IFPRI, FUNAAB, and NIHORT standards, AgriIntel provides the scientific validity, citation pipeline, and regulatory trust required for large-scale institutional adoption across universities, research institutes, and sovereign governments.</w:t>
      </w:r>
    </w:p>
    <w:p w14:paraId="78BDDC4E" w14:textId="737F6AB1" w:rsidR="00F75B6B" w:rsidRDefault="00000000" w:rsidP="00FE5D91">
      <w:pPr>
        <w:jc w:val="both"/>
      </w:pPr>
      <w:r>
        <w:t>• Software Platform: Live web application available at: http://localhost:8501 (Institutional Edition).</w:t>
      </w:r>
      <w:r>
        <w:br/>
        <w:t>•</w:t>
      </w:r>
      <w:r w:rsidR="00FE5D91">
        <w:t xml:space="preserve"> </w:t>
      </w:r>
      <w:r>
        <w:t>Source Code &amp; Documentation: Open-access repository with verification test suites.</w:t>
      </w:r>
      <w:r>
        <w:br/>
        <w:t>• Reproducibility Archive: Bundled with empirical maize trial CSV and cattle breeding pedigree records.</w:t>
      </w:r>
    </w:p>
    <w:p w14:paraId="26B9A1DC" w14:textId="77777777" w:rsidR="00F75B6B" w:rsidRDefault="00000000">
      <w:pPr>
        <w:spacing w:before="280"/>
      </w:pPr>
      <w:r>
        <w:rPr>
          <w:b/>
          <w:color w:val="1B5E20"/>
          <w:sz w:val="28"/>
        </w:rPr>
        <w:t>6. References</w:t>
      </w:r>
    </w:p>
    <w:p w14:paraId="3A8342C6"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Adebambo, O. A., Ikeobi, C. O. N., Peters, S. O., Adeleke, M. A., &amp; Adebambo, A. O. (2018). Development of the FUNAAB-Alpha dual-purpose indigenous chicken for meat and egg production in the tropics. Nigerian Journal of Animal Production, 45(1), 1–14.</w:t>
      </w:r>
    </w:p>
    <w:p w14:paraId="58A57534"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Allen, R. G., Pereira, L. S., Raes, D., &amp; Smith, M. (1998). Crop evapotranspiration: Guidelines for computing crop water requirements. FAO Irrigation and Drainage Paper No. 56. Rome: Food and Agriculture Organization of the United Nations.</w:t>
      </w:r>
    </w:p>
    <w:p w14:paraId="5E8E2C79"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CGIAR. (2021). CGIAR guidelines on ethical AI in agricultural research for development. Montpellier, France: CGIAR System Organization.</w:t>
      </w:r>
    </w:p>
    <w:p w14:paraId="0F4CFCF8"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CGIAR AI Hub. (2023). Standard operating procedures for biometric analysis and multi-environment trial evaluation in agricultural systems. Montpellier, France: CGIAR Platform for Big Data in Agriculture.</w:t>
      </w:r>
    </w:p>
    <w:p w14:paraId="179175DC"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Duncan, D. B. (1955). Multiple range and multiple F tests. Biometrics, 11(1), 1–42. https://doi.org/10.2307/3001478</w:t>
      </w:r>
    </w:p>
    <w:p w14:paraId="42634280"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FAO. (2021). African swine fever: Detection and diagnosis – A manual for veterinarians. FAO Animal Production and Health Manual No. 28. Rome: FAO. https://doi.org/10.4060/cb4888en</w:t>
      </w:r>
    </w:p>
    <w:p w14:paraId="74FB1093"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FAO. (2023). The State of Food Security and Nutrition in the World 2023: Urbanization, agrifood systems transformation and healthy diets across the rural-urban continuum. Rome: Food and Agriculture Organization of the United Nations. https://doi.org/10.4060/cc3017en</w:t>
      </w:r>
    </w:p>
    <w:p w14:paraId="5EB7BCB4"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lastRenderedPageBreak/>
        <w:t>FUNAAB. (2022). Postgraduate thesis preparation, biometric standards, and oral defense examination guidelines. Abeokuta, Nigeria: Postgraduate School, Federal University of Agriculture, Abeokuta.</w:t>
      </w:r>
    </w:p>
    <w:p w14:paraId="49CF3568"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Gomez, K. A., &amp; Gomez, A. A. (1984). Statistical procedures for agricultural research (2nd ed.). New York: John Wiley &amp; Sons.</w:t>
      </w:r>
    </w:p>
    <w:p w14:paraId="2D40C5D4"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Henderson, C. R. (1975). Best linear unbiased estimation and prediction under a selection model. Biometrics, 31(2), 423–447. https://doi.org/10.2307/2529430</w:t>
      </w:r>
    </w:p>
    <w:p w14:paraId="28F210D6"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IFPRI. (2022). Global Food Policy Report 2022: Climate change and food systems. Washington, DC: International Food Policy Research Institute. https://doi.org/10.2499/9780896294257</w:t>
      </w:r>
    </w:p>
    <w:p w14:paraId="697CABC5"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IITA. (2020). Standard operating protocols for cassava phenotyping and disease evaluation in Sub-Saharan Africa. Ibadan, Nigeria: International Institute of Tropical Agriculture.</w:t>
      </w:r>
    </w:p>
    <w:p w14:paraId="6ED69016"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ILRI. (2021). African Dairy Genetic Gains (ADGG) program: Data collection and genetic evaluation protocols for smallholder tropical dairy systems. Nairobi, Kenya: International Livestock Research Institute.</w:t>
      </w:r>
    </w:p>
    <w:p w14:paraId="38628EEF"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IPCC. (2023). Climate Change 2023: Synthesis Report. Contribution of Working Groups I, II and III to the Sixth Assessment Report. Geneva, Switzerland: Intergovernmental Panel on Climate Change.</w:t>
      </w:r>
    </w:p>
    <w:p w14:paraId="381232E1"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Mogues, T., Fan, S., &amp; Benin, S. (2015). Public investments in and for agriculture: Synthesis of the existing evidence. Agricultural Economics, 46(3), 323–342. https://doi.org/10.1111/agec.12165</w:t>
      </w:r>
    </w:p>
    <w:p w14:paraId="2D36A33A"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 xml:space="preserve">Mrode, R., Ojango, J. M., Ekine-Dzivenu, C., Aliloo, H., Gibson, J., &amp; Okeyo, A. M. (2020). Genomic selection in smallholder dairy cattle production systems in developing countries: Challenges, </w:t>
      </w:r>
      <w:proofErr w:type="gramStart"/>
      <w:r w:rsidRPr="00FE5D91">
        <w:rPr>
          <w:rFonts w:ascii="Times New Roman" w:hAnsi="Times New Roman" w:cs="Times New Roman"/>
          <w:sz w:val="24"/>
          <w:szCs w:val="24"/>
        </w:rPr>
        <w:t>successes</w:t>
      </w:r>
      <w:proofErr w:type="gramEnd"/>
      <w:r w:rsidRPr="00FE5D91">
        <w:rPr>
          <w:rFonts w:ascii="Times New Roman" w:hAnsi="Times New Roman" w:cs="Times New Roman"/>
          <w:sz w:val="24"/>
          <w:szCs w:val="24"/>
        </w:rPr>
        <w:t xml:space="preserve"> and future directions. Frontiers in Genetics, 11, 577977. https://doi.org/10.3389/fgene.2020.577977</w:t>
      </w:r>
    </w:p>
    <w:p w14:paraId="2420B878"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Murray, M., Trail, J. C. M., Turner, D. A., &amp; Wissocq, Y. (1983). Livestock productivity and trypanotolerance: Network training manual. Addis Ababa, Ethiopia: International Livestock Centre for Africa (ILCA/ILRI).</w:t>
      </w:r>
    </w:p>
    <w:p w14:paraId="1651A99D"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NAPRI. (2019). Artificial insemination, estrus synchronization, and reproductive management in tropical beef and dairy cattle. Shika, Zaria, Nigeria: National Animal Production Research Institute, Ahmadu Bello University.</w:t>
      </w:r>
    </w:p>
    <w:p w14:paraId="55E4B397"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NIHORT. (2020). Standard operating procedures for horticultural field trials, post-harvest evaluation, and indigenous vegetable production in Nigeria. Ibadan, Nigeria: National Horticultural Research Institute.</w:t>
      </w:r>
    </w:p>
    <w:p w14:paraId="41CA939A"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NRC. (1971). A guide to environmental research on animals. Washington, DC: National Academy of Sciences.</w:t>
      </w:r>
    </w:p>
    <w:p w14:paraId="138D5C6E"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NVRI. (2021). National livestock and poultry vaccination calendar and cold chain management manual (4th ed.). Vom, Plateau State, Nigeria: National Veterinary Research Institute.</w:t>
      </w:r>
    </w:p>
    <w:p w14:paraId="311FA780"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lastRenderedPageBreak/>
        <w:t>Olaniyi, J. O., Akanbi, W. B., Adejumo, T. A., &amp; Akande, O. G. (2010). Growth, fruit yield and nutritional quality of tomato varieties in the savanna zone of Nigeria. African Journal of Food Science, 4(6), 398–402.</w:t>
      </w:r>
    </w:p>
    <w:p w14:paraId="2669B48A"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Sanchez, P. A. (2021). Properties and management of soils in the tropics (2nd ed.). Cambridge, UK: Cambridge University Press. https://doi.org/10.1017/9781108648172</w:t>
      </w:r>
    </w:p>
    <w:p w14:paraId="403FE035"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 xml:space="preserve">Sanginga, N., &amp; Mbabu, A. (2015). Root and tuber crops (cassava, yam, </w:t>
      </w:r>
      <w:proofErr w:type="gramStart"/>
      <w:r w:rsidRPr="00FE5D91">
        <w:rPr>
          <w:rFonts w:ascii="Times New Roman" w:hAnsi="Times New Roman" w:cs="Times New Roman"/>
          <w:sz w:val="24"/>
          <w:szCs w:val="24"/>
        </w:rPr>
        <w:t>potato</w:t>
      </w:r>
      <w:proofErr w:type="gramEnd"/>
      <w:r w:rsidRPr="00FE5D91">
        <w:rPr>
          <w:rFonts w:ascii="Times New Roman" w:hAnsi="Times New Roman" w:cs="Times New Roman"/>
          <w:sz w:val="24"/>
          <w:szCs w:val="24"/>
        </w:rPr>
        <w:t xml:space="preserve"> and sweet potato). In Feeding Africa: An action plan for African agricultural transformation. Dakar, Senegal: African Development Bank / IITA.</w:t>
      </w:r>
    </w:p>
    <w:p w14:paraId="6D89356E"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Vanlauwe, B., et al. (2021). Integrated soil fertility management in Sub-Saharan Africa: Unravelling the principles and practices. Soil Biology and Biochemistry, 154, 108132. https://doi.org/10.1016/j.soilbio.2021.108132</w:t>
      </w:r>
    </w:p>
    <w:p w14:paraId="43D3B78B"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WOAH. (2022). Terrestrial Animal Health Code. World Organisation for Animal Health. Paris, France.</w:t>
      </w:r>
    </w:p>
    <w:p w14:paraId="2C352FA1" w14:textId="77777777" w:rsidR="00F75B6B" w:rsidRPr="00FE5D91" w:rsidRDefault="00000000">
      <w:pPr>
        <w:spacing w:after="80" w:line="264" w:lineRule="auto"/>
        <w:ind w:left="720" w:hanging="720"/>
        <w:rPr>
          <w:rFonts w:ascii="Times New Roman" w:hAnsi="Times New Roman" w:cs="Times New Roman"/>
          <w:sz w:val="24"/>
          <w:szCs w:val="24"/>
        </w:rPr>
      </w:pPr>
      <w:r w:rsidRPr="00FE5D91">
        <w:rPr>
          <w:rFonts w:ascii="Times New Roman" w:hAnsi="Times New Roman" w:cs="Times New Roman"/>
          <w:sz w:val="24"/>
          <w:szCs w:val="24"/>
        </w:rPr>
        <w:t>World Bank. (2023). Africa's Pulse: An analysis of issues shaping Africa's economic future. Washington, DC: The World Bank.</w:t>
      </w:r>
    </w:p>
    <w:sectPr w:rsidR="00F75B6B" w:rsidRPr="00FE5D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8663947">
    <w:abstractNumId w:val="8"/>
  </w:num>
  <w:num w:numId="2" w16cid:durableId="1363246309">
    <w:abstractNumId w:val="6"/>
  </w:num>
  <w:num w:numId="3" w16cid:durableId="25445305">
    <w:abstractNumId w:val="5"/>
  </w:num>
  <w:num w:numId="4" w16cid:durableId="1195119171">
    <w:abstractNumId w:val="4"/>
  </w:num>
  <w:num w:numId="5" w16cid:durableId="725766113">
    <w:abstractNumId w:val="7"/>
  </w:num>
  <w:num w:numId="6" w16cid:durableId="243489697">
    <w:abstractNumId w:val="3"/>
  </w:num>
  <w:num w:numId="7" w16cid:durableId="1035929082">
    <w:abstractNumId w:val="2"/>
  </w:num>
  <w:num w:numId="8" w16cid:durableId="2073193774">
    <w:abstractNumId w:val="1"/>
  </w:num>
  <w:num w:numId="9" w16cid:durableId="682821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22E"/>
    <w:rsid w:val="0029639D"/>
    <w:rsid w:val="00326F90"/>
    <w:rsid w:val="00532D7D"/>
    <w:rsid w:val="00687EF1"/>
    <w:rsid w:val="00AA1D8D"/>
    <w:rsid w:val="00B47730"/>
    <w:rsid w:val="00B95173"/>
    <w:rsid w:val="00CB0664"/>
    <w:rsid w:val="00E579E7"/>
    <w:rsid w:val="00F75B6B"/>
    <w:rsid w:val="00FC693F"/>
    <w:rsid w:val="00FE5D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5B3E36"/>
  <w14:defaultImageDpi w14:val="300"/>
  <w15:docId w15:val="{22B5C6BE-44AF-47CA-9725-A9B7885CE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121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858</TotalTime>
  <Pages>1</Pages>
  <Words>4335</Words>
  <Characters>24710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Young Irivboje</cp:lastModifiedBy>
  <cp:revision>4</cp:revision>
  <dcterms:created xsi:type="dcterms:W3CDTF">2013-12-23T23:15:00Z</dcterms:created>
  <dcterms:modified xsi:type="dcterms:W3CDTF">2026-10-24T21:03:00Z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27b4cfdecae61f9941dcc9ec80da660b02e908084f14ab54bc180722db2178a5</vt:lpwstr>
  </property>
</Properties>
</file>