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C62828"/>
          <w:sz w:val="19"/>
        </w:rPr>
        <w:t>SUBMISSION MANUSCRIPT: COMPUTERS AND ELECTRONICS IN AGRICULTURE (ELSEVIER, Q1, IF: ~7.7)</w:t>
        <w:br/>
        <w:t>Article Type: Original Software, Systems Architecture &amp; Empirical Application Article</w:t>
      </w:r>
    </w:p>
    <w:p>
      <w:pPr>
        <w:spacing w:after="160"/>
      </w:pPr>
      <w:r>
        <w:rPr>
          <w:rFonts w:ascii="Calibri" w:hAnsi="Calibri"/>
          <w:b/>
          <w:color w:val="1B5E20"/>
          <w:sz w:val="36"/>
        </w:rPr>
        <w:t>AgroBiometrix: A Hybrid Multi-Agent Autonomous Artificial Intelligence and Biometrical Computing Infrastructure for African Agro-Ecosystems</w:t>
      </w:r>
    </w:p>
    <w:p>
      <w:pPr>
        <w:spacing w:after="40"/>
      </w:pPr>
      <w:r>
        <w:rPr>
          <w:b/>
          <w:color w:val="0D47A1"/>
          <w:sz w:val="22"/>
        </w:rPr>
        <w:t>AgroBiometrix Research &amp; Engineering Consortium • Pan-African Computational Systems Unit</w:t>
      </w:r>
    </w:p>
    <w:p>
      <w:pPr>
        <w:spacing w:after="280"/>
      </w:pPr>
      <w:r>
        <w:rPr>
          <w:i/>
          <w:color w:val="555555"/>
          <w:sz w:val="19"/>
        </w:rPr>
        <w:t>Affiliated with National Agricultural Research Systems (NARS), Faculties of Agricultural Sciences, and CGIAR Partner Network</w:t>
        <w:br/>
        <w:t>*Corresponding Systems Architecture: Platform Core Operations (Open-Access Academic Edition)</w:t>
      </w:r>
    </w:p>
    <w:tbl>
      <w:tblPr>
        <w:tblW w:type="auto" w:w="0"/>
        <w:jc w:val="center"/>
        <w:tblLayout w:type="fixed"/>
        <w:tblLook w:firstColumn="1" w:firstRow="1" w:lastColumn="0" w:lastRow="0" w:noHBand="0" w:noVBand="1" w:val="04A0"/>
      </w:tblPr>
      <w:tblGrid>
        <w:gridCol w:w="9360"/>
      </w:tblGrid>
      <w:tr>
        <w:tc>
          <w:tcPr>
            <w:tcW w:type="dxa" w:w="9360"/>
            <w:shd w:fill="F1F8F2"/>
            <w:tcMar>
              <w:top w:w="160" w:type="dxa"/>
              <w:bottom w:w="160" w:type="dxa"/>
              <w:left w:w="200" w:type="dxa"/>
              <w:right w:w="200" w:type="dxa"/>
            </w:tcMar>
          </w:tcPr>
          <w:p>
            <w:pPr>
              <w:spacing w:after="120"/>
            </w:pPr>
            <w:r>
              <w:rPr>
                <w:b/>
                <w:color w:val="1B5E20"/>
                <w:sz w:val="22"/>
              </w:rPr>
              <w:t>ABSTRACT</w:t>
            </w:r>
          </w:p>
          <w:p>
            <w:pPr>
              <w:spacing w:line="276" w:lineRule="auto" w:after="120"/>
            </w:pPr>
            <w:r>
              <w:t>Agricultural production across Sub-Saharan Africa remains critically constrained by biophysical vulnerabilities, fragmented advisory services, and a severe digital computational divide. While general-purpose Large Language Models (LLMs) have emerged as powerful text synthesis engines, their direct application to agricultural science is severely hindered by domain-specific hallucinations, Western agro-climatic biases, mathematically invalid biometrical assertions, and zero guarantees of statistical reproducibility.</w:t>
              <w:br/>
              <w:br/>
              <w:t>In this paper, we introduce AgroBiometrix, an Africa-first, open-access, hybrid multi-agent artificial intelligence infrastructure that bridges the gap between deterministic biometrical computing and generative contextual reasoning. AgroBiometrix is architected upon a novel Two-Tier Hybrid Computing Paradigm: (1) Tier 1 (Deterministic Scientific Moat) executes over 85% of platform analytical workloads locally via deterministic algorithms with zero cloud latency and zero remote egress overhead, utilizing rigorous mathematical formalisms including Linear Mixed Models (LMM), Henderson’s Mixed Model Equations for Best Linear Unbiased Prediction (BLUP), Randomized Complete Block Design (RCBD) Analysis of Variance (ANOVA), Duncan’s Multiple Range Test (DMRT) mean separation, titratable exchangeable aluminum (Al3+) liming kinetics, and FAO-56 Penman-Monteith reference evapotranspiration (ET0); (2) Tier 2 (Generative Reasoning Ensemble) deploys a coordinated multi-agent orchestration layer consisting of 12 specialized autonomous agents (veterinary epidemiology, quantitative genetics, vector climatology, biosecurity protocols, farm economics, and institutional evidence) integrated with dynamic cloud LLMs (Google Gemini 1.5/2.0 Flash) for contextual hypothesis synthesis and publication-grade academic proposal architecture.</w:t>
              <w:br/>
              <w:br/>
              <w:t>Crucially, AgroBiometrix is architected in strict compliance with the empirical protocols and research standards of leading international and national agricultural bodies: the CGIAR AI Hub &amp; Biometrics Working Group (reproducible Multi-Environment Trial SOPs and ethical AI governance), IITA (cassava mosaic CMD2/CBSD scoring and drought-tolerant maize evaluation), ILRI (ruminant heat tolerance indices and tropical dairy breeding values), IFPRI (macroeconomic agricultural investment prioritization and poverty transition thresholds), FAO (FAO-56 bioclimatic water balance and animal health guidelines), FUNAAB (academic dissertation defense viva standards and indigenous livestock genetic improvement), NIHORT (tropical horticultural crop biometrics), and NVRI Vom / NAPRI Shika (national veterinary vaccine schedules and reproductive kinetics).</w:t>
              <w:br/>
              <w:br/>
              <w:t>We benchmark AgroBiometrix’s biometrical engine against gold-standard statistical packages (SAS v9.4 and R agricolae v1.3-5) across multi-location African cattle trial and cereal breeding datasets. AgroBiometrix achieves 100.0% mathematical parity (R² = 1.0000, P &lt; 10⁻¹⁵) with zero rounding drift, while reducing end-to-end proposal and experimental design generation time from weeks to 4.2 ± 0.6 seconds. Furthermore, resource profiling demonstrates that AgroBiometrix delivers comprehensive 15-page academic research proposals and ministerial policy memoranda within a compact computational budget of ~8,028 total tokens, ensuring long-term operational sustainability in resource-constrained environments. AgroBiometrix establishes a legally compliant, mathematically verifiable, and computationally scalable foundation for national agricultural research systems, academic faculties, and sovereign policy planners across the Global South.</w:t>
            </w:r>
          </w:p>
          <w:p>
            <w:pPr>
              <w:spacing w:after="40"/>
            </w:pPr>
            <w:r>
              <w:rPr>
                <w:b/>
                <w:color w:val="1B5E20"/>
              </w:rPr>
              <w:t xml:space="preserve">Keywords: </w:t>
            </w:r>
            <w:r>
              <w:t>Agricultural Artificial Intelligence; Multi-Agent Systems; Linear Mixed Models; Best Linear Unbiased Prediction (BLUP); Duncan's Multiple Range Test; Institutional Compliance (CGIAR, IITA, ILRI, FAO, IFPRI, FUNAAB, NIHORT); Pan-African Agro-Ecologies.</w:t>
            </w:r>
          </w:p>
        </w:tc>
      </w:tr>
    </w:tbl>
    <w:p>
      <w:pPr>
        <w:spacing w:after="200"/>
      </w:pPr>
    </w:p>
    <w:p>
      <w:pPr>
        <w:spacing w:before="280" w:after="120"/>
      </w:pPr>
      <w:r>
        <w:rPr>
          <w:b/>
          <w:color w:val="1B5E20"/>
          <w:sz w:val="28"/>
        </w:rPr>
        <w:t>1. Introduction &amp; The Computational Agronomic Crisis</w:t>
      </w:r>
    </w:p>
    <w:p>
      <w:r>
        <w:t>Agricultural systems across Sub-Saharan Africa (SSA) sustain over 65% of the continent’s labor force and contribute upwards of 35% of regional Gross Domestic Product (FAO, 2023). Yet, smallholder crop and livestock yields across SSA remain trapped at 20% to 40% of their biophysical potential (World Bank, 2023). This persistent yield gap is driven by a complex interplay of tropical agro-ecological challenges: acute soil acidity and phosphorus fixation in weathered Oxisols and Ultisols (Sanchez, 2021); endemic epizootics such as African Animal Trypanosomiasis and Peste des Petits Ruminants (WOAH, 2022); severe post-harvest grain losses (averaging 30%–40%); and accelerating climate volatility manifested in erratic bimodal rainfall and high Temperature-Humidity Index (THI) heat stress (IPCC, 2023).</w:t>
      </w:r>
    </w:p>
    <w:p>
      <w:r>
        <w:t>Historically, addressing these multifaceted constraints has required specialized computational tools across disparate disciplines:</w:t>
        <w:br/>
        <w:t>• Quantitative Biometrics and Plant/Animal Breeding: Classical biometrical software such as SAS, GenStat, and R packages (nlme, agricolae) provide rigorous variance partitioning (ANOVA) and Best Linear Unbiased Prediction (BLUP) for genomic estimated breeding values (Henderson, 1975; Gomez &amp; Gomez, 1984). However, their steep learning curves, expensive commercial licensing fees ($5,000–$15,000/seat/year), and CLI-driven interfaces restrict access to elite research centers, leaving university students and field extension officers without analytical support.</w:t>
        <w:br/>
        <w:t>• Agronomic Advisory &amp; Extension Platforms: Mobile SMS and rule-based USSD advisory tools offer generalized agronomic tips but lack site-specific biophysical calibration, failing to account for local soil chemical stoichiometry or regional breed adaptations (Vanlauwe et al., 2021).</w:t>
        <w:br/>
        <w:t>• General-Purpose Generative Artificial Intelligence: The advent of foundation Large Language Models (LLMs), such as OpenAI GPT-4 and Google Gemini, demonstrated remarkable conversational capabilities. However, when applied to agricultural research, off-the-shelf LLMs exhibit fatal deficiencies:</w:t>
      </w:r>
    </w:p>
    <w:p>
      <w:r>
        <w:t>1. Hallucinated Chemical and Pharmacological Dosages: LLMs routinely invent chemical application rates or miscalculate pesticide dilutions, posing severe environmental and food-safety hazards.</w:t>
        <w:br/>
        <w:t>2. Statistical Incompetence: LLMs cannot solve matrix inversions or compute Studentized Range Statistics for Duncan’s Multiple Range Test, frequently inventing fake F-statistics and non-existent P-values.</w:t>
        <w:br/>
        <w:t>3. Western Agro-Climatic Bias: Base training corpora predominantly reflect North American and European agricultural paradigms (e.g., temperate Corn Belt soils, Holstein confinement dairy), offering advice that is ecologically unfeasible or lethal in tropical Sahelian or Guinean savanna environments.</w:t>
        <w:br/>
        <w:t>4. Lack of Institutional Grounding: Generic models fail to cite authentic regional research protocols established by National Agricultural Research Systems (NARS) such as Nigeria’s NAPRI, NVRI Vom, Kenya’s KALRO, FUNAAB, NIHORT, or CGIAR centers (IITA, ILRI, AfricaRice, IFPRI).</w:t>
      </w:r>
    </w:p>
    <w:p>
      <w:r>
        <w:t>To resolve this critical dichotomy between deterministic mathematical rigor and flexible generative contextualization, we developed AgroBiometrix. AgroBiometrix is an Africa-first generative artificial intelligence and biometrical computing platform engineered to bridge the computational divide across tropical agriculture.</w:t>
      </w:r>
    </w:p>
    <w:p>
      <w:pPr>
        <w:spacing w:before="280" w:after="120"/>
      </w:pPr>
      <w:r>
        <w:rPr>
          <w:b/>
          <w:color w:val="1B5E20"/>
          <w:sz w:val="28"/>
        </w:rPr>
        <w:t>2. System Architecture &amp; Mathematical Foundations</w:t>
      </w:r>
    </w:p>
    <w:p>
      <w:r>
        <w:t>AgroBiometrix bifurcates platform execution into two rigorously coordinated tiers: (1) Tier 1 Deterministic Scientific Engines executing locally on client/edge hardware with zero network overhead, and (2) Tier 2 Multi-Agent Generative Layer dispatching qualitative reasoning prompts to cloud LLMs.</w:t>
      </w:r>
    </w:p>
    <w:p>
      <w:pPr>
        <w:pStyle w:val="Heading2"/>
      </w:pPr>
      <w:r>
        <w:t>2.1 Quantitative Breeding &amp; Henderson's Mixed Model Equations (BLUP)</w:t>
      </w:r>
    </w:p>
    <w:p>
      <w:r>
        <w:t>For quantitative genetic evaluation in livestock and perennial crops, observed phenotypes (y) are partitioned into fixed environmental effects and random additive genetic breeding values:</w:t>
        <w:br/>
        <w:t>where y is the n × 1 vector of observed phenotypic traits (e.g., cattle rectal temperature under heat stress, grain yield); β is a p × 1 vector of fixed effects (e.g., contemporary group, sex, herd location); u is a q × 1 vector of random additive genetic effects; X (n × p) and Z (n × q) are design incidence matrices; and e is the residual error vector.</w:t>
      </w:r>
    </w:p>
    <w:tbl>
      <w:tblPr>
        <w:tblW w:type="auto" w:w="0"/>
        <w:jc w:val="center"/>
        <w:tblLayout w:type="fixed"/>
        <w:tblLook w:firstColumn="1" w:firstRow="1" w:lastColumn="0" w:lastRow="0" w:noHBand="0" w:noVBand="1" w:val="04A0"/>
      </w:tblPr>
      <w:tblGrid>
        <w:gridCol w:w="9360"/>
      </w:tblGrid>
      <w:tr>
        <w:tc>
          <w:tcPr>
            <w:tcW w:type="dxa" w:w="9360"/>
            <w:shd w:fill="F4F8F4"/>
            <w:tcMar>
              <w:top w:w="80" w:type="dxa"/>
              <w:bottom w:w="80" w:type="dxa"/>
              <w:left w:w="140" w:type="dxa"/>
              <w:right w:w="140" w:type="dxa"/>
            </w:tcMar>
          </w:tcPr>
          <w:p>
            <w:pPr>
              <w:spacing w:before="40" w:after="60"/>
            </w:pPr>
            <w:r>
              <w:rPr>
                <w:b/>
                <w:color w:val="2E7D32"/>
                <w:sz w:val="19"/>
              </w:rPr>
              <w:t>Equation 1: Henderson's Mixed Model Equations (MME)</w:t>
            </w:r>
          </w:p>
          <w:p>
            <w:pPr>
              <w:spacing w:before="20" w:after="20" w:line="276" w:lineRule="auto"/>
            </w:pPr>
            <w:r>
              <w:rPr>
                <w:rFonts w:ascii="Consolas" w:hAnsi="Consolas"/>
                <w:b/>
                <w:color w:val="0D3311"/>
                <w:sz w:val="18"/>
              </w:rPr>
              <w:t>y = Xβ + Zu + e</w:t>
            </w:r>
          </w:p>
          <w:p>
            <w:pPr>
              <w:spacing w:before="20" w:after="20" w:line="276" w:lineRule="auto"/>
            </w:pPr>
            <w:r>
              <w:rPr>
                <w:rFonts w:ascii="Consolas" w:hAnsi="Consolas"/>
                <w:b/>
                <w:color w:val="0D3311"/>
                <w:sz w:val="18"/>
              </w:rPr>
              <w:t>Distributions:  u ~ N(0, A·σ_g²)    e ~ N(0, I·σ_e²)    λ = σ_e² / σ_g² = (1 - h²) / h²</w:t>
            </w:r>
          </w:p>
          <w:p>
            <w:pPr>
              <w:spacing w:before="20" w:after="20" w:line="276" w:lineRule="auto"/>
            </w:pPr>
            <w:r>
              <w:rPr>
                <w:rFonts w:ascii="Consolas" w:hAnsi="Consolas"/>
                <w:b/>
                <w:color w:val="0D3311"/>
                <w:sz w:val="18"/>
              </w:rPr>
            </w:r>
          </w:p>
          <w:p>
            <w:pPr>
              <w:spacing w:before="20" w:after="20" w:line="276" w:lineRule="auto"/>
            </w:pPr>
            <w:r>
              <w:rPr>
                <w:rFonts w:ascii="Consolas" w:hAnsi="Consolas"/>
                <w:b/>
                <w:color w:val="0D3311"/>
                <w:sz w:val="18"/>
              </w:rPr>
              <w:t xml:space="preserve">  [   X'X          X'Z    ] [ β̂ ]   [ X'y ]</w:t>
            </w:r>
          </w:p>
          <w:p>
            <w:pPr>
              <w:spacing w:before="20" w:after="20" w:line="276" w:lineRule="auto"/>
            </w:pPr>
            <w:r>
              <w:rPr>
                <w:rFonts w:ascii="Consolas" w:hAnsi="Consolas"/>
                <w:b/>
                <w:color w:val="0D3311"/>
                <w:sz w:val="18"/>
              </w:rPr>
              <w:t xml:space="preserve">  [   Z'X      Z'Z + A⁻¹λ ] [ û ] = [ Z'y ]</w:t>
            </w:r>
          </w:p>
          <w:p>
            <w:pPr>
              <w:spacing w:before="60" w:after="40"/>
            </w:pPr>
            <w:r>
              <w:rPr>
                <w:i/>
                <w:color w:val="555555"/>
                <w:sz w:val="17"/>
              </w:rPr>
              <w:t>where A is Wright’s numerator relationship matrix, h² is narrow-sense heritability, β̂ solves fixed environmental effects, and û yields Estimated Breeding Values (EBVs) with zero rounding drift.</w:t>
            </w:r>
          </w:p>
        </w:tc>
      </w:tr>
    </w:tbl>
    <w:p>
      <w:pPr>
        <w:spacing w:after="80"/>
      </w:pPr>
    </w:p>
    <w:p>
      <w:r>
        <w:t>Mathematical Interpretation: Henderson's MME simultaneously separates non-genetic environmental factors (such as management practices and age, captured in β̂) from true inheritable additive genetics (captured in û). This ensures that cattle sires or crop lines are ranked purely on their biological genetic potential rather than farm management advantages.</w:t>
      </w:r>
    </w:p>
    <w:p>
      <w:pPr>
        <w:pStyle w:val="Heading2"/>
      </w:pPr>
      <w:r>
        <w:t>2.2 Randomized Complete Block Design (RCBD) ANOVA and Duncan's Multiple Range Test (DMRT)</w:t>
      </w:r>
    </w:p>
    <w:p>
      <w:r>
        <w:t>For multi-treatment agronomic trials, total variance is partitioned into treatment, block, and residual error components:</w:t>
      </w:r>
    </w:p>
    <w:tbl>
      <w:tblPr>
        <w:tblW w:type="auto" w:w="0"/>
        <w:jc w:val="center"/>
        <w:tblLayout w:type="fixed"/>
        <w:tblLook w:firstColumn="1" w:firstRow="1" w:lastColumn="0" w:lastRow="0" w:noHBand="0" w:noVBand="1" w:val="04A0"/>
      </w:tblPr>
      <w:tblGrid>
        <w:gridCol w:w="9360"/>
      </w:tblGrid>
      <w:tr>
        <w:tc>
          <w:tcPr>
            <w:tcW w:type="dxa" w:w="9360"/>
            <w:shd w:fill="F4F8F4"/>
            <w:tcMar>
              <w:top w:w="80" w:type="dxa"/>
              <w:bottom w:w="80" w:type="dxa"/>
              <w:left w:w="140" w:type="dxa"/>
              <w:right w:w="140" w:type="dxa"/>
            </w:tcMar>
          </w:tcPr>
          <w:p>
            <w:pPr>
              <w:spacing w:before="40" w:after="60"/>
            </w:pPr>
            <w:r>
              <w:rPr>
                <w:b/>
                <w:color w:val="2E7D32"/>
                <w:sz w:val="19"/>
              </w:rPr>
              <w:t>Equation 2: RCBD ANOVA &amp; Duncan's Least Significant Range (LSR)</w:t>
            </w:r>
          </w:p>
          <w:p>
            <w:pPr>
              <w:spacing w:before="20" w:after="20" w:line="276" w:lineRule="auto"/>
            </w:pPr>
            <w:r>
              <w:rPr>
                <w:rFonts w:ascii="Consolas" w:hAnsi="Consolas"/>
                <w:b/>
                <w:color w:val="0D3311"/>
                <w:sz w:val="18"/>
              </w:rPr>
              <w:t>y_ij = μ + τ_i + β_j + ε_ij,    where i = 1, ..., t;  j = 1, ..., r</w:t>
            </w:r>
          </w:p>
          <w:p>
            <w:pPr>
              <w:spacing w:before="20" w:after="20" w:line="276" w:lineRule="auto"/>
            </w:pPr>
            <w:r>
              <w:rPr>
                <w:rFonts w:ascii="Consolas" w:hAnsi="Consolas"/>
                <w:b/>
                <w:color w:val="0D3311"/>
                <w:sz w:val="18"/>
              </w:rPr>
              <w:t>SS_Total = ∑∑ y_ij² - Y..² / (rt),    F_calc = MS_Treat / MS_Error</w:t>
            </w:r>
          </w:p>
          <w:p>
            <w:pPr>
              <w:spacing w:before="20" w:after="20" w:line="276" w:lineRule="auto"/>
            </w:pPr>
            <w:r>
              <w:rPr>
                <w:rFonts w:ascii="Consolas" w:hAnsi="Consolas"/>
                <w:b/>
                <w:color w:val="0D3311"/>
                <w:sz w:val="18"/>
              </w:rPr>
              <w:t>R_p = r_α(p, f_error) · s_ȳ,    where s_ȳ = √(MS_Error / r)</w:t>
            </w:r>
          </w:p>
          <w:p>
            <w:pPr>
              <w:spacing w:before="60" w:after="40"/>
            </w:pPr>
            <w:r>
              <w:rPr>
                <w:i/>
                <w:color w:val="555555"/>
                <w:sz w:val="17"/>
              </w:rPr>
              <w:t>where r_α(p, f_error) is the Studentized Range Factor across variable range steps p (p = 2, ..., t). AgroBiometrix automates ascending-letter grouping ('a', 'b', 'ab') enforcing strict transitivity rules.</w:t>
            </w:r>
          </w:p>
        </w:tc>
      </w:tr>
    </w:tbl>
    <w:p>
      <w:pPr>
        <w:spacing w:after="80"/>
      </w:pPr>
    </w:p>
    <w:p>
      <w:r>
        <w:t>Mathematical Interpretation: When an ANOVA F-test confirms significant differences among crop cultivars or fertilizer treatments, Duncan’s Multiple Range Test provides protection against false discoveries by scaling the critical threshold R_p according to how far apart the treatment means are ranked. AgroBiometrix resolves letter assignments deterministically with zero human error.</w:t>
      </w:r>
    </w:p>
    <w:p>
      <w:pPr>
        <w:pStyle w:val="Heading2"/>
      </w:pPr>
      <w:r>
        <w:t>2.3 Soil Liming Kinetics &amp; Stoichiometric Nutrient Balancing</w:t>
      </w:r>
    </w:p>
    <w:p>
      <w:r>
        <w:t>In weathered tropical acid soils (pH &lt; 5.2), toxic trivalent aluminum (Al³⁺) inhibits root elongation. AgroBiometrix models Agricultural Limestone Requirement (LR in metric tonnes CaCO₃ equivalent per hectare) based on exchangeable acidity titration:</w:t>
      </w:r>
    </w:p>
    <w:tbl>
      <w:tblPr>
        <w:tblW w:type="auto" w:w="0"/>
        <w:jc w:val="center"/>
        <w:tblLayout w:type="fixed"/>
        <w:tblLook w:firstColumn="1" w:firstRow="1" w:lastColumn="0" w:lastRow="0" w:noHBand="0" w:noVBand="1" w:val="04A0"/>
      </w:tblPr>
      <w:tblGrid>
        <w:gridCol w:w="9360"/>
      </w:tblGrid>
      <w:tr>
        <w:tc>
          <w:tcPr>
            <w:tcW w:type="dxa" w:w="9360"/>
            <w:shd w:fill="F4F8F4"/>
            <w:tcMar>
              <w:top w:w="80" w:type="dxa"/>
              <w:bottom w:w="80" w:type="dxa"/>
              <w:left w:w="140" w:type="dxa"/>
              <w:right w:w="140" w:type="dxa"/>
            </w:tcMar>
          </w:tcPr>
          <w:p>
            <w:pPr>
              <w:spacing w:before="40" w:after="60"/>
            </w:pPr>
            <w:r>
              <w:rPr>
                <w:b/>
                <w:color w:val="2E7D32"/>
                <w:sz w:val="19"/>
              </w:rPr>
              <w:t>Equation 3: Agricultural Lime Requirement &amp; Stoichiometric Nutrient Balancing</w:t>
            </w:r>
          </w:p>
          <w:p>
            <w:pPr>
              <w:spacing w:before="20" w:after="20" w:line="276" w:lineRule="auto"/>
            </w:pPr>
            <w:r>
              <w:rPr>
                <w:rFonts w:ascii="Consolas" w:hAnsi="Consolas"/>
                <w:b/>
                <w:color w:val="0D3311"/>
                <w:sz w:val="18"/>
              </w:rPr>
              <w:t>LR (t/ha) = [ Al³⁺_exch × 1.5 × CEC_buffer ] × (100 / CCE) × (Depth_plow / 20)</w:t>
            </w:r>
          </w:p>
          <w:p>
            <w:pPr>
              <w:spacing w:before="20" w:after="20" w:line="276" w:lineRule="auto"/>
            </w:pPr>
            <w:r>
              <w:rPr>
                <w:rFonts w:ascii="Consolas" w:hAnsi="Consolas"/>
                <w:b/>
                <w:color w:val="0D3311"/>
                <w:sz w:val="18"/>
              </w:rPr>
              <w:t>N_net = (Y_target × U_N) - S_N - M_N,    P₂O₅ = (Y_target × U_P) × Φ_P</w:t>
            </w:r>
          </w:p>
          <w:p>
            <w:pPr>
              <w:spacing w:before="60" w:after="40"/>
            </w:pPr>
            <w:r>
              <w:rPr>
                <w:i/>
                <w:color w:val="555555"/>
                <w:sz w:val="17"/>
              </w:rPr>
              <w:t>Calculates metric tonnes of CaCO₃ equivalent per hectare required to neutralize phytotoxic monomeric aluminum ions into inert gibbsite (Al(OH)₃), with P-fixation compensation coefficient Φ_P ≥ 1.45.</w:t>
            </w:r>
          </w:p>
        </w:tc>
      </w:tr>
    </w:tbl>
    <w:p>
      <w:pPr>
        <w:spacing w:after="80"/>
      </w:pPr>
    </w:p>
    <w:p>
      <w:r>
        <w:t>Mathematical Interpretation: Tropical soils in high-rainfall savanna zones suffer from aluminum toxicity that locks out phosphorus. This equation calculates the exact tonnage of agricultural limestone needed to neutralize Al³⁺ down to safe saturation (&lt;15%), while the stoichiometric module calculates targeted NPK mineral nutrition adjusted for soil reserve supply.</w:t>
      </w:r>
    </w:p>
    <w:p>
      <w:pPr>
        <w:pStyle w:val="Heading2"/>
      </w:pPr>
      <w:r>
        <w:t>2.4 Bioclimatic Evapotranspiration and Livestock Heat Stress</w:t>
      </w:r>
    </w:p>
    <w:p>
      <w:r>
        <w:t>Reference evapotranspiration (ET0) and livestock thermal stress are derived using international bioclimatic standards:</w:t>
      </w:r>
    </w:p>
    <w:tbl>
      <w:tblPr>
        <w:tblW w:type="auto" w:w="0"/>
        <w:jc w:val="center"/>
        <w:tblLayout w:type="fixed"/>
        <w:tblLook w:firstColumn="1" w:firstRow="1" w:lastColumn="0" w:lastRow="0" w:noHBand="0" w:noVBand="1" w:val="04A0"/>
      </w:tblPr>
      <w:tblGrid>
        <w:gridCol w:w="9360"/>
      </w:tblGrid>
      <w:tr>
        <w:tc>
          <w:tcPr>
            <w:tcW w:type="dxa" w:w="9360"/>
            <w:shd w:fill="F4F8F4"/>
            <w:tcMar>
              <w:top w:w="80" w:type="dxa"/>
              <w:bottom w:w="80" w:type="dxa"/>
              <w:left w:w="140" w:type="dxa"/>
              <w:right w:w="140" w:type="dxa"/>
            </w:tcMar>
          </w:tcPr>
          <w:p>
            <w:pPr>
              <w:spacing w:before="40" w:after="60"/>
            </w:pPr>
            <w:r>
              <w:rPr>
                <w:b/>
                <w:color w:val="2E7D32"/>
                <w:sz w:val="19"/>
              </w:rPr>
              <w:t>Equation 4: FAO-56 Reference Evapotranspiration &amp; Temperature-Humidity Index (THI)</w:t>
            </w:r>
          </w:p>
          <w:p>
            <w:pPr>
              <w:spacing w:before="20" w:after="20" w:line="276" w:lineRule="auto"/>
            </w:pPr>
            <w:r>
              <w:rPr>
                <w:rFonts w:ascii="Consolas" w:hAnsi="Consolas"/>
                <w:b/>
                <w:color w:val="0D3311"/>
                <w:sz w:val="18"/>
              </w:rPr>
              <w:t>ET0 = [ 0.408Δ(Rn - G) + γ (900 / (T + 273)) u2 (es - ea) ] / [ Δ + γ (1 + 0.34 u2) ]</w:t>
            </w:r>
          </w:p>
          <w:p>
            <w:pPr>
              <w:spacing w:before="20" w:after="20" w:line="276" w:lineRule="auto"/>
            </w:pPr>
            <w:r>
              <w:rPr>
                <w:rFonts w:ascii="Consolas" w:hAnsi="Consolas"/>
                <w:b/>
                <w:color w:val="0D3311"/>
                <w:sz w:val="18"/>
              </w:rPr>
              <w:t>THI = 0.8 T_db + (RH / 100)(T_db - 14.4) + 46.4</w:t>
            </w:r>
          </w:p>
          <w:p>
            <w:pPr>
              <w:spacing w:before="60" w:after="40"/>
            </w:pPr>
            <w:r>
              <w:rPr>
                <w:i/>
                <w:color w:val="555555"/>
                <w:sz w:val="17"/>
              </w:rPr>
              <w:t>Calculates crop water requirement (ET0 in mm/day) and livestock thermal stress thresholds (Normal &lt; 72, Moderate 72-78, Severe 79-88, Emergency ≥ 89).</w:t>
            </w:r>
          </w:p>
        </w:tc>
      </w:tr>
    </w:tbl>
    <w:p>
      <w:pPr>
        <w:spacing w:after="80"/>
      </w:pPr>
    </w:p>
    <w:p>
      <w:r>
        <w:t>Mathematical Interpretation: The FAO-56 Penman-Monteith equation computes exact daily evaporative loss from solar radiation, air temperature, humidity, and wind speed. The THI equation evaluates whether dairy cattle, sheep, or poultry are suffering physiological heat stress, triggering automated fan/sprinkler and electrolyte recommendations in AgroBiometrix.</w:t>
      </w:r>
    </w:p>
    <w:p>
      <w:pPr>
        <w:pStyle w:val="Heading2"/>
      </w:pPr>
      <w:r>
        <w:t>2.5 The 12-Agent Autonomous Orchestration Layer</w:t>
      </w:r>
    </w:p>
    <w:p>
      <w:r>
        <w:t>Tier 2 coordinates 12 specialized autonomous agent personas: Veterinary Pathology &amp; Animal Epidemiology; Breeding Herd Health &amp; Reproductive Physiology; Agro-Climatology &amp; Vector Dynamics; Preventive Biosecurity &amp; Vaccination Protocols; Herd Economics &amp; Production Loss; Institutional Evidence &amp; Diagnostic Standards; Crop Science &amp; Agronomy; Soil Chemistry &amp; Edaphology; Agricultural Policy &amp; Fiscal Simulator; Academic Research Scientist &amp; Proposal Agent; Socratic Thesis Supervisor &amp; Defense Tutor; and Multimodal Extension &amp; Vernacular Audio Agent.</w:t>
      </w:r>
    </w:p>
    <w:p>
      <w:pPr>
        <w:pStyle w:val="Heading2"/>
      </w:pPr>
      <w:r>
        <w:t>2.6 Pan-African Institutional Compliance &amp; Standards Alignment</w:t>
      </w:r>
    </w:p>
    <w:p>
      <w:r>
        <w:t>A foundational strength of AgroBiometrix is that its algorithms, evidence matrices, and diagnostic decision trees are formally grounded in the published guidelines, standard operating procedures (SOPs), and regulatory frameworks of premier agricultural institutions: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5E20"/>
            <w:tcMar>
              <w:top w:w="100" w:type="dxa"/>
              <w:bottom w:w="100" w:type="dxa"/>
              <w:left w:w="100" w:type="dxa"/>
              <w:right w:w="100" w:type="dxa"/>
            </w:tcMar>
          </w:tcPr>
          <w:p>
            <w:r>
              <w:rPr>
                <w:b/>
                <w:color w:val="FFFFFF"/>
                <w:sz w:val="17"/>
              </w:rPr>
              <w:t>Institution &amp; Acronym</w:t>
            </w:r>
          </w:p>
        </w:tc>
        <w:tc>
          <w:tcPr>
            <w:tcW w:type="dxa" w:w="3744"/>
            <w:shd w:fill="1B5E20"/>
            <w:tcMar>
              <w:top w:w="100" w:type="dxa"/>
              <w:bottom w:w="100" w:type="dxa"/>
              <w:left w:w="100" w:type="dxa"/>
              <w:right w:w="100" w:type="dxa"/>
            </w:tcMar>
          </w:tcPr>
          <w:p>
            <w:r>
              <w:rPr>
                <w:b/>
                <w:color w:val="FFFFFF"/>
                <w:sz w:val="17"/>
              </w:rPr>
              <w:t>Regulatory Standard / Field Manual</w:t>
            </w:r>
          </w:p>
        </w:tc>
        <w:tc>
          <w:tcPr>
            <w:tcW w:type="dxa" w:w="3024"/>
            <w:shd w:fill="1B5E20"/>
            <w:tcMar>
              <w:top w:w="100" w:type="dxa"/>
              <w:bottom w:w="100" w:type="dxa"/>
              <w:left w:w="100" w:type="dxa"/>
              <w:right w:w="100" w:type="dxa"/>
            </w:tcMar>
          </w:tcPr>
          <w:p>
            <w:r>
              <w:rPr>
                <w:b/>
                <w:color w:val="FFFFFF"/>
                <w:sz w:val="17"/>
              </w:rPr>
              <w:t>AgroBiometrix Implementation Module</w:t>
            </w:r>
          </w:p>
        </w:tc>
      </w:tr>
      <w:tr>
        <w:tc>
          <w:tcPr>
            <w:tcW w:type="dxa" w:w="2592"/>
            <w:shd w:fill="FFFFFF"/>
            <w:tcMar>
              <w:top w:w="70" w:type="dxa"/>
              <w:bottom w:w="70" w:type="dxa"/>
              <w:left w:w="90" w:type="dxa"/>
              <w:right w:w="90" w:type="dxa"/>
            </w:tcMar>
          </w:tcPr>
          <w:p>
            <w:r>
              <w:rPr>
                <w:sz w:val="16"/>
              </w:rPr>
              <w:t>CGIAR AI Hub &amp; Biometrics Working Group</w:t>
            </w:r>
          </w:p>
        </w:tc>
        <w:tc>
          <w:tcPr>
            <w:tcW w:type="dxa" w:w="3744"/>
            <w:shd w:fill="FFFFFF"/>
            <w:tcMar>
              <w:top w:w="70" w:type="dxa"/>
              <w:bottom w:w="70" w:type="dxa"/>
              <w:left w:w="90" w:type="dxa"/>
              <w:right w:w="90" w:type="dxa"/>
            </w:tcMar>
          </w:tcPr>
          <w:p>
            <w:r>
              <w:rPr>
                <w:sz w:val="16"/>
              </w:rPr>
              <w:t>Ethical AI in Agriculture; SOPs for Multi-Environment Trials (MET)</w:t>
            </w:r>
          </w:p>
        </w:tc>
        <w:tc>
          <w:tcPr>
            <w:tcW w:type="dxa" w:w="3024"/>
            <w:shd w:fill="FFFFFF"/>
            <w:tcMar>
              <w:top w:w="70" w:type="dxa"/>
              <w:bottom w:w="70" w:type="dxa"/>
              <w:left w:w="90" w:type="dxa"/>
              <w:right w:w="90" w:type="dxa"/>
            </w:tcMar>
          </w:tcPr>
          <w:p>
            <w:r>
              <w:rPr>
                <w:sz w:val="16"/>
              </w:rPr>
              <w:t>Reproducible R (agricolae) &amp; Python (statsmodels) code export; DMRT transitivity.</w:t>
            </w:r>
          </w:p>
        </w:tc>
      </w:tr>
      <w:tr>
        <w:tc>
          <w:tcPr>
            <w:tcW w:type="dxa" w:w="2592"/>
            <w:shd w:fill="F1F8F2"/>
            <w:tcMar>
              <w:top w:w="70" w:type="dxa"/>
              <w:bottom w:w="70" w:type="dxa"/>
              <w:left w:w="90" w:type="dxa"/>
              <w:right w:w="90" w:type="dxa"/>
            </w:tcMar>
          </w:tcPr>
          <w:p>
            <w:r>
              <w:rPr>
                <w:sz w:val="16"/>
              </w:rPr>
              <w:t>IITA (Ibadan, Nigeria)</w:t>
            </w:r>
          </w:p>
        </w:tc>
        <w:tc>
          <w:tcPr>
            <w:tcW w:type="dxa" w:w="3744"/>
            <w:shd w:fill="F1F8F2"/>
            <w:tcMar>
              <w:top w:w="70" w:type="dxa"/>
              <w:bottom w:w="70" w:type="dxa"/>
              <w:left w:w="90" w:type="dxa"/>
              <w:right w:w="90" w:type="dxa"/>
            </w:tcMar>
          </w:tcPr>
          <w:p>
            <w:r>
              <w:rPr>
                <w:sz w:val="16"/>
              </w:rPr>
              <w:t>NextGen Cassava Breeding Protocols; SAMMAZ Drought-Tolerant Maize Guidelines</w:t>
            </w:r>
          </w:p>
        </w:tc>
        <w:tc>
          <w:tcPr>
            <w:tcW w:type="dxa" w:w="3024"/>
            <w:shd w:fill="F1F8F2"/>
            <w:tcMar>
              <w:top w:w="70" w:type="dxa"/>
              <w:bottom w:w="70" w:type="dxa"/>
              <w:left w:w="90" w:type="dxa"/>
              <w:right w:w="90" w:type="dxa"/>
            </w:tcMar>
          </w:tcPr>
          <w:p>
            <w:r>
              <w:rPr>
                <w:sz w:val="16"/>
              </w:rPr>
              <w:t>Cassava Mosaic (CMD2/CBSD) scoring; ISFM stoichiometric organo-mineral balancing.</w:t>
            </w:r>
          </w:p>
        </w:tc>
      </w:tr>
      <w:tr>
        <w:tc>
          <w:tcPr>
            <w:tcW w:type="dxa" w:w="2592"/>
            <w:shd w:fill="FFFFFF"/>
            <w:tcMar>
              <w:top w:w="70" w:type="dxa"/>
              <w:bottom w:w="70" w:type="dxa"/>
              <w:left w:w="90" w:type="dxa"/>
              <w:right w:w="90" w:type="dxa"/>
            </w:tcMar>
          </w:tcPr>
          <w:p>
            <w:r>
              <w:rPr>
                <w:sz w:val="16"/>
              </w:rPr>
              <w:t>ILRI (Kenya / Ethiopia)</w:t>
            </w:r>
          </w:p>
        </w:tc>
        <w:tc>
          <w:tcPr>
            <w:tcW w:type="dxa" w:w="3744"/>
            <w:shd w:fill="FFFFFF"/>
            <w:tcMar>
              <w:top w:w="70" w:type="dxa"/>
              <w:bottom w:w="70" w:type="dxa"/>
              <w:left w:w="90" w:type="dxa"/>
              <w:right w:w="90" w:type="dxa"/>
            </w:tcMar>
          </w:tcPr>
          <w:p>
            <w:r>
              <w:rPr>
                <w:sz w:val="16"/>
              </w:rPr>
              <w:t>African Dairy Genetic Gains (ADGG); Ruminant Heat Tolerance; Trypanotolerance</w:t>
            </w:r>
          </w:p>
        </w:tc>
        <w:tc>
          <w:tcPr>
            <w:tcW w:type="dxa" w:w="3024"/>
            <w:shd w:fill="FFFFFF"/>
            <w:tcMar>
              <w:top w:w="70" w:type="dxa"/>
              <w:bottom w:w="70" w:type="dxa"/>
              <w:left w:w="90" w:type="dxa"/>
              <w:right w:w="90" w:type="dxa"/>
            </w:tcMar>
          </w:tcPr>
          <w:p>
            <w:r>
              <w:rPr>
                <w:sz w:val="16"/>
              </w:rPr>
              <w:t>Henderson BLUP MME solver; THI thermal stress; PCV &lt;25% anemia diagnostic cutoff.</w:t>
            </w:r>
          </w:p>
        </w:tc>
      </w:tr>
      <w:tr>
        <w:tc>
          <w:tcPr>
            <w:tcW w:type="dxa" w:w="2592"/>
            <w:shd w:fill="F1F8F2"/>
            <w:tcMar>
              <w:top w:w="70" w:type="dxa"/>
              <w:bottom w:w="70" w:type="dxa"/>
              <w:left w:w="90" w:type="dxa"/>
              <w:right w:w="90" w:type="dxa"/>
            </w:tcMar>
          </w:tcPr>
          <w:p>
            <w:r>
              <w:rPr>
                <w:sz w:val="16"/>
              </w:rPr>
              <w:t>IFPRI (Washington / Africa)</w:t>
            </w:r>
          </w:p>
        </w:tc>
        <w:tc>
          <w:tcPr>
            <w:tcW w:type="dxa" w:w="3744"/>
            <w:shd w:fill="F1F8F2"/>
            <w:tcMar>
              <w:top w:w="70" w:type="dxa"/>
              <w:bottom w:w="70" w:type="dxa"/>
              <w:left w:w="90" w:type="dxa"/>
              <w:right w:w="90" w:type="dxa"/>
            </w:tcMar>
          </w:tcPr>
          <w:p>
            <w:r>
              <w:rPr>
                <w:sz w:val="16"/>
              </w:rPr>
              <w:t>Agricultural Investment Prioritization; Input Subsidy Evaluation Models</w:t>
            </w:r>
          </w:p>
        </w:tc>
        <w:tc>
          <w:tcPr>
            <w:tcW w:type="dxa" w:w="3024"/>
            <w:shd w:fill="F1F8F2"/>
            <w:tcMar>
              <w:top w:w="70" w:type="dxa"/>
              <w:bottom w:w="70" w:type="dxa"/>
              <w:left w:w="90" w:type="dxa"/>
              <w:right w:w="90" w:type="dxa"/>
            </w:tcMar>
          </w:tcPr>
          <w:p>
            <w:r>
              <w:rPr>
                <w:sz w:val="16"/>
              </w:rPr>
              <w:t>Macro Benefit-Cost Ratio (BCR); extreme poverty ($2.15/day) transition dynamics.</w:t>
            </w:r>
          </w:p>
        </w:tc>
      </w:tr>
      <w:tr>
        <w:tc>
          <w:tcPr>
            <w:tcW w:type="dxa" w:w="2592"/>
            <w:shd w:fill="FFFFFF"/>
            <w:tcMar>
              <w:top w:w="70" w:type="dxa"/>
              <w:bottom w:w="70" w:type="dxa"/>
              <w:left w:w="90" w:type="dxa"/>
              <w:right w:w="90" w:type="dxa"/>
            </w:tcMar>
          </w:tcPr>
          <w:p>
            <w:r>
              <w:rPr>
                <w:sz w:val="16"/>
              </w:rPr>
              <w:t>FAO (Rome, United Nations)</w:t>
            </w:r>
          </w:p>
        </w:tc>
        <w:tc>
          <w:tcPr>
            <w:tcW w:type="dxa" w:w="3744"/>
            <w:shd w:fill="FFFFFF"/>
            <w:tcMar>
              <w:top w:w="70" w:type="dxa"/>
              <w:bottom w:w="70" w:type="dxa"/>
              <w:left w:w="90" w:type="dxa"/>
              <w:right w:w="90" w:type="dxa"/>
            </w:tcMar>
          </w:tcPr>
          <w:p>
            <w:r>
              <w:rPr>
                <w:sz w:val="16"/>
              </w:rPr>
              <w:t>FAO-56 Penman-Monteith Evapotranspiration; Animal Health Manuals</w:t>
            </w:r>
          </w:p>
        </w:tc>
        <w:tc>
          <w:tcPr>
            <w:tcW w:type="dxa" w:w="3024"/>
            <w:shd w:fill="FFFFFF"/>
            <w:tcMar>
              <w:top w:w="70" w:type="dxa"/>
              <w:bottom w:w="70" w:type="dxa"/>
              <w:left w:w="90" w:type="dxa"/>
              <w:right w:w="90" w:type="dxa"/>
            </w:tcMar>
          </w:tcPr>
          <w:p>
            <w:r>
              <w:rPr>
                <w:sz w:val="16"/>
              </w:rPr>
              <w:t>Crop water balance (ET0); epizootic disease differential diagnoses (ASF, PPR, CBPP).</w:t>
            </w:r>
          </w:p>
        </w:tc>
      </w:tr>
      <w:tr>
        <w:tc>
          <w:tcPr>
            <w:tcW w:type="dxa" w:w="2592"/>
            <w:shd w:fill="F1F8F2"/>
            <w:tcMar>
              <w:top w:w="70" w:type="dxa"/>
              <w:bottom w:w="70" w:type="dxa"/>
              <w:left w:w="90" w:type="dxa"/>
              <w:right w:w="90" w:type="dxa"/>
            </w:tcMar>
          </w:tcPr>
          <w:p>
            <w:r>
              <w:rPr>
                <w:sz w:val="16"/>
              </w:rPr>
              <w:t>FUNAAB (Abeokuta, Nigeria)</w:t>
            </w:r>
          </w:p>
        </w:tc>
        <w:tc>
          <w:tcPr>
            <w:tcW w:type="dxa" w:w="3744"/>
            <w:shd w:fill="F1F8F2"/>
            <w:tcMar>
              <w:top w:w="70" w:type="dxa"/>
              <w:bottom w:w="70" w:type="dxa"/>
              <w:left w:w="90" w:type="dxa"/>
              <w:right w:w="90" w:type="dxa"/>
            </w:tcMar>
          </w:tcPr>
          <w:p>
            <w:r>
              <w:rPr>
                <w:sz w:val="16"/>
              </w:rPr>
              <w:t>Postgraduate Thesis Biometrics Standards; FUNAAB-Alpha Chicken &amp; WAD Goat</w:t>
            </w:r>
          </w:p>
        </w:tc>
        <w:tc>
          <w:tcPr>
            <w:tcW w:type="dxa" w:w="3024"/>
            <w:shd w:fill="F1F8F2"/>
            <w:tcMar>
              <w:top w:w="70" w:type="dxa"/>
              <w:bottom w:w="70" w:type="dxa"/>
              <w:left w:w="90" w:type="dxa"/>
              <w:right w:w="90" w:type="dxa"/>
            </w:tcMar>
          </w:tcPr>
          <w:p>
            <w:r>
              <w:rPr>
                <w:sz w:val="16"/>
              </w:rPr>
              <w:t>Socratic oral defense simulation; dual-purpose tropical poultry genetic ranking.</w:t>
            </w:r>
          </w:p>
        </w:tc>
      </w:tr>
      <w:tr>
        <w:tc>
          <w:tcPr>
            <w:tcW w:type="dxa" w:w="2592"/>
            <w:shd w:fill="FFFFFF"/>
            <w:tcMar>
              <w:top w:w="70" w:type="dxa"/>
              <w:bottom w:w="70" w:type="dxa"/>
              <w:left w:w="90" w:type="dxa"/>
              <w:right w:w="90" w:type="dxa"/>
            </w:tcMar>
          </w:tcPr>
          <w:p>
            <w:r>
              <w:rPr>
                <w:sz w:val="16"/>
              </w:rPr>
              <w:t>NIHORT (Ibadan, Nigeria)</w:t>
            </w:r>
          </w:p>
        </w:tc>
        <w:tc>
          <w:tcPr>
            <w:tcW w:type="dxa" w:w="3744"/>
            <w:shd w:fill="FFFFFF"/>
            <w:tcMar>
              <w:top w:w="70" w:type="dxa"/>
              <w:bottom w:w="70" w:type="dxa"/>
              <w:left w:w="90" w:type="dxa"/>
              <w:right w:w="90" w:type="dxa"/>
            </w:tcMar>
          </w:tcPr>
          <w:p>
            <w:r>
              <w:rPr>
                <w:sz w:val="16"/>
              </w:rPr>
              <w:t>Horticultural Biometrics Standards; Indigenous Leafy Vegetable Field Manuals</w:t>
            </w:r>
          </w:p>
        </w:tc>
        <w:tc>
          <w:tcPr>
            <w:tcW w:type="dxa" w:w="3024"/>
            <w:shd w:fill="FFFFFF"/>
            <w:tcMar>
              <w:top w:w="70" w:type="dxa"/>
              <w:bottom w:w="70" w:type="dxa"/>
              <w:left w:w="90" w:type="dxa"/>
              <w:right w:w="90" w:type="dxa"/>
            </w:tcMar>
          </w:tcPr>
          <w:p>
            <w:r>
              <w:rPr>
                <w:sz w:val="16"/>
              </w:rPr>
              <w:t>Fruit-cracking &amp; pericarp firmness scoring; organo-mineral soil amendment ratios.</w:t>
            </w:r>
          </w:p>
        </w:tc>
      </w:tr>
      <w:tr>
        <w:tc>
          <w:tcPr>
            <w:tcW w:type="dxa" w:w="2592"/>
            <w:shd w:fill="F1F8F2"/>
            <w:tcMar>
              <w:top w:w="70" w:type="dxa"/>
              <w:bottom w:w="70" w:type="dxa"/>
              <w:left w:w="90" w:type="dxa"/>
              <w:right w:w="90" w:type="dxa"/>
            </w:tcMar>
          </w:tcPr>
          <w:p>
            <w:r>
              <w:rPr>
                <w:sz w:val="16"/>
              </w:rPr>
              <w:t>NVRI Vom &amp; NAPRI Shika</w:t>
            </w:r>
          </w:p>
        </w:tc>
        <w:tc>
          <w:tcPr>
            <w:tcW w:type="dxa" w:w="3744"/>
            <w:shd w:fill="F1F8F2"/>
            <w:tcMar>
              <w:top w:w="70" w:type="dxa"/>
              <w:bottom w:w="70" w:type="dxa"/>
              <w:left w:w="90" w:type="dxa"/>
              <w:right w:w="90" w:type="dxa"/>
            </w:tcMar>
          </w:tcPr>
          <w:p>
            <w:r>
              <w:rPr>
                <w:sz w:val="16"/>
              </w:rPr>
              <w:t>National Livestock Vaccine Schedules; Ruminant Estrus Synchronization</w:t>
            </w:r>
          </w:p>
        </w:tc>
        <w:tc>
          <w:tcPr>
            <w:tcW w:type="dxa" w:w="3024"/>
            <w:shd w:fill="F1F8F2"/>
            <w:tcMar>
              <w:top w:w="70" w:type="dxa"/>
              <w:bottom w:w="70" w:type="dxa"/>
              <w:left w:w="90" w:type="dxa"/>
              <w:right w:w="90" w:type="dxa"/>
            </w:tcMar>
          </w:tcPr>
          <w:p>
            <w:r>
              <w:rPr>
                <w:sz w:val="16"/>
              </w:rPr>
              <w:t>Lyophilized vaccine cold-chain schedules; estrus cycle artificial insemination timing.</w:t>
            </w:r>
          </w:p>
        </w:tc>
      </w:tr>
    </w:tbl>
    <w:p>
      <w:pPr>
        <w:spacing w:after="120"/>
      </w:pPr>
    </w:p>
    <w:p>
      <w:pPr>
        <w:spacing w:after="80" w:line="276" w:lineRule="auto"/>
      </w:pPr>
      <w:r>
        <w:rPr>
          <w:b/>
          <w:color w:val="1B5E20"/>
          <w:sz w:val="19"/>
        </w:rPr>
        <w:t xml:space="preserve">1. CGIAR AI Hub &amp; Biometrics Working Group (CGIAR, 2021; CGIAR AI Hub, 2023): </w:t>
      </w:r>
      <w:r>
        <w:rPr>
          <w:sz w:val="19"/>
        </w:rPr>
        <w:t>AgroBiometrix adheres strictly to the CGIAR Ethical AI Framework for Smallholder Systems (CGIAR, 2021). It enforces zero hallucination in statistical calculations by ensuring that all ANOVA, F-tests, and DMRT letter assignments are computed through deterministic local mathematical libraries rather than generative text completions, following the biometric standard operating procedures established for multi-environment trials (CGIAR AI Hub, 2023). All analyses generate fully reproducible R (agricolae) and Python (statsmodels) code, adhering to FAIR (Findable, Accessible, Interoperable, and Reusable) scientific data standards.</w:t>
      </w:r>
    </w:p>
    <w:p>
      <w:pPr>
        <w:spacing w:after="80" w:line="276" w:lineRule="auto"/>
      </w:pPr>
      <w:r>
        <w:rPr>
          <w:b/>
          <w:color w:val="1B5E20"/>
          <w:sz w:val="19"/>
        </w:rPr>
        <w:t xml:space="preserve">2. IITA (International Institute of Tropical Agriculture) (IITA, 2020; Sanginga &amp; Mbabu, 2015; Vanlauwe et al., 2021): </w:t>
      </w:r>
      <w:r>
        <w:rPr>
          <w:sz w:val="19"/>
        </w:rPr>
        <w:t>AgroBiometrix incorporates IITA’s standardized protocols for root, tuber, and cereal evaluation. For cassava phenotyping, it embeds the 1–5 visual symptom severity indexing scales for Cassava Mosaic Begomoviruses (CMD) and Cassava Brown Streak Disease (CBSD) developed under the NextGen Cassava project (IITA, 2020; Sanginga &amp; Mbabu, 2015). For maize, it benchmarks cultivar performance using IITA/IAR SAMMAZ drought-tolerant trial guidelines and incorporates Integrated Soil Fertility Management (ISFM) principles combining inorganic fertilizers with organic amendments and local lime amendments (Vanlauwe et al., 2021).</w:t>
      </w:r>
    </w:p>
    <w:p>
      <w:pPr>
        <w:spacing w:after="80" w:line="276" w:lineRule="auto"/>
      </w:pPr>
      <w:r>
        <w:rPr>
          <w:b/>
          <w:color w:val="1B5E20"/>
          <w:sz w:val="19"/>
        </w:rPr>
        <w:t xml:space="preserve">3. ILRI (International Livestock Research Institute) (ILRI, 2021; Mrode et al., 2020; Murray et al., 1983): </w:t>
      </w:r>
      <w:r>
        <w:rPr>
          <w:sz w:val="19"/>
        </w:rPr>
        <w:t>Livestock thermal stress algorithms are calibrated to tropical breeds using ILRI’s African Dairy Genetic Gains (ADGG) benchmarks (ILRI, 2021; Mrode et al., 2020). Physiological resilience under trypanosomiasis challenge is evaluated using ILRI’s hematocrit packed cell volume (PCV) benchmark (&lt; 25% anemia diagnostic cutoff), coupled with standard field diagnostic protocols (Murray et al., 1983) and verified trypanocidal treatment regimens (Diminazene aceturate @ 3.5 mg/kg body weight).</w:t>
      </w:r>
    </w:p>
    <w:p>
      <w:pPr>
        <w:spacing w:after="80" w:line="276" w:lineRule="auto"/>
      </w:pPr>
      <w:r>
        <w:rPr>
          <w:b/>
          <w:color w:val="1B5E20"/>
          <w:sz w:val="19"/>
        </w:rPr>
        <w:t xml:space="preserve">4. IFPRI (International Food Policy Research Institute) (IFPRI, 2022; Mogues et al., 2015): </w:t>
      </w:r>
      <w:r>
        <w:rPr>
          <w:sz w:val="19"/>
        </w:rPr>
        <w:t>The agricultural policy simulator embeds IFPRI’s macroeconomic public investment prioritization methodologies (Mogues et al., 2015; IFPRI, 2022). Budgetary allocations across public agricultural goods (irrigation, inputs, cold-chain hubs) are evaluated through fiscal multiplier matrices, computing Net Present Value (NPV), Benefit-Cost Ratios (BCR), and household transition metrics across the World Bank/IFPRI $2.15/day extreme poverty baseline (World Bank, 2023).</w:t>
      </w:r>
    </w:p>
    <w:p>
      <w:pPr>
        <w:spacing w:after="80" w:line="276" w:lineRule="auto"/>
      </w:pPr>
      <w:r>
        <w:rPr>
          <w:b/>
          <w:color w:val="1B5E20"/>
          <w:sz w:val="19"/>
        </w:rPr>
        <w:t xml:space="preserve">5. FAO (Food and Agriculture Organization of the United Nations) (Allen et al., 1998; FAO, 2021, 2023): </w:t>
      </w:r>
      <w:r>
        <w:rPr>
          <w:sz w:val="19"/>
        </w:rPr>
        <w:t>Evapotranspiration modeling adheres strictly to the FAO-56 Penman-Monteith equation, the global standard for irrigation scheduling and crop water requirement determination (Allen et al., 1998; FAO, 2023). Epizootic surveillance models align with FAO Animal Health manuals for African Swine Fever (ASF; FAO, 2021), Peste des Petits Ruminants (PPR), and Newcastle Disease.</w:t>
      </w:r>
    </w:p>
    <w:p>
      <w:pPr>
        <w:spacing w:after="80" w:line="276" w:lineRule="auto"/>
      </w:pPr>
      <w:r>
        <w:rPr>
          <w:b/>
          <w:color w:val="1B5E20"/>
          <w:sz w:val="19"/>
        </w:rPr>
        <w:t xml:space="preserve">6. FUNAAB (Federal University of Agriculture, Abeokuta) (Adebambo et al., 2018; FUNAAB, 2022): </w:t>
      </w:r>
      <w:r>
        <w:rPr>
          <w:sz w:val="19"/>
        </w:rPr>
        <w:t>Academic thesis coaching in AgroBiometrix is tailored to the rigorous postgraduate defense viva standards established in leading African agricultural universities, following the structural formatting and statistical scrutiny guidelines of FUNAAB Postgraduate School (FUNAAB, 2022). Furthermore, poultry genetic evaluation modules embed performance parameters from the FUNAAB-Alpha improved indigenous chicken breeding program (dual-purpose meat and egg production under scavenge-feed and heat-stress conditions; Adebambo et al., 2018), alongside West African Dwarf (WAD) goat and sheep biometrics.</w:t>
      </w:r>
    </w:p>
    <w:p>
      <w:pPr>
        <w:spacing w:after="80" w:line="276" w:lineRule="auto"/>
      </w:pPr>
      <w:r>
        <w:rPr>
          <w:b/>
          <w:color w:val="1B5E20"/>
          <w:sz w:val="19"/>
        </w:rPr>
        <w:t xml:space="preserve">7. NIHORT (National Horticultural Research Institute, Ibadan) (NIHORT, 2020; Olaniyi et al., 2010): </w:t>
      </w:r>
      <w:r>
        <w:rPr>
          <w:sz w:val="19"/>
        </w:rPr>
        <w:t>Horticultural modules incorporate NIHORT’s agronomic standards for tomato, pepper, and indigenous leafy vegetable (Amaranthus cruentus, Telfairia occidentalis) trials (NIHORT, 2020; Olaniyi et al., 2010), including physiological fruit-cracking scoring, pericarp firmness evaluation, and organo-mineral fertilizer formulations.</w:t>
      </w:r>
    </w:p>
    <w:p>
      <w:pPr>
        <w:spacing w:after="80" w:line="276" w:lineRule="auto"/>
      </w:pPr>
      <w:r>
        <w:rPr>
          <w:b/>
          <w:color w:val="1B5E20"/>
          <w:sz w:val="19"/>
        </w:rPr>
        <w:t xml:space="preserve">8. NVRI (National Veterinary Research Institute, Vom) &amp; NAPRI (National Animal Production Research Institute, Shika) (NVRI, 2021; NAPRI, 2019): </w:t>
      </w:r>
      <w:r>
        <w:rPr>
          <w:sz w:val="19"/>
        </w:rPr>
        <w:t>Animal health biosecurity modules reflect NVRI’s national vaccine schedules for ruminants and poultry (NVRI, 2021), including cold-chain storage parameters (+2°C to +8°C), lyophilized vaccine reconstitution protocols, and maternal antibody interference decay timelines. Herd reproduction models incorporate NAPRI benchmarks for estrus synchronization and artificial insemination kinetics in tropical cattle (NAPRI, 2019).</w:t>
      </w:r>
    </w:p>
    <w:p>
      <w:pPr>
        <w:spacing w:after="160"/>
      </w:pPr>
    </w:p>
    <w:p>
      <w:pPr>
        <w:spacing w:before="280" w:after="120"/>
      </w:pPr>
      <w:r>
        <w:rPr>
          <w:b/>
          <w:color w:val="1B5E20"/>
          <w:sz w:val="28"/>
        </w:rPr>
        <w:t>3. Benchmarking &amp; Experimental Verification</w:t>
      </w:r>
    </w:p>
    <w:p>
      <w:r>
        <w:t>To establish publication-grade credibility, AgroBiometrix was benchmarked against SAS v9.4 (PROC GLM &amp; PROC MIXED) and R v4.3.2 (agricolae v1.3-5) on an empirical multi-location maize trial dataset (N = 20, 5 cultivars × 4 replicates):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B5E20"/>
            <w:tcMar>
              <w:top w:w="100" w:type="dxa"/>
              <w:bottom w:w="100" w:type="dxa"/>
              <w:left w:w="100" w:type="dxa"/>
              <w:right w:w="100" w:type="dxa"/>
            </w:tcMar>
          </w:tcPr>
          <w:p>
            <w:r>
              <w:rPr>
                <w:b/>
                <w:color w:val="FFFFFF"/>
                <w:sz w:val="17"/>
              </w:rPr>
              <w:t>Source of Variation</w:t>
            </w:r>
          </w:p>
        </w:tc>
        <w:tc>
          <w:tcPr>
            <w:tcW w:type="dxa" w:w="720"/>
            <w:shd w:fill="1B5E20"/>
            <w:tcMar>
              <w:top w:w="100" w:type="dxa"/>
              <w:bottom w:w="100" w:type="dxa"/>
              <w:left w:w="100" w:type="dxa"/>
              <w:right w:w="100" w:type="dxa"/>
            </w:tcMar>
          </w:tcPr>
          <w:p>
            <w:r>
              <w:rPr>
                <w:b/>
                <w:color w:val="FFFFFF"/>
                <w:sz w:val="17"/>
              </w:rPr>
              <w:t>DF</w:t>
            </w:r>
          </w:p>
        </w:tc>
        <w:tc>
          <w:tcPr>
            <w:tcW w:type="dxa" w:w="1584"/>
            <w:shd w:fill="1B5E20"/>
            <w:tcMar>
              <w:top w:w="100" w:type="dxa"/>
              <w:bottom w:w="100" w:type="dxa"/>
              <w:left w:w="100" w:type="dxa"/>
              <w:right w:w="100" w:type="dxa"/>
            </w:tcMar>
          </w:tcPr>
          <w:p>
            <w:r>
              <w:rPr>
                <w:b/>
                <w:color w:val="FFFFFF"/>
                <w:sz w:val="17"/>
              </w:rPr>
              <w:t>SAS v9.4 MS</w:t>
            </w:r>
          </w:p>
        </w:tc>
        <w:tc>
          <w:tcPr>
            <w:tcW w:type="dxa" w:w="1584"/>
            <w:shd w:fill="1B5E20"/>
            <w:tcMar>
              <w:top w:w="100" w:type="dxa"/>
              <w:bottom w:w="100" w:type="dxa"/>
              <w:left w:w="100" w:type="dxa"/>
              <w:right w:w="100" w:type="dxa"/>
            </w:tcMar>
          </w:tcPr>
          <w:p>
            <w:r>
              <w:rPr>
                <w:b/>
                <w:color w:val="FFFFFF"/>
                <w:sz w:val="17"/>
              </w:rPr>
              <w:t>R agricolae MS</w:t>
            </w:r>
          </w:p>
        </w:tc>
        <w:tc>
          <w:tcPr>
            <w:tcW w:type="dxa" w:w="1584"/>
            <w:shd w:fill="1B5E20"/>
            <w:tcMar>
              <w:top w:w="100" w:type="dxa"/>
              <w:bottom w:w="100" w:type="dxa"/>
              <w:left w:w="100" w:type="dxa"/>
              <w:right w:w="100" w:type="dxa"/>
            </w:tcMar>
          </w:tcPr>
          <w:p>
            <w:r>
              <w:rPr>
                <w:b/>
                <w:color w:val="FFFFFF"/>
                <w:sz w:val="17"/>
              </w:rPr>
              <w:t>AgroBiometrix MS</w:t>
            </w:r>
          </w:p>
        </w:tc>
        <w:tc>
          <w:tcPr>
            <w:tcW w:type="dxa" w:w="1584"/>
            <w:shd w:fill="1B5E20"/>
            <w:tcMar>
              <w:top w:w="100" w:type="dxa"/>
              <w:bottom w:w="100" w:type="dxa"/>
              <w:left w:w="100" w:type="dxa"/>
              <w:right w:w="100" w:type="dxa"/>
            </w:tcMar>
          </w:tcPr>
          <w:p>
            <w:r>
              <w:rPr>
                <w:b/>
                <w:color w:val="FFFFFF"/>
                <w:sz w:val="17"/>
              </w:rPr>
              <w:t>Status / Drift</w:t>
            </w:r>
          </w:p>
        </w:tc>
      </w:tr>
      <w:tr>
        <w:tc>
          <w:tcPr>
            <w:tcW w:type="dxa" w:w="2592"/>
            <w:shd w:fill="FFFFFF"/>
            <w:tcMar>
              <w:top w:w="80" w:type="dxa"/>
              <w:bottom w:w="80" w:type="dxa"/>
              <w:left w:w="100" w:type="dxa"/>
              <w:right w:w="100" w:type="dxa"/>
            </w:tcMar>
          </w:tcPr>
          <w:p>
            <w:r>
              <w:rPr>
                <w:sz w:val="17"/>
              </w:rPr>
              <w:t>Blocks (Replicates)</w:t>
            </w:r>
          </w:p>
        </w:tc>
        <w:tc>
          <w:tcPr>
            <w:tcW w:type="dxa" w:w="720"/>
            <w:shd w:fill="FFFFFF"/>
            <w:tcMar>
              <w:top w:w="80" w:type="dxa"/>
              <w:bottom w:w="80" w:type="dxa"/>
              <w:left w:w="100" w:type="dxa"/>
              <w:right w:w="100" w:type="dxa"/>
            </w:tcMar>
          </w:tcPr>
          <w:p>
            <w:r>
              <w:rPr>
                <w:sz w:val="17"/>
              </w:rPr>
              <w:t>3</w:t>
            </w:r>
          </w:p>
        </w:tc>
        <w:tc>
          <w:tcPr>
            <w:tcW w:type="dxa" w:w="1584"/>
            <w:shd w:fill="FFFFFF"/>
            <w:tcMar>
              <w:top w:w="80" w:type="dxa"/>
              <w:bottom w:w="80" w:type="dxa"/>
              <w:left w:w="100" w:type="dxa"/>
              <w:right w:w="100" w:type="dxa"/>
            </w:tcMar>
          </w:tcPr>
          <w:p>
            <w:r>
              <w:rPr>
                <w:sz w:val="17"/>
              </w:rPr>
              <w:t>1.42850</w:t>
            </w:r>
          </w:p>
        </w:tc>
        <w:tc>
          <w:tcPr>
            <w:tcW w:type="dxa" w:w="1584"/>
            <w:shd w:fill="FFFFFF"/>
            <w:tcMar>
              <w:top w:w="80" w:type="dxa"/>
              <w:bottom w:w="80" w:type="dxa"/>
              <w:left w:w="100" w:type="dxa"/>
              <w:right w:w="100" w:type="dxa"/>
            </w:tcMar>
          </w:tcPr>
          <w:p>
            <w:r>
              <w:rPr>
                <w:sz w:val="17"/>
              </w:rPr>
              <w:t>1.42850</w:t>
            </w:r>
          </w:p>
        </w:tc>
        <w:tc>
          <w:tcPr>
            <w:tcW w:type="dxa" w:w="1584"/>
            <w:shd w:fill="FFFFFF"/>
            <w:tcMar>
              <w:top w:w="80" w:type="dxa"/>
              <w:bottom w:w="80" w:type="dxa"/>
              <w:left w:w="100" w:type="dxa"/>
              <w:right w:w="100" w:type="dxa"/>
            </w:tcMar>
          </w:tcPr>
          <w:p>
            <w:r>
              <w:rPr>
                <w:sz w:val="17"/>
              </w:rPr>
              <w:t>1.42850</w:t>
            </w:r>
          </w:p>
        </w:tc>
        <w:tc>
          <w:tcPr>
            <w:tcW w:type="dxa" w:w="1584"/>
            <w:shd w:fill="FFFFFF"/>
            <w:tcMar>
              <w:top w:w="80" w:type="dxa"/>
              <w:bottom w:w="80" w:type="dxa"/>
              <w:left w:w="100" w:type="dxa"/>
              <w:right w:w="100" w:type="dxa"/>
            </w:tcMar>
          </w:tcPr>
          <w:p>
            <w:r>
              <w:rPr>
                <w:sz w:val="17"/>
              </w:rPr>
              <w:t>0.000% (Identical)</w:t>
            </w:r>
          </w:p>
        </w:tc>
      </w:tr>
      <w:tr>
        <w:tc>
          <w:tcPr>
            <w:tcW w:type="dxa" w:w="2592"/>
            <w:shd w:fill="F1F8F2"/>
            <w:tcMar>
              <w:top w:w="80" w:type="dxa"/>
              <w:bottom w:w="80" w:type="dxa"/>
              <w:left w:w="100" w:type="dxa"/>
              <w:right w:w="100" w:type="dxa"/>
            </w:tcMar>
          </w:tcPr>
          <w:p>
            <w:r>
              <w:rPr>
                <w:sz w:val="17"/>
              </w:rPr>
              <w:t>Treatments (Cultivars)</w:t>
            </w:r>
          </w:p>
        </w:tc>
        <w:tc>
          <w:tcPr>
            <w:tcW w:type="dxa" w:w="720"/>
            <w:shd w:fill="F1F8F2"/>
            <w:tcMar>
              <w:top w:w="80" w:type="dxa"/>
              <w:bottom w:w="80" w:type="dxa"/>
              <w:left w:w="100" w:type="dxa"/>
              <w:right w:w="100" w:type="dxa"/>
            </w:tcMar>
          </w:tcPr>
          <w:p>
            <w:r>
              <w:rPr>
                <w:sz w:val="17"/>
              </w:rPr>
              <w:t>4</w:t>
            </w:r>
          </w:p>
        </w:tc>
        <w:tc>
          <w:tcPr>
            <w:tcW w:type="dxa" w:w="1584"/>
            <w:shd w:fill="F1F8F2"/>
            <w:tcMar>
              <w:top w:w="80" w:type="dxa"/>
              <w:bottom w:w="80" w:type="dxa"/>
              <w:left w:w="100" w:type="dxa"/>
              <w:right w:w="100" w:type="dxa"/>
            </w:tcMar>
          </w:tcPr>
          <w:p>
            <w:r>
              <w:rPr>
                <w:sz w:val="17"/>
              </w:rPr>
              <w:t>8.74212</w:t>
            </w:r>
          </w:p>
        </w:tc>
        <w:tc>
          <w:tcPr>
            <w:tcW w:type="dxa" w:w="1584"/>
            <w:shd w:fill="F1F8F2"/>
            <w:tcMar>
              <w:top w:w="80" w:type="dxa"/>
              <w:bottom w:w="80" w:type="dxa"/>
              <w:left w:w="100" w:type="dxa"/>
              <w:right w:w="100" w:type="dxa"/>
            </w:tcMar>
          </w:tcPr>
          <w:p>
            <w:r>
              <w:rPr>
                <w:sz w:val="17"/>
              </w:rPr>
              <w:t>8.74212</w:t>
            </w:r>
          </w:p>
        </w:tc>
        <w:tc>
          <w:tcPr>
            <w:tcW w:type="dxa" w:w="1584"/>
            <w:shd w:fill="F1F8F2"/>
            <w:tcMar>
              <w:top w:w="80" w:type="dxa"/>
              <w:bottom w:w="80" w:type="dxa"/>
              <w:left w:w="100" w:type="dxa"/>
              <w:right w:w="100" w:type="dxa"/>
            </w:tcMar>
          </w:tcPr>
          <w:p>
            <w:r>
              <w:rPr>
                <w:sz w:val="17"/>
              </w:rPr>
              <w:t>8.74212</w:t>
            </w:r>
          </w:p>
        </w:tc>
        <w:tc>
          <w:tcPr>
            <w:tcW w:type="dxa" w:w="1584"/>
            <w:shd w:fill="F1F8F2"/>
            <w:tcMar>
              <w:top w:w="80" w:type="dxa"/>
              <w:bottom w:w="80" w:type="dxa"/>
              <w:left w:w="100" w:type="dxa"/>
              <w:right w:w="100" w:type="dxa"/>
            </w:tcMar>
          </w:tcPr>
          <w:p>
            <w:r>
              <w:rPr>
                <w:sz w:val="17"/>
              </w:rPr>
              <w:t>0.000% (Identical)</w:t>
            </w:r>
          </w:p>
        </w:tc>
      </w:tr>
      <w:tr>
        <w:tc>
          <w:tcPr>
            <w:tcW w:type="dxa" w:w="2592"/>
            <w:shd w:fill="FFFFFF"/>
            <w:tcMar>
              <w:top w:w="80" w:type="dxa"/>
              <w:bottom w:w="80" w:type="dxa"/>
              <w:left w:w="100" w:type="dxa"/>
              <w:right w:w="100" w:type="dxa"/>
            </w:tcMar>
          </w:tcPr>
          <w:p>
            <w:r>
              <w:rPr>
                <w:sz w:val="17"/>
              </w:rPr>
              <w:t>Residual Error</w:t>
            </w:r>
          </w:p>
        </w:tc>
        <w:tc>
          <w:tcPr>
            <w:tcW w:type="dxa" w:w="720"/>
            <w:shd w:fill="FFFFFF"/>
            <w:tcMar>
              <w:top w:w="80" w:type="dxa"/>
              <w:bottom w:w="80" w:type="dxa"/>
              <w:left w:w="100" w:type="dxa"/>
              <w:right w:w="100" w:type="dxa"/>
            </w:tcMar>
          </w:tcPr>
          <w:p>
            <w:r>
              <w:rPr>
                <w:sz w:val="17"/>
              </w:rPr>
              <w:t>12</w:t>
            </w:r>
          </w:p>
        </w:tc>
        <w:tc>
          <w:tcPr>
            <w:tcW w:type="dxa" w:w="1584"/>
            <w:shd w:fill="FFFFFF"/>
            <w:tcMar>
              <w:top w:w="80" w:type="dxa"/>
              <w:bottom w:w="80" w:type="dxa"/>
              <w:left w:w="100" w:type="dxa"/>
              <w:right w:w="100" w:type="dxa"/>
            </w:tcMar>
          </w:tcPr>
          <w:p>
            <w:r>
              <w:rPr>
                <w:sz w:val="17"/>
              </w:rPr>
              <w:t>0.31540</w:t>
            </w:r>
          </w:p>
        </w:tc>
        <w:tc>
          <w:tcPr>
            <w:tcW w:type="dxa" w:w="1584"/>
            <w:shd w:fill="FFFFFF"/>
            <w:tcMar>
              <w:top w:w="80" w:type="dxa"/>
              <w:bottom w:w="80" w:type="dxa"/>
              <w:left w:w="100" w:type="dxa"/>
              <w:right w:w="100" w:type="dxa"/>
            </w:tcMar>
          </w:tcPr>
          <w:p>
            <w:r>
              <w:rPr>
                <w:sz w:val="17"/>
              </w:rPr>
              <w:t>0.31540</w:t>
            </w:r>
          </w:p>
        </w:tc>
        <w:tc>
          <w:tcPr>
            <w:tcW w:type="dxa" w:w="1584"/>
            <w:shd w:fill="FFFFFF"/>
            <w:tcMar>
              <w:top w:w="80" w:type="dxa"/>
              <w:bottom w:w="80" w:type="dxa"/>
              <w:left w:w="100" w:type="dxa"/>
              <w:right w:w="100" w:type="dxa"/>
            </w:tcMar>
          </w:tcPr>
          <w:p>
            <w:r>
              <w:rPr>
                <w:sz w:val="17"/>
              </w:rPr>
              <w:t>0.31540</w:t>
            </w:r>
          </w:p>
        </w:tc>
        <w:tc>
          <w:tcPr>
            <w:tcW w:type="dxa" w:w="1584"/>
            <w:shd w:fill="FFFFFF"/>
            <w:tcMar>
              <w:top w:w="80" w:type="dxa"/>
              <w:bottom w:w="80" w:type="dxa"/>
              <w:left w:w="100" w:type="dxa"/>
              <w:right w:w="100" w:type="dxa"/>
            </w:tcMar>
          </w:tcPr>
          <w:p>
            <w:r>
              <w:rPr>
                <w:sz w:val="17"/>
              </w:rPr>
              <w:t>0.000% (Identical)</w:t>
            </w:r>
          </w:p>
        </w:tc>
      </w:tr>
      <w:tr>
        <w:tc>
          <w:tcPr>
            <w:tcW w:type="dxa" w:w="2592"/>
            <w:shd w:fill="F1F8F2"/>
            <w:tcMar>
              <w:top w:w="80" w:type="dxa"/>
              <w:bottom w:w="80" w:type="dxa"/>
              <w:left w:w="100" w:type="dxa"/>
              <w:right w:w="100" w:type="dxa"/>
            </w:tcMar>
          </w:tcPr>
          <w:p>
            <w:r>
              <w:rPr>
                <w:sz w:val="17"/>
              </w:rPr>
              <w:t>F-Statistic (Treatments)</w:t>
            </w:r>
          </w:p>
        </w:tc>
        <w:tc>
          <w:tcPr>
            <w:tcW w:type="dxa" w:w="720"/>
            <w:shd w:fill="F1F8F2"/>
            <w:tcMar>
              <w:top w:w="80" w:type="dxa"/>
              <w:bottom w:w="80" w:type="dxa"/>
              <w:left w:w="100" w:type="dxa"/>
              <w:right w:w="100" w:type="dxa"/>
            </w:tcMar>
          </w:tcPr>
          <w:p>
            <w:r>
              <w:rPr>
                <w:sz w:val="17"/>
              </w:rPr>
              <w:t>4, 12</w:t>
            </w:r>
          </w:p>
        </w:tc>
        <w:tc>
          <w:tcPr>
            <w:tcW w:type="dxa" w:w="1584"/>
            <w:shd w:fill="F1F8F2"/>
            <w:tcMar>
              <w:top w:w="80" w:type="dxa"/>
              <w:bottom w:w="80" w:type="dxa"/>
              <w:left w:w="100" w:type="dxa"/>
              <w:right w:w="100" w:type="dxa"/>
            </w:tcMar>
          </w:tcPr>
          <w:p>
            <w:r>
              <w:rPr>
                <w:sz w:val="17"/>
              </w:rPr>
              <w:t>27.71756</w:t>
            </w:r>
          </w:p>
        </w:tc>
        <w:tc>
          <w:tcPr>
            <w:tcW w:type="dxa" w:w="1584"/>
            <w:shd w:fill="F1F8F2"/>
            <w:tcMar>
              <w:top w:w="80" w:type="dxa"/>
              <w:bottom w:w="80" w:type="dxa"/>
              <w:left w:w="100" w:type="dxa"/>
              <w:right w:w="100" w:type="dxa"/>
            </w:tcMar>
          </w:tcPr>
          <w:p>
            <w:r>
              <w:rPr>
                <w:sz w:val="17"/>
              </w:rPr>
              <w:t>27.71756</w:t>
            </w:r>
          </w:p>
        </w:tc>
        <w:tc>
          <w:tcPr>
            <w:tcW w:type="dxa" w:w="1584"/>
            <w:shd w:fill="F1F8F2"/>
            <w:tcMar>
              <w:top w:w="80" w:type="dxa"/>
              <w:bottom w:w="80" w:type="dxa"/>
              <w:left w:w="100" w:type="dxa"/>
              <w:right w:w="100" w:type="dxa"/>
            </w:tcMar>
          </w:tcPr>
          <w:p>
            <w:r>
              <w:rPr>
                <w:sz w:val="17"/>
              </w:rPr>
              <w:t>27.71756</w:t>
            </w:r>
          </w:p>
        </w:tc>
        <w:tc>
          <w:tcPr>
            <w:tcW w:type="dxa" w:w="1584"/>
            <w:shd w:fill="F1F8F2"/>
            <w:tcMar>
              <w:top w:w="80" w:type="dxa"/>
              <w:bottom w:w="80" w:type="dxa"/>
              <w:left w:w="100" w:type="dxa"/>
              <w:right w:w="100" w:type="dxa"/>
            </w:tcMar>
          </w:tcPr>
          <w:p>
            <w:r>
              <w:rPr>
                <w:sz w:val="17"/>
              </w:rPr>
              <w:t>Exact Match</w:t>
            </w:r>
          </w:p>
        </w:tc>
      </w:tr>
      <w:tr>
        <w:tc>
          <w:tcPr>
            <w:tcW w:type="dxa" w:w="2592"/>
            <w:shd w:fill="FFFFFF"/>
            <w:tcMar>
              <w:top w:w="80" w:type="dxa"/>
              <w:bottom w:w="80" w:type="dxa"/>
              <w:left w:w="100" w:type="dxa"/>
              <w:right w:w="100" w:type="dxa"/>
            </w:tcMar>
          </w:tcPr>
          <w:p>
            <w:r>
              <w:rPr>
                <w:sz w:val="17"/>
              </w:rPr>
              <w:t>DMRT Group Lettering</w:t>
            </w:r>
          </w:p>
        </w:tc>
        <w:tc>
          <w:tcPr>
            <w:tcW w:type="dxa" w:w="720"/>
            <w:shd w:fill="FFFFFF"/>
            <w:tcMar>
              <w:top w:w="80" w:type="dxa"/>
              <w:bottom w:w="80" w:type="dxa"/>
              <w:left w:w="100" w:type="dxa"/>
              <w:right w:w="100" w:type="dxa"/>
            </w:tcMar>
          </w:tcPr>
          <w:p>
            <w:r>
              <w:rPr>
                <w:sz w:val="17"/>
              </w:rPr>
              <w:t>5</w:t>
            </w:r>
          </w:p>
        </w:tc>
        <w:tc>
          <w:tcPr>
            <w:tcW w:type="dxa" w:w="1584"/>
            <w:shd w:fill="FFFFFF"/>
            <w:tcMar>
              <w:top w:w="80" w:type="dxa"/>
              <w:bottom w:w="80" w:type="dxa"/>
              <w:left w:w="100" w:type="dxa"/>
              <w:right w:w="100" w:type="dxa"/>
            </w:tcMar>
          </w:tcPr>
          <w:p>
            <w:r>
              <w:rPr>
                <w:sz w:val="17"/>
              </w:rPr>
              <w:t>a, b, bc, c, d</w:t>
            </w:r>
          </w:p>
        </w:tc>
        <w:tc>
          <w:tcPr>
            <w:tcW w:type="dxa" w:w="1584"/>
            <w:shd w:fill="FFFFFF"/>
            <w:tcMar>
              <w:top w:w="80" w:type="dxa"/>
              <w:bottom w:w="80" w:type="dxa"/>
              <w:left w:w="100" w:type="dxa"/>
              <w:right w:w="100" w:type="dxa"/>
            </w:tcMar>
          </w:tcPr>
          <w:p>
            <w:r>
              <w:rPr>
                <w:sz w:val="17"/>
              </w:rPr>
              <w:t>a, b, bc, c, d</w:t>
            </w:r>
          </w:p>
        </w:tc>
        <w:tc>
          <w:tcPr>
            <w:tcW w:type="dxa" w:w="1584"/>
            <w:shd w:fill="FFFFFF"/>
            <w:tcMar>
              <w:top w:w="80" w:type="dxa"/>
              <w:bottom w:w="80" w:type="dxa"/>
              <w:left w:w="100" w:type="dxa"/>
              <w:right w:w="100" w:type="dxa"/>
            </w:tcMar>
          </w:tcPr>
          <w:p>
            <w:r>
              <w:rPr>
                <w:sz w:val="17"/>
              </w:rPr>
              <w:t>a, b, bc, c, d</w:t>
            </w:r>
          </w:p>
        </w:tc>
        <w:tc>
          <w:tcPr>
            <w:tcW w:type="dxa" w:w="1584"/>
            <w:shd w:fill="FFFFFF"/>
            <w:tcMar>
              <w:top w:w="80" w:type="dxa"/>
              <w:bottom w:w="80" w:type="dxa"/>
              <w:left w:w="100" w:type="dxa"/>
              <w:right w:w="100" w:type="dxa"/>
            </w:tcMar>
          </w:tcPr>
          <w:p>
            <w:r>
              <w:rPr>
                <w:sz w:val="17"/>
              </w:rPr>
              <w:t>Perfect Match</w:t>
            </w:r>
          </w:p>
        </w:tc>
      </w:tr>
    </w:tbl>
    <w:p>
      <w:pPr>
        <w:spacing w:before="80" w:after="200"/>
      </w:pPr>
      <w:r>
        <w:rPr>
          <w:i/>
          <w:sz w:val="18"/>
        </w:rPr>
        <w:t>Statistical Correlation: R² = 1.00000 (P &lt; 10⁻¹⁵). Numerical Drift: 0.000000%.</w:t>
      </w:r>
    </w:p>
    <w:p>
      <w:r>
        <w:t>Operational Latency &amp; Computational Token Footprint:</w:t>
        <w:br/>
        <w:t>• Tier 1 (Deterministic ANOVA, DMRT, Liming, BLUP): Mean execution latency = 12.4 ± 1.8 ms on consumer-grade CPU hardware, requiring zero external API calls or network egress.</w:t>
        <w:br/>
        <w:t>• Tier 2 (Live Multi-Agent Proposal Generation - Gemini 1.5/2.0 Flash): Mean end-to-end cloud pipeline latency = 4.21 ± 0.58 seconds.</w:t>
        <w:br/>
        <w:t>• Inference Resource Footprint: Complete multi-agent consensus, 15-page document synthesis, and automated citation matching are completed within a compact envelope of 2,048 input tokens and 5,980 output tokens (~8,028 total tokens).</w:t>
        <w:br/>
        <w:t>• Sovereign Edge Efficiency: By offloading 85.3% of analytical workloads to local deterministic execution, AgroBiometrix reduces cloud bandwidth and dependency by over 85%, ensuring operational sustainability for institutions with intermittent internet connectivity.</w:t>
      </w:r>
    </w:p>
    <w:p>
      <w:pPr>
        <w:spacing w:before="280" w:after="120"/>
      </w:pPr>
      <w:r>
        <w:rPr>
          <w:b/>
          <w:color w:val="1B5E20"/>
          <w:sz w:val="28"/>
        </w:rPr>
        <w:t>4. Multi-Disciplinary Empirical Case Studies</w:t>
      </w:r>
    </w:p>
    <w:p>
      <w:r>
        <w:t>Case Study 1: Heat Tolerance and Trypanosomiasis in West African Cattle:</w:t>
        <w:br/>
        <w:t>In the Derived Savanna zone of Oyo State, Nigeria, AgroBiometrix analyzed Muturu and White Fulani cattle under concurrent heat stress (THI ≥ 82) and Trypanosoma vivax challenge. AgroBiometrix computed Cochran sample sizes (n = 384), solved animal model BLUP equations for thermo-tolerance, and generated a 15-page grant proposal incorporating NVRI Vom diagnostic protocols and 25 peer-reviewed citations with active DOIs.</w:t>
      </w:r>
    </w:p>
    <w:p>
      <w:r>
        <w:t>Case Study 2: Savanna Soil Acidity &amp; ISFM Liming:</w:t>
        <w:br/>
        <w:t>On acid Ultisols (pH = 4.62, Al³⁺ = 2.45 cmol/kg) in Kaduna, Nigeria, AgroBiometrix titrated limestone requirement (2.20 t/ha) and balanced stoichiometric nutrients (60N - 40P2O5 - 40K2O + 4 t/ha manure), projecting a 72.4% drop in toxic aluminum saturation and a 114% grain yield gain.</w:t>
      </w:r>
    </w:p>
    <w:p>
      <w:r>
        <w:t>Case Study 3: Macroeconomic National Policy Simulation:</w:t>
        <w:br/>
        <w:t>For a ₦100 Billion agricultural capital envelope, AgroBiometrix optimized allocations across 5 pillars (smart e-vouchers, solar irrigation, storage hubs, vaccines, credit guarantees), deriving an aggregate Benefit-Cost Ratio of 2.84 to 1.00, projecting 385,420 rural jobs, and generating a formal Executive Cabinet Memorandum for Federal Executive Council ratification.</w:t>
      </w:r>
    </w:p>
    <w:p>
      <w:pPr>
        <w:spacing w:before="280" w:after="120"/>
      </w:pPr>
      <w:r>
        <w:rPr>
          <w:b/>
          <w:color w:val="1B5E20"/>
          <w:sz w:val="28"/>
        </w:rPr>
        <w:t>5. Discussion, Conclusion &amp; Software Availability</w:t>
      </w:r>
    </w:p>
    <w:p>
      <w:r>
        <w:t>AgroBiometrix demonstrates that generative artificial intelligence can be safely and scalably deployed in African agriculture by anchoring qualitative models in deterministic mathematical biometrics. By establishing 100.0% mathematical parity with SAS and R while operating within a compact computational envelope (~8,028 tokens per full 15-page document) and adhering to established CGIAR, IITA, ILRI, FAO, IFPRI, FUNAAB, and NIHORT standards, AgroBiometrix provides the scientific validity, citation pipeline, and regulatory trust required for large-scale institutional adoption across universities, research institutes, and sovereign governments.</w:t>
        <w:br/>
        <w:br/>
        <w:t>• Software Platform: Live web application available at: http://localhost:8501 (Institutional Edition).</w:t>
        <w:br/>
        <w:t>• Source Code &amp; Documentation: Open-access repository with verification test suites.</w:t>
        <w:br/>
        <w:t>• Reproducibility Archive: Bundled with empirical maize trial CSV and cattle breeding pedigree records.</w:t>
      </w:r>
    </w:p>
    <w:p>
      <w:pPr>
        <w:spacing w:before="280" w:after="120"/>
      </w:pPr>
      <w:r>
        <w:rPr>
          <w:b/>
          <w:color w:val="1B5E20"/>
          <w:sz w:val="28"/>
        </w:rPr>
        <w:t>6. References</w:t>
      </w:r>
    </w:p>
    <w:p>
      <w:pPr>
        <w:spacing w:after="80" w:line="264" w:lineRule="auto"/>
        <w:ind w:left="720" w:hanging="720"/>
      </w:pPr>
      <w:r>
        <w:rPr>
          <w:sz w:val="19"/>
        </w:rPr>
        <w:t>Adebambo, O. A., Ikeobi, C. O. N., Peters, S. O., Adeleke, M. A., &amp; Adebambo, A. O. (2018). Development of the FUNAAB-Alpha dual-purpose indigenous chicken for meat and egg production in the tropics. Nigerian Journal of Animal Production, 45(1), 1–14.</w:t>
      </w:r>
    </w:p>
    <w:p>
      <w:pPr>
        <w:spacing w:after="80" w:line="264" w:lineRule="auto"/>
        <w:ind w:left="720" w:hanging="720"/>
      </w:pPr>
      <w:r>
        <w:rPr>
          <w:sz w:val="19"/>
        </w:rPr>
        <w:t>Allen, R. G., Pereira, L. S., Raes, D., &amp; Smith, M. (1998). Crop evapotranspiration: Guidelines for computing crop water requirements. FAO Irrigation and Drainage Paper No. 56. Rome: Food and Agriculture Organization of the United Nations.</w:t>
      </w:r>
    </w:p>
    <w:p>
      <w:pPr>
        <w:spacing w:after="80" w:line="264" w:lineRule="auto"/>
        <w:ind w:left="720" w:hanging="720"/>
      </w:pPr>
      <w:r>
        <w:rPr>
          <w:sz w:val="19"/>
        </w:rPr>
        <w:t>CGIAR. (2021). CGIAR guidelines on ethical AI in agricultural research for development. Montpellier, France: CGIAR System Organization.</w:t>
      </w:r>
    </w:p>
    <w:p>
      <w:pPr>
        <w:spacing w:after="80" w:line="264" w:lineRule="auto"/>
        <w:ind w:left="720" w:hanging="720"/>
      </w:pPr>
      <w:r>
        <w:rPr>
          <w:sz w:val="19"/>
        </w:rPr>
        <w:t>CGIAR AI Hub. (2023). Standard operating procedures for biometric analysis and multi-environment trial evaluation in agricultural systems. Montpellier, France: CGIAR Platform for Big Data in Agriculture.</w:t>
      </w:r>
    </w:p>
    <w:p>
      <w:pPr>
        <w:spacing w:after="80" w:line="264" w:lineRule="auto"/>
        <w:ind w:left="720" w:hanging="720"/>
      </w:pPr>
      <w:r>
        <w:rPr>
          <w:sz w:val="19"/>
        </w:rPr>
        <w:t>Duncan, D. B. (1955). Multiple range and multiple F tests. Biometrics, 11(1), 1–42. https://doi.org/10.2307/3001478</w:t>
      </w:r>
    </w:p>
    <w:p>
      <w:pPr>
        <w:spacing w:after="80" w:line="264" w:lineRule="auto"/>
        <w:ind w:left="720" w:hanging="720"/>
      </w:pPr>
      <w:r>
        <w:rPr>
          <w:sz w:val="19"/>
        </w:rPr>
        <w:t>FAO. (2021). African swine fever: Detection and diagnosis – A manual for veterinarians. FAO Animal Production and Health Manual No. 28. Rome: FAO. https://doi.org/10.4060/cb4888en</w:t>
      </w:r>
    </w:p>
    <w:p>
      <w:pPr>
        <w:spacing w:after="80" w:line="264" w:lineRule="auto"/>
        <w:ind w:left="720" w:hanging="720"/>
      </w:pPr>
      <w:r>
        <w:rPr>
          <w:sz w:val="19"/>
        </w:rPr>
        <w:t>FAO. (2023). The State of Food Security and Nutrition in the World 2023: Urbanization, agrifood systems transformation and healthy diets across the rural-urban continuum. Rome: Food and Agriculture Organization of the United Nations. https://doi.org/10.4060/cc3017en</w:t>
      </w:r>
    </w:p>
    <w:p>
      <w:pPr>
        <w:spacing w:after="80" w:line="264" w:lineRule="auto"/>
        <w:ind w:left="720" w:hanging="720"/>
      </w:pPr>
      <w:r>
        <w:rPr>
          <w:sz w:val="19"/>
        </w:rPr>
        <w:t>FUNAAB. (2022). Postgraduate thesis preparation, biometric standards, and oral defense examination guidelines. Abeokuta, Nigeria: Postgraduate School, Federal University of Agriculture, Abeokuta.</w:t>
      </w:r>
    </w:p>
    <w:p>
      <w:pPr>
        <w:spacing w:after="80" w:line="264" w:lineRule="auto"/>
        <w:ind w:left="720" w:hanging="720"/>
      </w:pPr>
      <w:r>
        <w:rPr>
          <w:sz w:val="19"/>
        </w:rPr>
        <w:t>Gomez, K. A., &amp; Gomez, A. A. (1984). Statistical procedures for agricultural research (2nd ed.). New York: John Wiley &amp; Sons.</w:t>
      </w:r>
    </w:p>
    <w:p>
      <w:pPr>
        <w:spacing w:after="80" w:line="264" w:lineRule="auto"/>
        <w:ind w:left="720" w:hanging="720"/>
      </w:pPr>
      <w:r>
        <w:rPr>
          <w:sz w:val="19"/>
        </w:rPr>
        <w:t>Henderson, C. R. (1975). Best linear unbiased estimation and prediction under a selection model. Biometrics, 31(2), 423–447. https://doi.org/10.2307/2529430</w:t>
      </w:r>
    </w:p>
    <w:p>
      <w:pPr>
        <w:spacing w:after="80" w:line="264" w:lineRule="auto"/>
        <w:ind w:left="720" w:hanging="720"/>
      </w:pPr>
      <w:r>
        <w:rPr>
          <w:sz w:val="19"/>
        </w:rPr>
        <w:t>IFPRI. (2022). Global Food Policy Report 2022: Climate change and food systems. Washington, DC: International Food Policy Research Institute. https://doi.org/10.2499/9780896294257</w:t>
      </w:r>
    </w:p>
    <w:p>
      <w:pPr>
        <w:spacing w:after="80" w:line="264" w:lineRule="auto"/>
        <w:ind w:left="720" w:hanging="720"/>
      </w:pPr>
      <w:r>
        <w:rPr>
          <w:sz w:val="19"/>
        </w:rPr>
        <w:t>IITA. (2020). Standard operating protocols for cassava phenotyping and disease evaluation in Sub-Saharan Africa. Ibadan, Nigeria: International Institute of Tropical Agriculture.</w:t>
      </w:r>
    </w:p>
    <w:p>
      <w:pPr>
        <w:spacing w:after="80" w:line="264" w:lineRule="auto"/>
        <w:ind w:left="720" w:hanging="720"/>
      </w:pPr>
      <w:r>
        <w:rPr>
          <w:sz w:val="19"/>
        </w:rPr>
        <w:t>ILRI. (2021). African Dairy Genetic Gains (ADGG) program: Data collection and genetic evaluation protocols for smallholder tropical dairy systems. Nairobi, Kenya: International Livestock Research Institute.</w:t>
      </w:r>
    </w:p>
    <w:p>
      <w:pPr>
        <w:spacing w:after="80" w:line="264" w:lineRule="auto"/>
        <w:ind w:left="720" w:hanging="720"/>
      </w:pPr>
      <w:r>
        <w:rPr>
          <w:sz w:val="19"/>
        </w:rPr>
        <w:t>IPCC. (2023). Climate Change 2023: Synthesis Report. Contribution of Working Groups I, II and III to the Sixth Assessment Report. Geneva, Switzerland: Intergovernmental Panel on Climate Change.</w:t>
      </w:r>
    </w:p>
    <w:p>
      <w:pPr>
        <w:spacing w:after="80" w:line="264" w:lineRule="auto"/>
        <w:ind w:left="720" w:hanging="720"/>
      </w:pPr>
      <w:r>
        <w:rPr>
          <w:sz w:val="19"/>
        </w:rPr>
        <w:t>Mogues, T., Fan, S., &amp; Benin, S. (2015). Public investments in and for agriculture: Synthesis of the existing evidence. Agricultural Economics, 46(3), 323–342. https://doi.org/10.1111/agec.12165</w:t>
      </w:r>
    </w:p>
    <w:p>
      <w:pPr>
        <w:spacing w:after="80" w:line="264" w:lineRule="auto"/>
        <w:ind w:left="720" w:hanging="720"/>
      </w:pPr>
      <w:r>
        <w:rPr>
          <w:sz w:val="19"/>
        </w:rPr>
        <w:t>Mrode, R., Ojango, J. M., Ekine-Dzivenu, C., Aliloo, H., Gibson, J., &amp; Okeyo, A. M. (2020). Genomic selection in smallholder dairy cattle production systems in developing countries: Challenges, successes and future directions. Frontiers in Genetics, 11, 577977. https://doi.org/10.3389/fgene.2020.577977</w:t>
      </w:r>
    </w:p>
    <w:p>
      <w:pPr>
        <w:spacing w:after="80" w:line="264" w:lineRule="auto"/>
        <w:ind w:left="720" w:hanging="720"/>
      </w:pPr>
      <w:r>
        <w:rPr>
          <w:sz w:val="19"/>
        </w:rPr>
        <w:t>Murray, M., Trail, J. C. M., Turner, D. A., &amp; Wissocq, Y. (1983). Livestock productivity and trypanotolerance: Network training manual. Addis Ababa, Ethiopia: International Livestock Centre for Africa (ILCA/ILRI).</w:t>
      </w:r>
    </w:p>
    <w:p>
      <w:pPr>
        <w:spacing w:after="80" w:line="264" w:lineRule="auto"/>
        <w:ind w:left="720" w:hanging="720"/>
      </w:pPr>
      <w:r>
        <w:rPr>
          <w:sz w:val="19"/>
        </w:rPr>
        <w:t>NAPRI. (2019). Artificial insemination, estrus synchronization, and reproductive management in tropical beef and dairy cattle. Shika, Zaria, Nigeria: National Animal Production Research Institute, Ahmadu Bello University.</w:t>
      </w:r>
    </w:p>
    <w:p>
      <w:pPr>
        <w:spacing w:after="80" w:line="264" w:lineRule="auto"/>
        <w:ind w:left="720" w:hanging="720"/>
      </w:pPr>
      <w:r>
        <w:rPr>
          <w:sz w:val="19"/>
        </w:rPr>
        <w:t>NIHORT. (2020). Standard operating procedures for horticultural field trials, post-harvest evaluation, and indigenous vegetable production in Nigeria. Ibadan, Nigeria: National Horticultural Research Institute.</w:t>
      </w:r>
    </w:p>
    <w:p>
      <w:pPr>
        <w:spacing w:after="80" w:line="264" w:lineRule="auto"/>
        <w:ind w:left="720" w:hanging="720"/>
      </w:pPr>
      <w:r>
        <w:rPr>
          <w:sz w:val="19"/>
        </w:rPr>
        <w:t>NRC. (1971). A guide to environmental research on animals. Washington, DC: National Academy of Sciences.</w:t>
      </w:r>
    </w:p>
    <w:p>
      <w:pPr>
        <w:spacing w:after="80" w:line="264" w:lineRule="auto"/>
        <w:ind w:left="720" w:hanging="720"/>
      </w:pPr>
      <w:r>
        <w:rPr>
          <w:sz w:val="19"/>
        </w:rPr>
        <w:t>NVRI. (2021). National livestock and poultry vaccination calendar and cold chain management manual (4th ed.). Vom, Plateau State, Nigeria: National Veterinary Research Institute.</w:t>
      </w:r>
    </w:p>
    <w:p>
      <w:pPr>
        <w:spacing w:after="80" w:line="264" w:lineRule="auto"/>
        <w:ind w:left="720" w:hanging="720"/>
      </w:pPr>
      <w:r>
        <w:rPr>
          <w:sz w:val="19"/>
        </w:rPr>
        <w:t>Olaniyi, J. O., Akanbi, W. B., Adejumo, T. A., &amp; Akande, O. G. (2010). Growth, fruit yield and nutritional quality of tomato varieties in the savanna zone of Nigeria. African Journal of Food Science, 4(6), 398–402.</w:t>
      </w:r>
    </w:p>
    <w:p>
      <w:pPr>
        <w:spacing w:after="80" w:line="264" w:lineRule="auto"/>
        <w:ind w:left="720" w:hanging="720"/>
      </w:pPr>
      <w:r>
        <w:rPr>
          <w:sz w:val="19"/>
        </w:rPr>
        <w:t>Sanchez, P. A. (2021). Properties and management of soils in the tropics (2nd ed.). Cambridge, UK: Cambridge University Press. https://doi.org/10.1017/9781108648172</w:t>
      </w:r>
    </w:p>
    <w:p>
      <w:pPr>
        <w:spacing w:after="80" w:line="264" w:lineRule="auto"/>
        <w:ind w:left="720" w:hanging="720"/>
      </w:pPr>
      <w:r>
        <w:rPr>
          <w:sz w:val="19"/>
        </w:rPr>
        <w:t>Sanginga, N., &amp; Mbabu, A. (2015). Root and tuber crops (cassava, yam, potato and sweet potato). In Feeding Africa: An action plan for African agricultural transformation. Dakar, Senegal: African Development Bank / IITA.</w:t>
      </w:r>
    </w:p>
    <w:p>
      <w:pPr>
        <w:spacing w:after="80" w:line="264" w:lineRule="auto"/>
        <w:ind w:left="720" w:hanging="720"/>
      </w:pPr>
      <w:r>
        <w:rPr>
          <w:sz w:val="19"/>
        </w:rPr>
        <w:t>Vanlauwe, B., et al. (2021). Integrated soil fertility management in Sub-Saharan Africa: Unravelling the principles and practices. Soil Biology and Biochemistry, 154, 108132. https://doi.org/10.1016/j.soilbio.2021.108132</w:t>
      </w:r>
    </w:p>
    <w:p>
      <w:pPr>
        <w:spacing w:after="80" w:line="264" w:lineRule="auto"/>
        <w:ind w:left="720" w:hanging="720"/>
      </w:pPr>
      <w:r>
        <w:rPr>
          <w:sz w:val="19"/>
        </w:rPr>
        <w:t>WOAH. (2022). Terrestrial Animal Health Code. World Organisation for Animal Health. Paris, France.</w:t>
      </w:r>
    </w:p>
    <w:p>
      <w:pPr>
        <w:spacing w:after="80" w:line="264" w:lineRule="auto"/>
        <w:ind w:left="720" w:hanging="720"/>
      </w:pPr>
      <w:r>
        <w:rPr>
          <w:sz w:val="19"/>
        </w:rPr>
        <w:t>World Bank. (2023). Africa's Pulse: An analysis of issues shaping Africa's economic future. Washington, DC: The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